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C28" w:rsidRPr="00675A48" w:rsidRDefault="005C3C28" w:rsidP="00675A48">
      <w:pPr>
        <w:snapToGrid w:val="0"/>
        <w:spacing w:line="440" w:lineRule="exact"/>
        <w:jc w:val="center"/>
        <w:rPr>
          <w:rFonts w:ascii="Cambria Math" w:eastAsia="標楷體" w:hAnsi="Cambria Math"/>
          <w:b/>
          <w:sz w:val="28"/>
          <w:szCs w:val="28"/>
        </w:rPr>
      </w:pPr>
      <w:r w:rsidRPr="00675A48">
        <w:rPr>
          <w:rFonts w:ascii="Cambria Math" w:eastAsia="標楷體" w:hAnsi="Cambria Math"/>
          <w:b/>
          <w:sz w:val="28"/>
          <w:szCs w:val="28"/>
        </w:rPr>
        <w:t>認股借貸問答集</w:t>
      </w:r>
    </w:p>
    <w:p w:rsidR="002B68E6" w:rsidRPr="00A544E4" w:rsidRDefault="002B68E6" w:rsidP="00675A48">
      <w:pPr>
        <w:pStyle w:val="a3"/>
        <w:numPr>
          <w:ilvl w:val="0"/>
          <w:numId w:val="1"/>
        </w:numPr>
        <w:snapToGrid w:val="0"/>
        <w:spacing w:line="440" w:lineRule="exact"/>
        <w:ind w:leftChars="0" w:left="567" w:hanging="567"/>
        <w:rPr>
          <w:rFonts w:ascii="Cambria Math" w:eastAsia="標楷體" w:hAnsi="Cambria Math" w:cs="Times New Roman"/>
          <w:color w:val="000000" w:themeColor="text1"/>
          <w:sz w:val="28"/>
          <w:szCs w:val="28"/>
        </w:rPr>
      </w:pPr>
      <w:proofErr w:type="gramStart"/>
      <w:r w:rsidRPr="00675A48">
        <w:rPr>
          <w:rFonts w:ascii="Cambria Math" w:eastAsia="標楷體" w:hAnsi="Cambria Math"/>
          <w:sz w:val="28"/>
          <w:szCs w:val="28"/>
        </w:rPr>
        <w:t>證券商遇</w:t>
      </w:r>
      <w:r w:rsidR="005104DE" w:rsidRPr="00675A48">
        <w:rPr>
          <w:rFonts w:ascii="Cambria Math" w:eastAsia="標楷體" w:hAnsi="Cambria Math"/>
          <w:sz w:val="28"/>
          <w:szCs w:val="28"/>
        </w:rPr>
        <w:t>具發行人</w:t>
      </w:r>
      <w:proofErr w:type="gramEnd"/>
      <w:r w:rsidR="005104DE" w:rsidRPr="00675A48">
        <w:rPr>
          <w:rFonts w:ascii="Cambria Math" w:eastAsia="標楷體" w:hAnsi="Cambria Math"/>
          <w:sz w:val="28"/>
          <w:szCs w:val="28"/>
        </w:rPr>
        <w:t>之員工、原股東身分</w:t>
      </w:r>
      <w:r w:rsidRPr="00675A48">
        <w:rPr>
          <w:rFonts w:ascii="Cambria Math" w:eastAsia="標楷體" w:hAnsi="Cambria Math" w:cs="Times New Roman"/>
          <w:color w:val="000000" w:themeColor="text1"/>
          <w:sz w:val="28"/>
          <w:szCs w:val="28"/>
        </w:rPr>
        <w:t>客戶</w:t>
      </w:r>
      <w:r w:rsidR="00C9682C" w:rsidRPr="00675A48">
        <w:rPr>
          <w:rFonts w:ascii="Cambria Math" w:eastAsia="標楷體" w:hAnsi="Cambria Math" w:cs="Times New Roman"/>
          <w:color w:val="000000" w:themeColor="text1"/>
          <w:sz w:val="28"/>
          <w:szCs w:val="28"/>
        </w:rPr>
        <w:t>（以下簡稱客戶）</w:t>
      </w:r>
      <w:r w:rsidRPr="00675A48">
        <w:rPr>
          <w:rFonts w:ascii="Cambria Math" w:eastAsia="標楷體" w:hAnsi="Cambria Math" w:cs="Times New Roman"/>
          <w:color w:val="000000" w:themeColor="text1"/>
          <w:sz w:val="28"/>
          <w:szCs w:val="28"/>
        </w:rPr>
        <w:t>認購之有價證券</w:t>
      </w:r>
      <w:r w:rsidR="00244992">
        <w:rPr>
          <w:rFonts w:ascii="Cambria Math" w:eastAsia="標楷體" w:hAnsi="Cambria Math" w:cs="Times New Roman" w:hint="eastAsia"/>
          <w:color w:val="000000" w:themeColor="text1"/>
          <w:sz w:val="28"/>
          <w:szCs w:val="28"/>
        </w:rPr>
        <w:t>含零股</w:t>
      </w:r>
      <w:r w:rsidRPr="00675A48">
        <w:rPr>
          <w:rFonts w:ascii="Cambria Math" w:eastAsia="標楷體" w:hAnsi="Cambria Math" w:cs="Times New Roman"/>
          <w:color w:val="000000" w:themeColor="text1"/>
          <w:sz w:val="28"/>
          <w:szCs w:val="28"/>
        </w:rPr>
        <w:t>之處理</w:t>
      </w:r>
      <w:r w:rsidR="002B00CC" w:rsidRPr="00675A48">
        <w:rPr>
          <w:rFonts w:ascii="Cambria Math" w:eastAsia="標楷體" w:hAnsi="Cambria Math"/>
          <w:sz w:val="28"/>
          <w:szCs w:val="28"/>
        </w:rPr>
        <w:t>？</w:t>
      </w:r>
    </w:p>
    <w:p w:rsidR="005F174D" w:rsidRDefault="00A544E4" w:rsidP="005F174D">
      <w:pPr>
        <w:pStyle w:val="a3"/>
        <w:snapToGrid w:val="0"/>
        <w:spacing w:line="440" w:lineRule="exact"/>
        <w:ind w:leftChars="0" w:left="567"/>
        <w:rPr>
          <w:rFonts w:ascii="Cambria Math" w:eastAsia="標楷體" w:hAnsi="Cambria Math" w:cs="Times New Roman"/>
          <w:color w:val="000000" w:themeColor="text1"/>
          <w:sz w:val="28"/>
          <w:szCs w:val="28"/>
        </w:rPr>
      </w:pPr>
      <w:r w:rsidRPr="00A544E4">
        <w:rPr>
          <w:rFonts w:ascii="Cambria Math" w:eastAsia="標楷體" w:hAnsi="Cambria Math" w:cs="Times New Roman" w:hint="eastAsia"/>
          <w:color w:val="000000" w:themeColor="text1"/>
          <w:sz w:val="28"/>
          <w:szCs w:val="28"/>
        </w:rPr>
        <w:t>答：</w:t>
      </w:r>
    </w:p>
    <w:p w:rsidR="006B539F" w:rsidRPr="005F174D" w:rsidRDefault="006B539F" w:rsidP="005F174D">
      <w:pPr>
        <w:pStyle w:val="a3"/>
        <w:numPr>
          <w:ilvl w:val="0"/>
          <w:numId w:val="4"/>
        </w:numPr>
        <w:snapToGrid w:val="0"/>
        <w:spacing w:line="440" w:lineRule="exact"/>
        <w:ind w:leftChars="0" w:left="1134" w:hanging="568"/>
        <w:rPr>
          <w:rFonts w:ascii="標楷體" w:eastAsia="標楷體" w:hAnsi="標楷體" w:cs="新細明體"/>
          <w:bCs/>
          <w:kern w:val="0"/>
          <w:sz w:val="28"/>
          <w:szCs w:val="28"/>
        </w:rPr>
      </w:pPr>
      <w:r w:rsidRPr="006B539F">
        <w:rPr>
          <w:rFonts w:ascii="標楷體" w:eastAsia="標楷體" w:hAnsi="標楷體" w:cs="新細明體"/>
          <w:bCs/>
          <w:kern w:val="0"/>
          <w:sz w:val="28"/>
          <w:szCs w:val="28"/>
        </w:rPr>
        <w:t>針對客戶認購有價證券含零股的情況，證券商應遵循以下原則：</w:t>
      </w:r>
    </w:p>
    <w:p w:rsidR="006B539F" w:rsidRPr="005F174D" w:rsidRDefault="006B539F" w:rsidP="005F174D">
      <w:pPr>
        <w:pStyle w:val="a3"/>
        <w:widowControl/>
        <w:numPr>
          <w:ilvl w:val="0"/>
          <w:numId w:val="6"/>
        </w:numPr>
        <w:adjustRightInd w:val="0"/>
        <w:snapToGrid w:val="0"/>
        <w:ind w:leftChars="0" w:left="1276" w:hanging="328"/>
        <w:rPr>
          <w:rFonts w:ascii="標楷體" w:eastAsia="標楷體" w:hAnsi="標楷體" w:cs="新細明體"/>
          <w:kern w:val="0"/>
          <w:sz w:val="28"/>
          <w:szCs w:val="28"/>
        </w:rPr>
      </w:pPr>
      <w:r w:rsidRPr="005F174D">
        <w:rPr>
          <w:rFonts w:ascii="標楷體" w:eastAsia="標楷體" w:hAnsi="標楷體" w:cs="新細明體"/>
          <w:b/>
          <w:bCs/>
          <w:kern w:val="0"/>
          <w:sz w:val="28"/>
          <w:szCs w:val="28"/>
        </w:rPr>
        <w:t>零股不予融通：</w:t>
      </w:r>
      <w:r w:rsidRPr="005F174D">
        <w:rPr>
          <w:rFonts w:ascii="標楷體" w:eastAsia="標楷體" w:hAnsi="標楷體" w:cs="新細明體"/>
          <w:kern w:val="0"/>
          <w:sz w:val="28"/>
          <w:szCs w:val="28"/>
        </w:rPr>
        <w:t>依據證券商辦理證券業務借貸款項操作辦法第2條第6項規定，證券商提供的認股借貸服務不包含零股交易。因此，客戶認購的零股部分，證券商不會提供借貸款項。</w:t>
      </w:r>
    </w:p>
    <w:p w:rsidR="006B539F" w:rsidRPr="005F174D" w:rsidRDefault="006B539F" w:rsidP="005F174D">
      <w:pPr>
        <w:pStyle w:val="a3"/>
        <w:widowControl/>
        <w:numPr>
          <w:ilvl w:val="0"/>
          <w:numId w:val="6"/>
        </w:numPr>
        <w:adjustRightInd w:val="0"/>
        <w:snapToGrid w:val="0"/>
        <w:ind w:leftChars="0" w:left="1276" w:hanging="328"/>
        <w:rPr>
          <w:rFonts w:ascii="標楷體" w:eastAsia="標楷體" w:hAnsi="標楷體" w:cs="新細明體"/>
          <w:kern w:val="0"/>
          <w:sz w:val="28"/>
          <w:szCs w:val="28"/>
        </w:rPr>
      </w:pPr>
      <w:r w:rsidRPr="005F174D">
        <w:rPr>
          <w:rFonts w:ascii="標楷體" w:eastAsia="標楷體" w:hAnsi="標楷體" w:cs="新細明體"/>
          <w:b/>
          <w:bCs/>
          <w:kern w:val="0"/>
          <w:sz w:val="28"/>
          <w:szCs w:val="28"/>
        </w:rPr>
        <w:t>整數交易單位融通：</w:t>
      </w:r>
      <w:r w:rsidRPr="005F174D">
        <w:rPr>
          <w:rFonts w:ascii="標楷體" w:eastAsia="標楷體" w:hAnsi="標楷體" w:cs="新細明體"/>
          <w:kern w:val="0"/>
          <w:sz w:val="28"/>
          <w:szCs w:val="28"/>
        </w:rPr>
        <w:t>對於客戶認購達一個交易單位以上（包含零股）</w:t>
      </w:r>
      <w:r w:rsidR="0071571D">
        <w:rPr>
          <w:rFonts w:ascii="標楷體" w:eastAsia="標楷體" w:hAnsi="標楷體" w:cs="新細明體" w:hint="eastAsia"/>
          <w:kern w:val="0"/>
          <w:sz w:val="28"/>
          <w:szCs w:val="28"/>
        </w:rPr>
        <w:t>者</w:t>
      </w:r>
      <w:r w:rsidRPr="005F174D">
        <w:rPr>
          <w:rFonts w:ascii="標楷體" w:eastAsia="標楷體" w:hAnsi="標楷體" w:cs="新細明體"/>
          <w:kern w:val="0"/>
          <w:sz w:val="28"/>
          <w:szCs w:val="28"/>
        </w:rPr>
        <w:t>，證券商應以交易單位的整數倍數提供借貸款項。例如，若客戶認購2,050股，證券商將提供2,000股的借貸款項。</w:t>
      </w:r>
    </w:p>
    <w:p w:rsidR="006B539F" w:rsidRPr="005F174D" w:rsidRDefault="006B539F" w:rsidP="005F174D">
      <w:pPr>
        <w:pStyle w:val="a3"/>
        <w:widowControl/>
        <w:numPr>
          <w:ilvl w:val="0"/>
          <w:numId w:val="6"/>
        </w:numPr>
        <w:adjustRightInd w:val="0"/>
        <w:snapToGrid w:val="0"/>
        <w:ind w:leftChars="0" w:left="1276" w:hanging="328"/>
        <w:rPr>
          <w:rFonts w:ascii="標楷體" w:eastAsia="標楷體" w:hAnsi="標楷體" w:cs="新細明體"/>
          <w:kern w:val="0"/>
          <w:sz w:val="28"/>
          <w:szCs w:val="28"/>
        </w:rPr>
      </w:pPr>
      <w:r w:rsidRPr="005F174D">
        <w:rPr>
          <w:rFonts w:ascii="標楷體" w:eastAsia="標楷體" w:hAnsi="標楷體" w:cs="新細明體"/>
          <w:b/>
          <w:bCs/>
          <w:kern w:val="0"/>
          <w:sz w:val="28"/>
          <w:szCs w:val="28"/>
        </w:rPr>
        <w:t>零股退還客戶：</w:t>
      </w:r>
      <w:r w:rsidR="001C5B17">
        <w:rPr>
          <w:rFonts w:ascii="標楷體" w:eastAsia="標楷體" w:hAnsi="標楷體" w:cs="新細明體"/>
          <w:kern w:val="0"/>
          <w:sz w:val="28"/>
          <w:szCs w:val="28"/>
        </w:rPr>
        <w:t>證券商在</w:t>
      </w:r>
      <w:r w:rsidRPr="005F174D">
        <w:rPr>
          <w:rFonts w:ascii="標楷體" w:eastAsia="標楷體" w:hAnsi="標楷體" w:cs="新細明體"/>
          <w:kern w:val="0"/>
          <w:sz w:val="28"/>
          <w:szCs w:val="28"/>
        </w:rPr>
        <w:t>客戶認購的新股轉入借貸款項擔保品</w:t>
      </w:r>
      <w:proofErr w:type="gramStart"/>
      <w:r w:rsidRPr="005F174D">
        <w:rPr>
          <w:rFonts w:ascii="標楷體" w:eastAsia="標楷體" w:hAnsi="標楷體" w:cs="新細明體"/>
          <w:kern w:val="0"/>
          <w:sz w:val="28"/>
          <w:szCs w:val="28"/>
        </w:rPr>
        <w:t>專戶後</w:t>
      </w:r>
      <w:proofErr w:type="gramEnd"/>
      <w:r w:rsidRPr="005F174D">
        <w:rPr>
          <w:rFonts w:ascii="標楷體" w:eastAsia="標楷體" w:hAnsi="標楷體" w:cs="新細明體"/>
          <w:kern w:val="0"/>
          <w:sz w:val="28"/>
          <w:szCs w:val="28"/>
        </w:rPr>
        <w:t>，應將其中的零股部分退還給客戶。這是因為零股是客戶自行出資認購的部分，不屬於證券商的債權擔保品。</w:t>
      </w:r>
    </w:p>
    <w:p w:rsidR="006B539F" w:rsidRPr="001C5B17" w:rsidRDefault="006B539F" w:rsidP="005F174D">
      <w:pPr>
        <w:pStyle w:val="a3"/>
        <w:widowControl/>
        <w:numPr>
          <w:ilvl w:val="0"/>
          <w:numId w:val="4"/>
        </w:numPr>
        <w:adjustRightInd w:val="0"/>
        <w:snapToGrid w:val="0"/>
        <w:ind w:leftChars="0" w:left="1134" w:hanging="568"/>
        <w:rPr>
          <w:rFonts w:ascii="標楷體" w:eastAsia="標楷體" w:hAnsi="標楷體" w:cs="新細明體"/>
          <w:kern w:val="0"/>
          <w:sz w:val="28"/>
          <w:szCs w:val="28"/>
        </w:rPr>
      </w:pPr>
      <w:r w:rsidRPr="001C5B17">
        <w:rPr>
          <w:rFonts w:ascii="標楷體" w:eastAsia="標楷體" w:hAnsi="標楷體" w:cs="新細明體"/>
          <w:bCs/>
          <w:kern w:val="0"/>
          <w:sz w:val="28"/>
          <w:szCs w:val="28"/>
        </w:rPr>
        <w:t>舉例說明：</w:t>
      </w:r>
    </w:p>
    <w:p w:rsidR="006B539F" w:rsidRPr="001C5B17" w:rsidRDefault="006B539F" w:rsidP="001C5B17">
      <w:pPr>
        <w:pStyle w:val="a3"/>
        <w:snapToGrid w:val="0"/>
        <w:spacing w:line="440" w:lineRule="exact"/>
        <w:ind w:leftChars="0" w:left="1134"/>
        <w:rPr>
          <w:rFonts w:ascii="標楷體" w:eastAsia="標楷體" w:hAnsi="標楷體" w:cs="新細明體"/>
          <w:bCs/>
          <w:kern w:val="0"/>
          <w:sz w:val="28"/>
          <w:szCs w:val="28"/>
        </w:rPr>
      </w:pPr>
      <w:r w:rsidRPr="001C5B17">
        <w:rPr>
          <w:rFonts w:ascii="標楷體" w:eastAsia="標楷體" w:hAnsi="標楷體" w:cs="新細明體"/>
          <w:bCs/>
          <w:kern w:val="0"/>
          <w:sz w:val="28"/>
          <w:szCs w:val="28"/>
        </w:rPr>
        <w:t>假設客戶乙認購某公司新股1,530股，並向證券商申請認股借貸。證券商將提供1,</w:t>
      </w:r>
      <w:r w:rsidR="001C5B17">
        <w:rPr>
          <w:rFonts w:ascii="標楷體" w:eastAsia="標楷體" w:hAnsi="標楷體" w:cs="新細明體" w:hint="eastAsia"/>
          <w:bCs/>
          <w:kern w:val="0"/>
          <w:sz w:val="28"/>
          <w:szCs w:val="28"/>
        </w:rPr>
        <w:t>0</w:t>
      </w:r>
      <w:r w:rsidRPr="001C5B17">
        <w:rPr>
          <w:rFonts w:ascii="標楷體" w:eastAsia="標楷體" w:hAnsi="標楷體" w:cs="新細明體"/>
          <w:bCs/>
          <w:kern w:val="0"/>
          <w:sz w:val="28"/>
          <w:szCs w:val="28"/>
        </w:rPr>
        <w:t>00股的借貸款項，</w:t>
      </w:r>
      <w:r w:rsidR="005F174D" w:rsidRPr="001C5B17">
        <w:rPr>
          <w:rFonts w:ascii="標楷體" w:eastAsia="標楷體" w:hAnsi="標楷體" w:cs="新細明體" w:hint="eastAsia"/>
          <w:bCs/>
          <w:kern w:val="0"/>
          <w:sz w:val="28"/>
          <w:szCs w:val="28"/>
        </w:rPr>
        <w:t>經發行公司</w:t>
      </w:r>
      <w:r w:rsidRPr="001C5B17">
        <w:rPr>
          <w:rFonts w:ascii="標楷體" w:eastAsia="標楷體" w:hAnsi="標楷體" w:cs="新細明體"/>
          <w:bCs/>
          <w:kern w:val="0"/>
          <w:sz w:val="28"/>
          <w:szCs w:val="28"/>
        </w:rPr>
        <w:t>將客戶認購的1,530股轉入</w:t>
      </w:r>
      <w:r w:rsidR="005F174D" w:rsidRPr="001C5B17">
        <w:rPr>
          <w:rFonts w:ascii="標楷體" w:eastAsia="標楷體" w:hAnsi="標楷體" w:cs="新細明體" w:hint="eastAsia"/>
          <w:bCs/>
          <w:kern w:val="0"/>
          <w:sz w:val="28"/>
          <w:szCs w:val="28"/>
        </w:rPr>
        <w:t>證券商</w:t>
      </w:r>
      <w:r w:rsidRPr="001C5B17">
        <w:rPr>
          <w:rFonts w:ascii="標楷體" w:eastAsia="標楷體" w:hAnsi="標楷體" w:cs="新細明體"/>
          <w:bCs/>
          <w:kern w:val="0"/>
          <w:sz w:val="28"/>
          <w:szCs w:val="28"/>
        </w:rPr>
        <w:t>借貸款項擔保品</w:t>
      </w:r>
      <w:proofErr w:type="gramStart"/>
      <w:r w:rsidRPr="001C5B17">
        <w:rPr>
          <w:rFonts w:ascii="標楷體" w:eastAsia="標楷體" w:hAnsi="標楷體" w:cs="新細明體"/>
          <w:bCs/>
          <w:kern w:val="0"/>
          <w:sz w:val="28"/>
          <w:szCs w:val="28"/>
        </w:rPr>
        <w:t>專戶</w:t>
      </w:r>
      <w:r w:rsidR="005F174D" w:rsidRPr="001C5B17">
        <w:rPr>
          <w:rFonts w:ascii="標楷體" w:eastAsia="標楷體" w:hAnsi="標楷體" w:cs="新細明體" w:hint="eastAsia"/>
          <w:bCs/>
          <w:kern w:val="0"/>
          <w:sz w:val="28"/>
          <w:szCs w:val="28"/>
        </w:rPr>
        <w:t>後</w:t>
      </w:r>
      <w:proofErr w:type="gramEnd"/>
      <w:r w:rsidR="005F174D" w:rsidRPr="001C5B17">
        <w:rPr>
          <w:rFonts w:ascii="標楷體" w:eastAsia="標楷體" w:hAnsi="標楷體" w:cs="新細明體" w:hint="eastAsia"/>
          <w:bCs/>
          <w:kern w:val="0"/>
          <w:sz w:val="28"/>
          <w:szCs w:val="28"/>
        </w:rPr>
        <w:t>，</w:t>
      </w:r>
      <w:r w:rsidR="001C5B17">
        <w:rPr>
          <w:rFonts w:ascii="標楷體" w:eastAsia="標楷體" w:hAnsi="標楷體" w:cs="新細明體"/>
          <w:bCs/>
          <w:kern w:val="0"/>
          <w:sz w:val="28"/>
          <w:szCs w:val="28"/>
        </w:rPr>
        <w:t>證券商應將其中</w:t>
      </w:r>
      <w:r w:rsidR="001C5B17">
        <w:rPr>
          <w:rFonts w:ascii="標楷體" w:eastAsia="標楷體" w:hAnsi="標楷體" w:cs="新細明體" w:hint="eastAsia"/>
          <w:bCs/>
          <w:kern w:val="0"/>
          <w:sz w:val="28"/>
          <w:szCs w:val="28"/>
        </w:rPr>
        <w:t>5</w:t>
      </w:r>
      <w:r w:rsidRPr="001C5B17">
        <w:rPr>
          <w:rFonts w:ascii="標楷體" w:eastAsia="標楷體" w:hAnsi="標楷體" w:cs="新細明體"/>
          <w:bCs/>
          <w:kern w:val="0"/>
          <w:sz w:val="28"/>
          <w:szCs w:val="28"/>
        </w:rPr>
        <w:t>30股（零股部分）退還給客戶乙。</w:t>
      </w:r>
    </w:p>
    <w:p w:rsidR="00664066" w:rsidRPr="006B539F" w:rsidRDefault="00664066" w:rsidP="00675A48">
      <w:pPr>
        <w:snapToGrid w:val="0"/>
        <w:spacing w:line="440" w:lineRule="exact"/>
        <w:rPr>
          <w:rFonts w:ascii="Cambria Math" w:eastAsia="標楷體" w:hAnsi="Cambria Math"/>
          <w:sz w:val="28"/>
          <w:szCs w:val="28"/>
        </w:rPr>
      </w:pPr>
    </w:p>
    <w:p w:rsidR="005C3C28" w:rsidRDefault="00445241" w:rsidP="00675A48">
      <w:pPr>
        <w:pStyle w:val="a3"/>
        <w:numPr>
          <w:ilvl w:val="0"/>
          <w:numId w:val="1"/>
        </w:numPr>
        <w:snapToGrid w:val="0"/>
        <w:spacing w:line="440" w:lineRule="exact"/>
        <w:ind w:leftChars="0" w:left="567" w:hanging="567"/>
        <w:rPr>
          <w:rFonts w:ascii="Cambria Math" w:eastAsia="標楷體" w:hAnsi="Cambria Math"/>
          <w:sz w:val="28"/>
          <w:szCs w:val="28"/>
        </w:rPr>
      </w:pPr>
      <w:r w:rsidRPr="00675A48">
        <w:rPr>
          <w:rFonts w:ascii="Cambria Math" w:eastAsia="標楷體" w:hAnsi="Cambria Math"/>
          <w:sz w:val="28"/>
          <w:szCs w:val="28"/>
        </w:rPr>
        <w:t>證券商</w:t>
      </w:r>
      <w:r w:rsidR="005C3C28" w:rsidRPr="00675A48">
        <w:rPr>
          <w:rFonts w:ascii="Cambria Math" w:eastAsia="標楷體" w:hAnsi="Cambria Math"/>
          <w:sz w:val="28"/>
          <w:szCs w:val="28"/>
        </w:rPr>
        <w:t>申報</w:t>
      </w:r>
      <w:r w:rsidR="00CB74BD" w:rsidRPr="00675A48">
        <w:rPr>
          <w:rFonts w:ascii="Cambria Math" w:eastAsia="標楷體" w:hAnsi="Cambria Math"/>
          <w:sz w:val="28"/>
          <w:szCs w:val="28"/>
        </w:rPr>
        <w:t>新增</w:t>
      </w:r>
      <w:r w:rsidRPr="00675A48">
        <w:rPr>
          <w:rFonts w:ascii="Cambria Math" w:eastAsia="標楷體" w:hAnsi="Cambria Math"/>
          <w:sz w:val="28"/>
          <w:szCs w:val="28"/>
        </w:rPr>
        <w:t>認股借貸</w:t>
      </w:r>
      <w:r w:rsidR="005C3C28" w:rsidRPr="00675A48">
        <w:rPr>
          <w:rFonts w:ascii="Cambria Math" w:eastAsia="標楷體" w:hAnsi="Cambria Math"/>
          <w:sz w:val="28"/>
          <w:szCs w:val="28"/>
        </w:rPr>
        <w:t>融通資料</w:t>
      </w:r>
      <w:r w:rsidR="00CB74BD" w:rsidRPr="00675A48">
        <w:rPr>
          <w:rFonts w:ascii="Cambria Math" w:eastAsia="標楷體" w:hAnsi="Cambria Math"/>
          <w:sz w:val="28"/>
          <w:szCs w:val="28"/>
        </w:rPr>
        <w:t>之</w:t>
      </w:r>
      <w:r w:rsidRPr="00675A48">
        <w:rPr>
          <w:rFonts w:ascii="Cambria Math" w:eastAsia="標楷體" w:hAnsi="Cambria Math"/>
          <w:sz w:val="28"/>
          <w:szCs w:val="28"/>
        </w:rPr>
        <w:t>時點？</w:t>
      </w:r>
    </w:p>
    <w:p w:rsidR="0047665A" w:rsidRDefault="00A544E4" w:rsidP="006B539F">
      <w:pPr>
        <w:pStyle w:val="a3"/>
        <w:snapToGrid w:val="0"/>
        <w:spacing w:line="440" w:lineRule="exact"/>
        <w:ind w:leftChars="0" w:left="567"/>
        <w:rPr>
          <w:rFonts w:ascii="Cambria Math" w:eastAsia="標楷體" w:hAnsi="Cambria Math" w:cs="Times New Roman"/>
          <w:color w:val="000000" w:themeColor="text1"/>
          <w:sz w:val="28"/>
          <w:szCs w:val="28"/>
        </w:rPr>
      </w:pPr>
      <w:r w:rsidRPr="00A544E4">
        <w:rPr>
          <w:rFonts w:ascii="Cambria Math" w:eastAsia="標楷體" w:hAnsi="Cambria Math" w:cs="Times New Roman" w:hint="eastAsia"/>
          <w:color w:val="000000" w:themeColor="text1"/>
          <w:sz w:val="28"/>
          <w:szCs w:val="28"/>
        </w:rPr>
        <w:t>答：</w:t>
      </w:r>
      <w:r w:rsidR="001C5B17">
        <w:rPr>
          <w:rFonts w:ascii="Cambria Math" w:eastAsia="標楷體" w:hAnsi="Cambria Math" w:cs="Times New Roman" w:hint="eastAsia"/>
          <w:color w:val="000000" w:themeColor="text1"/>
          <w:sz w:val="28"/>
          <w:szCs w:val="28"/>
        </w:rPr>
        <w:t>依操作辧法</w:t>
      </w:r>
      <w:r w:rsidR="006B539F" w:rsidRPr="006B539F">
        <w:rPr>
          <w:rFonts w:ascii="Cambria Math" w:eastAsia="標楷體" w:hAnsi="Cambria Math" w:cs="Times New Roman" w:hint="eastAsia"/>
          <w:color w:val="000000" w:themeColor="text1"/>
          <w:sz w:val="28"/>
          <w:szCs w:val="28"/>
        </w:rPr>
        <w:t>第</w:t>
      </w:r>
      <w:r w:rsidR="006B539F" w:rsidRPr="006B539F">
        <w:rPr>
          <w:rFonts w:ascii="Cambria Math" w:eastAsia="標楷體" w:hAnsi="Cambria Math" w:cs="Times New Roman"/>
          <w:color w:val="000000" w:themeColor="text1"/>
          <w:sz w:val="28"/>
          <w:szCs w:val="28"/>
        </w:rPr>
        <w:t>21</w:t>
      </w:r>
      <w:r w:rsidR="006B539F" w:rsidRPr="006B539F">
        <w:rPr>
          <w:rFonts w:ascii="Cambria Math" w:eastAsia="標楷體" w:hAnsi="Cambria Math" w:cs="Times New Roman" w:hint="eastAsia"/>
          <w:color w:val="000000" w:themeColor="text1"/>
          <w:sz w:val="28"/>
          <w:szCs w:val="28"/>
        </w:rPr>
        <w:t>條之</w:t>
      </w:r>
      <w:r w:rsidR="006B539F" w:rsidRPr="006B539F">
        <w:rPr>
          <w:rFonts w:ascii="Cambria Math" w:eastAsia="標楷體" w:hAnsi="Cambria Math" w:cs="Times New Roman"/>
          <w:color w:val="000000" w:themeColor="text1"/>
          <w:sz w:val="28"/>
          <w:szCs w:val="28"/>
        </w:rPr>
        <w:t>1</w:t>
      </w:r>
      <w:r w:rsidR="006B539F" w:rsidRPr="006B539F">
        <w:rPr>
          <w:rFonts w:ascii="Cambria Math" w:eastAsia="標楷體" w:hAnsi="Cambria Math" w:cs="Times New Roman" w:hint="eastAsia"/>
          <w:color w:val="000000" w:themeColor="text1"/>
          <w:sz w:val="28"/>
          <w:szCs w:val="28"/>
        </w:rPr>
        <w:t>第</w:t>
      </w:r>
      <w:r w:rsidR="006B539F" w:rsidRPr="006B539F">
        <w:rPr>
          <w:rFonts w:ascii="Cambria Math" w:eastAsia="標楷體" w:hAnsi="Cambria Math" w:cs="Times New Roman"/>
          <w:color w:val="000000" w:themeColor="text1"/>
          <w:sz w:val="28"/>
          <w:szCs w:val="28"/>
        </w:rPr>
        <w:t>1</w:t>
      </w:r>
      <w:r w:rsidR="006B539F" w:rsidRPr="006B539F">
        <w:rPr>
          <w:rFonts w:ascii="Cambria Math" w:eastAsia="標楷體" w:hAnsi="Cambria Math" w:cs="Times New Roman" w:hint="eastAsia"/>
          <w:color w:val="000000" w:themeColor="text1"/>
          <w:sz w:val="28"/>
          <w:szCs w:val="28"/>
        </w:rPr>
        <w:t>項及第</w:t>
      </w:r>
      <w:r w:rsidR="006B539F" w:rsidRPr="006B539F">
        <w:rPr>
          <w:rFonts w:ascii="Cambria Math" w:eastAsia="標楷體" w:hAnsi="Cambria Math" w:cs="Times New Roman"/>
          <w:color w:val="000000" w:themeColor="text1"/>
          <w:sz w:val="28"/>
          <w:szCs w:val="28"/>
        </w:rPr>
        <w:t>23</w:t>
      </w:r>
      <w:r w:rsidR="006B539F" w:rsidRPr="006B539F">
        <w:rPr>
          <w:rFonts w:ascii="Cambria Math" w:eastAsia="標楷體" w:hAnsi="Cambria Math" w:cs="Times New Roman" w:hint="eastAsia"/>
          <w:color w:val="000000" w:themeColor="text1"/>
          <w:sz w:val="28"/>
          <w:szCs w:val="28"/>
        </w:rPr>
        <w:t>條第</w:t>
      </w:r>
      <w:r w:rsidR="006B539F" w:rsidRPr="006B539F">
        <w:rPr>
          <w:rFonts w:ascii="Cambria Math" w:eastAsia="標楷體" w:hAnsi="Cambria Math" w:cs="Times New Roman"/>
          <w:color w:val="000000" w:themeColor="text1"/>
          <w:sz w:val="28"/>
          <w:szCs w:val="28"/>
        </w:rPr>
        <w:t>4</w:t>
      </w:r>
      <w:r w:rsidR="001C5B17">
        <w:rPr>
          <w:rFonts w:ascii="Cambria Math" w:eastAsia="標楷體" w:hAnsi="Cambria Math" w:cs="Times New Roman" w:hint="eastAsia"/>
          <w:color w:val="000000" w:themeColor="text1"/>
          <w:sz w:val="28"/>
          <w:szCs w:val="28"/>
        </w:rPr>
        <w:t>項</w:t>
      </w:r>
      <w:r w:rsidR="006B539F" w:rsidRPr="006B539F">
        <w:rPr>
          <w:rFonts w:ascii="Cambria Math" w:eastAsia="標楷體" w:hAnsi="Cambria Math" w:cs="Times New Roman" w:hint="eastAsia"/>
          <w:color w:val="000000" w:themeColor="text1"/>
          <w:sz w:val="28"/>
          <w:szCs w:val="28"/>
        </w:rPr>
        <w:t>規定，證券商辦理認股借貸應於股款繳納截止日次一營業日向證券交易所申報認股借貸明細之相關融通資料及計算擔保維持率。</w:t>
      </w:r>
      <w:proofErr w:type="gramStart"/>
      <w:r w:rsidR="006B539F" w:rsidRPr="006B539F">
        <w:rPr>
          <w:rFonts w:ascii="Cambria Math" w:eastAsia="標楷體" w:hAnsi="Cambria Math" w:cs="Times New Roman" w:hint="eastAsia"/>
          <w:color w:val="000000" w:themeColor="text1"/>
          <w:sz w:val="28"/>
          <w:szCs w:val="28"/>
        </w:rPr>
        <w:t>惟</w:t>
      </w:r>
      <w:proofErr w:type="gramEnd"/>
      <w:r w:rsidR="006B539F" w:rsidRPr="006B539F">
        <w:rPr>
          <w:rFonts w:ascii="Cambria Math" w:eastAsia="標楷體" w:hAnsi="Cambria Math" w:cs="Times New Roman" w:hint="eastAsia"/>
          <w:color w:val="000000" w:themeColor="text1"/>
          <w:sz w:val="28"/>
          <w:szCs w:val="28"/>
        </w:rPr>
        <w:t>考量證券商辦理認股借貸業務之實務作業需求，本公司經洽提案證券商及辦理本項業務之證券商，多表示於股款繳納截止日已借貸款項予客戶，可當日計算並申報新增融通金額及擔保維持率等融通資料，</w:t>
      </w:r>
      <w:proofErr w:type="gramStart"/>
      <w:r w:rsidR="006B539F" w:rsidRPr="006B539F">
        <w:rPr>
          <w:rFonts w:ascii="Cambria Math" w:eastAsia="標楷體" w:hAnsi="Cambria Math" w:cs="Times New Roman" w:hint="eastAsia"/>
          <w:color w:val="000000" w:themeColor="text1"/>
          <w:sz w:val="28"/>
          <w:szCs w:val="28"/>
        </w:rPr>
        <w:t>爰</w:t>
      </w:r>
      <w:proofErr w:type="gramEnd"/>
      <w:r w:rsidR="006B539F" w:rsidRPr="006B539F">
        <w:rPr>
          <w:rFonts w:ascii="Cambria Math" w:eastAsia="標楷體" w:hAnsi="Cambria Math" w:cs="Times New Roman" w:hint="eastAsia"/>
          <w:color w:val="000000" w:themeColor="text1"/>
          <w:sz w:val="28"/>
          <w:szCs w:val="28"/>
        </w:rPr>
        <w:t>在作業便利性上放寬證券</w:t>
      </w:r>
      <w:bookmarkStart w:id="0" w:name="_GoBack"/>
      <w:bookmarkEnd w:id="0"/>
      <w:r w:rsidR="006B539F" w:rsidRPr="006B539F">
        <w:rPr>
          <w:rFonts w:ascii="Cambria Math" w:eastAsia="標楷體" w:hAnsi="Cambria Math" w:cs="Times New Roman" w:hint="eastAsia"/>
          <w:color w:val="000000" w:themeColor="text1"/>
          <w:sz w:val="28"/>
          <w:szCs w:val="28"/>
        </w:rPr>
        <w:t>商辦理認股借貸者，可於股款繳納截止日申報融通資料。</w:t>
      </w:r>
      <w:proofErr w:type="gramStart"/>
      <w:r w:rsidR="006B539F" w:rsidRPr="006B539F">
        <w:rPr>
          <w:rFonts w:ascii="Cambria Math" w:eastAsia="標楷體" w:hAnsi="Cambria Math" w:cs="Times New Roman" w:hint="eastAsia"/>
          <w:color w:val="000000" w:themeColor="text1"/>
          <w:sz w:val="28"/>
          <w:szCs w:val="28"/>
        </w:rPr>
        <w:t>爰</w:t>
      </w:r>
      <w:proofErr w:type="gramEnd"/>
      <w:r w:rsidR="006B539F" w:rsidRPr="006B539F">
        <w:rPr>
          <w:rFonts w:ascii="Cambria Math" w:eastAsia="標楷體" w:hAnsi="Cambria Math" w:cs="Times New Roman" w:hint="eastAsia"/>
          <w:color w:val="000000" w:themeColor="text1"/>
          <w:sz w:val="28"/>
          <w:szCs w:val="28"/>
        </w:rPr>
        <w:t>此，證券商可於股</w:t>
      </w:r>
      <w:r w:rsidR="006B539F" w:rsidRPr="006B539F">
        <w:rPr>
          <w:rFonts w:ascii="Cambria Math" w:eastAsia="標楷體" w:hAnsi="Cambria Math" w:cs="Times New Roman" w:hint="eastAsia"/>
          <w:color w:val="000000" w:themeColor="text1"/>
          <w:sz w:val="28"/>
          <w:szCs w:val="28"/>
        </w:rPr>
        <w:lastRenderedPageBreak/>
        <w:t>款繳納截止日當日，</w:t>
      </w:r>
      <w:proofErr w:type="gramStart"/>
      <w:r w:rsidR="006B539F" w:rsidRPr="006B539F">
        <w:rPr>
          <w:rFonts w:ascii="Cambria Math" w:eastAsia="標楷體" w:hAnsi="Cambria Math" w:cs="Times New Roman" w:hint="eastAsia"/>
          <w:color w:val="000000" w:themeColor="text1"/>
          <w:sz w:val="28"/>
          <w:szCs w:val="28"/>
        </w:rPr>
        <w:t>惟最遲</w:t>
      </w:r>
      <w:proofErr w:type="gramEnd"/>
      <w:r w:rsidR="001C5B17">
        <w:rPr>
          <w:rFonts w:ascii="Cambria Math" w:eastAsia="標楷體" w:hAnsi="Cambria Math" w:cs="Times New Roman" w:hint="eastAsia"/>
          <w:color w:val="000000" w:themeColor="text1"/>
          <w:sz w:val="28"/>
          <w:szCs w:val="28"/>
        </w:rPr>
        <w:t>應於</w:t>
      </w:r>
      <w:r w:rsidR="006B539F" w:rsidRPr="006B539F">
        <w:rPr>
          <w:rFonts w:ascii="Cambria Math" w:eastAsia="標楷體" w:hAnsi="Cambria Math" w:cs="Times New Roman" w:hint="eastAsia"/>
          <w:color w:val="000000" w:themeColor="text1"/>
          <w:sz w:val="28"/>
          <w:szCs w:val="28"/>
        </w:rPr>
        <w:t>次日申報認股借貸融通資料。</w:t>
      </w:r>
    </w:p>
    <w:p w:rsidR="00F5614D" w:rsidRDefault="00F5614D" w:rsidP="006B539F">
      <w:pPr>
        <w:pStyle w:val="a3"/>
        <w:snapToGrid w:val="0"/>
        <w:spacing w:line="440" w:lineRule="exact"/>
        <w:ind w:leftChars="0" w:left="567"/>
        <w:rPr>
          <w:rFonts w:ascii="Cambria Math" w:eastAsia="標楷體" w:hAnsi="Cambria Math" w:cs="Times New Roman" w:hint="eastAsia"/>
          <w:color w:val="000000" w:themeColor="text1"/>
          <w:sz w:val="28"/>
          <w:szCs w:val="28"/>
        </w:rPr>
      </w:pPr>
    </w:p>
    <w:p w:rsidR="00CB74BD" w:rsidRDefault="00CB74BD" w:rsidP="00675A48">
      <w:pPr>
        <w:pStyle w:val="a3"/>
        <w:numPr>
          <w:ilvl w:val="0"/>
          <w:numId w:val="1"/>
        </w:numPr>
        <w:snapToGrid w:val="0"/>
        <w:spacing w:line="440" w:lineRule="exact"/>
        <w:ind w:leftChars="0" w:left="567" w:hanging="567"/>
        <w:rPr>
          <w:rFonts w:ascii="Cambria Math" w:eastAsia="標楷體" w:hAnsi="Cambria Math"/>
          <w:sz w:val="28"/>
          <w:szCs w:val="28"/>
        </w:rPr>
      </w:pPr>
      <w:r w:rsidRPr="00675A48">
        <w:rPr>
          <w:rFonts w:ascii="Cambria Math" w:eastAsia="標楷體" w:hAnsi="Cambria Math"/>
          <w:sz w:val="28"/>
          <w:szCs w:val="28"/>
        </w:rPr>
        <w:t>證券商提供發行人遇有認股借貸現金發行新股不成立或經主管機關撤銷或廢止時，退還認購股款之帳戶</w:t>
      </w:r>
      <w:r w:rsidR="002B00CC" w:rsidRPr="00675A48">
        <w:rPr>
          <w:rFonts w:ascii="Cambria Math" w:eastAsia="標楷體" w:hAnsi="Cambria Math"/>
          <w:sz w:val="28"/>
          <w:szCs w:val="28"/>
        </w:rPr>
        <w:t>？</w:t>
      </w:r>
    </w:p>
    <w:p w:rsidR="00664066" w:rsidRDefault="00A544E4" w:rsidP="006B539F">
      <w:pPr>
        <w:pStyle w:val="a3"/>
        <w:tabs>
          <w:tab w:val="left" w:pos="5245"/>
        </w:tabs>
        <w:snapToGrid w:val="0"/>
        <w:spacing w:line="440" w:lineRule="exact"/>
        <w:ind w:leftChars="0" w:left="567"/>
        <w:rPr>
          <w:rFonts w:ascii="Cambria Math" w:eastAsia="標楷體" w:hAnsi="Cambria Math"/>
          <w:sz w:val="28"/>
          <w:szCs w:val="28"/>
        </w:rPr>
      </w:pPr>
      <w:r w:rsidRPr="00A544E4">
        <w:rPr>
          <w:rFonts w:ascii="Cambria Math" w:eastAsia="標楷體" w:hAnsi="Cambria Math" w:cs="Times New Roman" w:hint="eastAsia"/>
          <w:color w:val="000000" w:themeColor="text1"/>
          <w:sz w:val="28"/>
          <w:szCs w:val="28"/>
        </w:rPr>
        <w:t>答：</w:t>
      </w:r>
      <w:r w:rsidR="006B539F" w:rsidRPr="006B539F">
        <w:rPr>
          <w:rFonts w:ascii="Cambria Math" w:eastAsia="標楷體" w:hAnsi="Cambria Math" w:hint="eastAsia"/>
          <w:sz w:val="28"/>
          <w:szCs w:val="28"/>
        </w:rPr>
        <w:t>依據證券商辦理證券業務借貸款項操作辦法第</w:t>
      </w:r>
      <w:r w:rsidR="006B539F" w:rsidRPr="006B539F">
        <w:rPr>
          <w:rFonts w:ascii="Cambria Math" w:eastAsia="標楷體" w:hAnsi="Cambria Math" w:hint="eastAsia"/>
          <w:sz w:val="28"/>
          <w:szCs w:val="28"/>
        </w:rPr>
        <w:t>14</w:t>
      </w:r>
      <w:r w:rsidR="006B539F" w:rsidRPr="006B539F">
        <w:rPr>
          <w:rFonts w:ascii="Cambria Math" w:eastAsia="標楷體" w:hAnsi="Cambria Math" w:hint="eastAsia"/>
          <w:sz w:val="28"/>
          <w:szCs w:val="28"/>
        </w:rPr>
        <w:t>條之</w:t>
      </w:r>
      <w:r w:rsidR="006B539F" w:rsidRPr="006B539F">
        <w:rPr>
          <w:rFonts w:ascii="Cambria Math" w:eastAsia="標楷體" w:hAnsi="Cambria Math" w:hint="eastAsia"/>
          <w:sz w:val="28"/>
          <w:szCs w:val="28"/>
        </w:rPr>
        <w:t>3</w:t>
      </w:r>
      <w:r w:rsidR="006B539F" w:rsidRPr="006B539F">
        <w:rPr>
          <w:rFonts w:ascii="Cambria Math" w:eastAsia="標楷體" w:hAnsi="Cambria Math" w:hint="eastAsia"/>
          <w:sz w:val="28"/>
          <w:szCs w:val="28"/>
        </w:rPr>
        <w:t>第</w:t>
      </w:r>
      <w:r w:rsidR="006B539F" w:rsidRPr="006B539F">
        <w:rPr>
          <w:rFonts w:ascii="Cambria Math" w:eastAsia="標楷體" w:hAnsi="Cambria Math" w:hint="eastAsia"/>
          <w:sz w:val="28"/>
          <w:szCs w:val="28"/>
        </w:rPr>
        <w:t>1</w:t>
      </w:r>
      <w:r w:rsidR="006B539F" w:rsidRPr="006B539F">
        <w:rPr>
          <w:rFonts w:ascii="Cambria Math" w:eastAsia="標楷體" w:hAnsi="Cambria Math" w:hint="eastAsia"/>
          <w:sz w:val="28"/>
          <w:szCs w:val="28"/>
        </w:rPr>
        <w:t>項規定，當</w:t>
      </w:r>
      <w:r w:rsidR="0071571D" w:rsidRPr="0071571D">
        <w:rPr>
          <w:rFonts w:ascii="Cambria Math" w:eastAsia="標楷體" w:hAnsi="Cambria Math" w:hint="eastAsia"/>
          <w:sz w:val="28"/>
          <w:szCs w:val="28"/>
        </w:rPr>
        <w:t>遇有認股借貸現金發行新股不成立或經主管機關撤銷或廢止時</w:t>
      </w:r>
      <w:r w:rsidR="006B539F" w:rsidRPr="006B539F">
        <w:rPr>
          <w:rFonts w:ascii="Cambria Math" w:eastAsia="標楷體" w:hAnsi="Cambria Math" w:hint="eastAsia"/>
          <w:sz w:val="28"/>
          <w:szCs w:val="28"/>
        </w:rPr>
        <w:t>，發行人應將認購股款退還至「證券商交割專戶客戶分戶帳」。此帳戶是專門用來區分不同客戶的款項，以確保每位客戶的款項都能正確退回。證券商不得以</w:t>
      </w:r>
      <w:r w:rsidR="006B539F">
        <w:rPr>
          <w:rFonts w:ascii="Cambria Math" w:eastAsia="標楷體" w:hAnsi="Cambria Math" w:hint="eastAsia"/>
          <w:sz w:val="28"/>
          <w:szCs w:val="28"/>
        </w:rPr>
        <w:t>交割帳戶或</w:t>
      </w:r>
      <w:r w:rsidR="006B539F" w:rsidRPr="006B539F">
        <w:rPr>
          <w:rFonts w:ascii="Cambria Math" w:eastAsia="標楷體" w:hAnsi="Cambria Math" w:hint="eastAsia"/>
          <w:sz w:val="28"/>
          <w:szCs w:val="28"/>
        </w:rPr>
        <w:t>其他無法明確區分客戶款項的帳戶替代，以避免產生糾紛。</w:t>
      </w:r>
    </w:p>
    <w:p w:rsidR="006B539F" w:rsidRPr="009163BF" w:rsidRDefault="006B539F" w:rsidP="006B539F">
      <w:pPr>
        <w:pStyle w:val="a3"/>
        <w:snapToGrid w:val="0"/>
        <w:spacing w:line="440" w:lineRule="exact"/>
        <w:ind w:leftChars="0" w:left="567"/>
        <w:rPr>
          <w:rFonts w:ascii="Cambria Math" w:eastAsia="標楷體" w:hAnsi="Cambria Math"/>
          <w:sz w:val="28"/>
          <w:szCs w:val="28"/>
        </w:rPr>
      </w:pPr>
    </w:p>
    <w:p w:rsidR="005C3C28" w:rsidRDefault="00AC11BF" w:rsidP="00675A48">
      <w:pPr>
        <w:pStyle w:val="a3"/>
        <w:numPr>
          <w:ilvl w:val="0"/>
          <w:numId w:val="1"/>
        </w:numPr>
        <w:snapToGrid w:val="0"/>
        <w:spacing w:line="440" w:lineRule="exact"/>
        <w:ind w:leftChars="0" w:left="567" w:hanging="567"/>
        <w:rPr>
          <w:rFonts w:ascii="Cambria Math" w:eastAsia="標楷體" w:hAnsi="Cambria Math"/>
          <w:sz w:val="28"/>
          <w:szCs w:val="28"/>
        </w:rPr>
      </w:pPr>
      <w:r w:rsidRPr="00675A48">
        <w:rPr>
          <w:rFonts w:ascii="Cambria Math" w:eastAsia="標楷體" w:hAnsi="Cambria Math"/>
          <w:sz w:val="28"/>
          <w:szCs w:val="28"/>
        </w:rPr>
        <w:t>證券商辦理認股借貸之</w:t>
      </w:r>
      <w:r w:rsidR="005C3C28" w:rsidRPr="00675A48">
        <w:rPr>
          <w:rFonts w:ascii="Cambria Math" w:eastAsia="標楷體" w:hAnsi="Cambria Math"/>
          <w:sz w:val="28"/>
          <w:szCs w:val="28"/>
        </w:rPr>
        <w:t>起息日</w:t>
      </w:r>
      <w:r w:rsidR="002B00CC" w:rsidRPr="00675A48">
        <w:rPr>
          <w:rFonts w:ascii="Cambria Math" w:eastAsia="標楷體" w:hAnsi="Cambria Math"/>
          <w:sz w:val="28"/>
          <w:szCs w:val="28"/>
        </w:rPr>
        <w:t>？</w:t>
      </w:r>
    </w:p>
    <w:p w:rsidR="005A7AD5" w:rsidRPr="00675A48" w:rsidRDefault="00A544E4" w:rsidP="00675A48">
      <w:pPr>
        <w:pStyle w:val="a3"/>
        <w:snapToGrid w:val="0"/>
        <w:spacing w:line="440" w:lineRule="exact"/>
        <w:ind w:leftChars="0" w:left="567"/>
        <w:rPr>
          <w:rFonts w:ascii="Cambria Math" w:eastAsia="標楷體" w:hAnsi="Cambria Math"/>
          <w:sz w:val="28"/>
          <w:szCs w:val="28"/>
        </w:rPr>
      </w:pPr>
      <w:r w:rsidRPr="00A544E4">
        <w:rPr>
          <w:rFonts w:ascii="Cambria Math" w:eastAsia="標楷體" w:hAnsi="Cambria Math" w:cs="Times New Roman" w:hint="eastAsia"/>
          <w:color w:val="000000" w:themeColor="text1"/>
          <w:sz w:val="28"/>
          <w:szCs w:val="28"/>
        </w:rPr>
        <w:t>答：</w:t>
      </w:r>
      <w:r w:rsidR="006B539F" w:rsidRPr="006B539F">
        <w:rPr>
          <w:rFonts w:ascii="Cambria Math" w:eastAsia="標楷體" w:hAnsi="Cambria Math" w:cs="Times New Roman" w:hint="eastAsia"/>
          <w:color w:val="000000" w:themeColor="text1"/>
          <w:sz w:val="28"/>
          <w:szCs w:val="28"/>
        </w:rPr>
        <w:t>依據證券商辦理證券業務借貸款項操作辦法第</w:t>
      </w:r>
      <w:r w:rsidR="006B539F" w:rsidRPr="006B539F">
        <w:rPr>
          <w:rFonts w:ascii="Cambria Math" w:eastAsia="標楷體" w:hAnsi="Cambria Math" w:cs="Times New Roman" w:hint="eastAsia"/>
          <w:color w:val="000000" w:themeColor="text1"/>
          <w:sz w:val="28"/>
          <w:szCs w:val="28"/>
        </w:rPr>
        <w:t>14</w:t>
      </w:r>
      <w:r w:rsidR="006B539F" w:rsidRPr="006B539F">
        <w:rPr>
          <w:rFonts w:ascii="Cambria Math" w:eastAsia="標楷體" w:hAnsi="Cambria Math" w:cs="Times New Roman" w:hint="eastAsia"/>
          <w:color w:val="000000" w:themeColor="text1"/>
          <w:sz w:val="28"/>
          <w:szCs w:val="28"/>
        </w:rPr>
        <w:t>條之</w:t>
      </w:r>
      <w:r w:rsidR="006B539F" w:rsidRPr="006B539F">
        <w:rPr>
          <w:rFonts w:ascii="Cambria Math" w:eastAsia="標楷體" w:hAnsi="Cambria Math" w:cs="Times New Roman" w:hint="eastAsia"/>
          <w:color w:val="000000" w:themeColor="text1"/>
          <w:sz w:val="28"/>
          <w:szCs w:val="28"/>
        </w:rPr>
        <w:t>1</w:t>
      </w:r>
      <w:r w:rsidR="006B539F" w:rsidRPr="006B539F">
        <w:rPr>
          <w:rFonts w:ascii="Cambria Math" w:eastAsia="標楷體" w:hAnsi="Cambria Math" w:cs="Times New Roman" w:hint="eastAsia"/>
          <w:color w:val="000000" w:themeColor="text1"/>
          <w:sz w:val="28"/>
          <w:szCs w:val="28"/>
        </w:rPr>
        <w:t>第</w:t>
      </w:r>
      <w:r w:rsidR="006B539F" w:rsidRPr="006B539F">
        <w:rPr>
          <w:rFonts w:ascii="Cambria Math" w:eastAsia="標楷體" w:hAnsi="Cambria Math" w:cs="Times New Roman" w:hint="eastAsia"/>
          <w:color w:val="000000" w:themeColor="text1"/>
          <w:sz w:val="28"/>
          <w:szCs w:val="28"/>
        </w:rPr>
        <w:t>2</w:t>
      </w:r>
      <w:r w:rsidR="006B539F" w:rsidRPr="006B539F">
        <w:rPr>
          <w:rFonts w:ascii="Cambria Math" w:eastAsia="標楷體" w:hAnsi="Cambria Math" w:cs="Times New Roman" w:hint="eastAsia"/>
          <w:color w:val="000000" w:themeColor="text1"/>
          <w:sz w:val="28"/>
          <w:szCs w:val="28"/>
        </w:rPr>
        <w:t>項規定，客戶申請認股借貸後，應於新股認購繳款截止日前一營業日以前將自備款匯入證券商開立之交割專戶。證券商自股款繳納截止日起，向客戶提供借貸款項，並自同日起開始計算利息。</w:t>
      </w:r>
    </w:p>
    <w:sectPr w:rsidR="005A7AD5" w:rsidRPr="00675A48">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AD1" w:rsidRDefault="00593AD1" w:rsidP="001C5B17">
      <w:r>
        <w:separator/>
      </w:r>
    </w:p>
  </w:endnote>
  <w:endnote w:type="continuationSeparator" w:id="0">
    <w:p w:rsidR="00593AD1" w:rsidRDefault="00593AD1" w:rsidP="001C5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8651124"/>
      <w:docPartObj>
        <w:docPartGallery w:val="Page Numbers (Bottom of Page)"/>
        <w:docPartUnique/>
      </w:docPartObj>
    </w:sdtPr>
    <w:sdtEndPr/>
    <w:sdtContent>
      <w:p w:rsidR="001C5B17" w:rsidRDefault="001C5B17">
        <w:pPr>
          <w:pStyle w:val="ae"/>
          <w:jc w:val="center"/>
        </w:pPr>
        <w:r>
          <w:fldChar w:fldCharType="begin"/>
        </w:r>
        <w:r>
          <w:instrText>PAGE   \* MERGEFORMAT</w:instrText>
        </w:r>
        <w:r>
          <w:fldChar w:fldCharType="separate"/>
        </w:r>
        <w:r w:rsidR="00F5614D" w:rsidRPr="00F5614D">
          <w:rPr>
            <w:noProof/>
            <w:lang w:val="zh-TW"/>
          </w:rPr>
          <w:t>2</w:t>
        </w:r>
        <w:r>
          <w:fldChar w:fldCharType="end"/>
        </w:r>
      </w:p>
    </w:sdtContent>
  </w:sdt>
  <w:p w:rsidR="001C5B17" w:rsidRDefault="001C5B1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AD1" w:rsidRDefault="00593AD1" w:rsidP="001C5B17">
      <w:r>
        <w:separator/>
      </w:r>
    </w:p>
  </w:footnote>
  <w:footnote w:type="continuationSeparator" w:id="0">
    <w:p w:rsidR="00593AD1" w:rsidRDefault="00593AD1" w:rsidP="001C5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28C2"/>
    <w:multiLevelType w:val="hybridMultilevel"/>
    <w:tmpl w:val="D6004762"/>
    <w:lvl w:ilvl="0" w:tplc="04090015">
      <w:start w:val="1"/>
      <w:numFmt w:val="taiwaneseCountingThousand"/>
      <w:lvlText w:val="%1、"/>
      <w:lvlJc w:val="left"/>
      <w:pPr>
        <w:ind w:left="480" w:hanging="48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240352"/>
    <w:multiLevelType w:val="hybridMultilevel"/>
    <w:tmpl w:val="7FC04FF4"/>
    <w:lvl w:ilvl="0" w:tplc="E6BEC8BC">
      <w:start w:val="1"/>
      <w:numFmt w:val="taiwaneseCountingThousand"/>
      <w:lvlText w:val="(%1)"/>
      <w:lvlJc w:val="left"/>
      <w:pPr>
        <w:ind w:left="1080" w:hanging="600"/>
      </w:pPr>
      <w:rPr>
        <w:rFonts w:cstheme="minorBidi"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FD522EF"/>
    <w:multiLevelType w:val="hybridMultilevel"/>
    <w:tmpl w:val="09B853C8"/>
    <w:lvl w:ilvl="0" w:tplc="BD9CC236">
      <w:start w:val="1"/>
      <w:numFmt w:val="taiwaneseCountingThousand"/>
      <w:lvlText w:val="(%1)"/>
      <w:lvlJc w:val="left"/>
      <w:pPr>
        <w:ind w:left="1668" w:hanging="720"/>
      </w:pPr>
      <w:rPr>
        <w:rFonts w:hint="default"/>
        <w:b/>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3" w15:restartNumberingAfterBreak="0">
    <w:nsid w:val="2A135985"/>
    <w:multiLevelType w:val="multilevel"/>
    <w:tmpl w:val="0F18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293976"/>
    <w:multiLevelType w:val="hybridMultilevel"/>
    <w:tmpl w:val="82A2FC3C"/>
    <w:lvl w:ilvl="0" w:tplc="E6BEC8BC">
      <w:start w:val="1"/>
      <w:numFmt w:val="taiwaneseCountingThousand"/>
      <w:lvlText w:val="(%1)"/>
      <w:lvlJc w:val="left"/>
      <w:pPr>
        <w:ind w:left="1046" w:hanging="480"/>
      </w:pPr>
      <w:rPr>
        <w:rFonts w:cstheme="minorBidi" w:hint="default"/>
        <w:color w:val="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 w15:restartNumberingAfterBreak="0">
    <w:nsid w:val="5A2809D3"/>
    <w:multiLevelType w:val="hybridMultilevel"/>
    <w:tmpl w:val="1436C89A"/>
    <w:lvl w:ilvl="0" w:tplc="0409000F">
      <w:start w:val="1"/>
      <w:numFmt w:val="decimal"/>
      <w:lvlText w:val="%1."/>
      <w:lvlJc w:val="left"/>
      <w:pPr>
        <w:ind w:left="1668" w:hanging="720"/>
      </w:pPr>
      <w:rPr>
        <w:rFonts w:hint="default"/>
        <w:b/>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28"/>
    <w:rsid w:val="0012394E"/>
    <w:rsid w:val="001527A5"/>
    <w:rsid w:val="001B18FA"/>
    <w:rsid w:val="001C5B17"/>
    <w:rsid w:val="00244992"/>
    <w:rsid w:val="002B00CC"/>
    <w:rsid w:val="002B68E6"/>
    <w:rsid w:val="002F2EEF"/>
    <w:rsid w:val="003D6A0A"/>
    <w:rsid w:val="003E22B3"/>
    <w:rsid w:val="00445241"/>
    <w:rsid w:val="0047665A"/>
    <w:rsid w:val="005104DE"/>
    <w:rsid w:val="00593AD1"/>
    <w:rsid w:val="005B7C07"/>
    <w:rsid w:val="005C3C28"/>
    <w:rsid w:val="005F174D"/>
    <w:rsid w:val="005F7F46"/>
    <w:rsid w:val="006013F2"/>
    <w:rsid w:val="00664066"/>
    <w:rsid w:val="00675A48"/>
    <w:rsid w:val="0068558E"/>
    <w:rsid w:val="006A0958"/>
    <w:rsid w:val="006B539F"/>
    <w:rsid w:val="007059B2"/>
    <w:rsid w:val="0071571D"/>
    <w:rsid w:val="0074064F"/>
    <w:rsid w:val="007F454B"/>
    <w:rsid w:val="008C26D6"/>
    <w:rsid w:val="009163BF"/>
    <w:rsid w:val="00A11244"/>
    <w:rsid w:val="00A544E4"/>
    <w:rsid w:val="00AB664C"/>
    <w:rsid w:val="00AC11BF"/>
    <w:rsid w:val="00C17E7C"/>
    <w:rsid w:val="00C9682C"/>
    <w:rsid w:val="00CB74BD"/>
    <w:rsid w:val="00CC570F"/>
    <w:rsid w:val="00DA592D"/>
    <w:rsid w:val="00E07DAB"/>
    <w:rsid w:val="00E34365"/>
    <w:rsid w:val="00ED6E6B"/>
    <w:rsid w:val="00F21CC3"/>
    <w:rsid w:val="00F3276D"/>
    <w:rsid w:val="00F5614D"/>
    <w:rsid w:val="00FF2D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0D120"/>
  <w15:chartTrackingRefBased/>
  <w15:docId w15:val="{4CCA25D6-2F1F-4EF3-A44E-6DA6E5256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68E6"/>
    <w:pPr>
      <w:ind w:leftChars="200" w:left="480"/>
    </w:pPr>
  </w:style>
  <w:style w:type="character" w:styleId="a4">
    <w:name w:val="annotation reference"/>
    <w:basedOn w:val="a0"/>
    <w:uiPriority w:val="99"/>
    <w:semiHidden/>
    <w:unhideWhenUsed/>
    <w:rsid w:val="005104DE"/>
    <w:rPr>
      <w:sz w:val="18"/>
      <w:szCs w:val="18"/>
    </w:rPr>
  </w:style>
  <w:style w:type="paragraph" w:styleId="a5">
    <w:name w:val="annotation text"/>
    <w:basedOn w:val="a"/>
    <w:link w:val="a6"/>
    <w:uiPriority w:val="99"/>
    <w:semiHidden/>
    <w:unhideWhenUsed/>
    <w:rsid w:val="005104DE"/>
  </w:style>
  <w:style w:type="character" w:customStyle="1" w:styleId="a6">
    <w:name w:val="註解文字 字元"/>
    <w:basedOn w:val="a0"/>
    <w:link w:val="a5"/>
    <w:uiPriority w:val="99"/>
    <w:semiHidden/>
    <w:rsid w:val="005104DE"/>
  </w:style>
  <w:style w:type="paragraph" w:styleId="a7">
    <w:name w:val="annotation subject"/>
    <w:basedOn w:val="a5"/>
    <w:next w:val="a5"/>
    <w:link w:val="a8"/>
    <w:uiPriority w:val="99"/>
    <w:semiHidden/>
    <w:unhideWhenUsed/>
    <w:rsid w:val="005104DE"/>
    <w:rPr>
      <w:b/>
      <w:bCs/>
    </w:rPr>
  </w:style>
  <w:style w:type="character" w:customStyle="1" w:styleId="a8">
    <w:name w:val="註解主旨 字元"/>
    <w:basedOn w:val="a6"/>
    <w:link w:val="a7"/>
    <w:uiPriority w:val="99"/>
    <w:semiHidden/>
    <w:rsid w:val="005104DE"/>
    <w:rPr>
      <w:b/>
      <w:bCs/>
    </w:rPr>
  </w:style>
  <w:style w:type="paragraph" w:styleId="a9">
    <w:name w:val="Balloon Text"/>
    <w:basedOn w:val="a"/>
    <w:link w:val="aa"/>
    <w:uiPriority w:val="99"/>
    <w:semiHidden/>
    <w:unhideWhenUsed/>
    <w:rsid w:val="005104D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104DE"/>
    <w:rPr>
      <w:rFonts w:asciiTheme="majorHAnsi" w:eastAsiaTheme="majorEastAsia" w:hAnsiTheme="majorHAnsi" w:cstheme="majorBidi"/>
      <w:sz w:val="18"/>
      <w:szCs w:val="18"/>
    </w:rPr>
  </w:style>
  <w:style w:type="character" w:styleId="ab">
    <w:name w:val="Placeholder Text"/>
    <w:basedOn w:val="a0"/>
    <w:uiPriority w:val="99"/>
    <w:semiHidden/>
    <w:rsid w:val="003E22B3"/>
    <w:rPr>
      <w:color w:val="808080"/>
    </w:rPr>
  </w:style>
  <w:style w:type="paragraph" w:styleId="ac">
    <w:name w:val="header"/>
    <w:basedOn w:val="a"/>
    <w:link w:val="ad"/>
    <w:uiPriority w:val="99"/>
    <w:unhideWhenUsed/>
    <w:rsid w:val="001C5B17"/>
    <w:pPr>
      <w:tabs>
        <w:tab w:val="center" w:pos="4153"/>
        <w:tab w:val="right" w:pos="8306"/>
      </w:tabs>
      <w:snapToGrid w:val="0"/>
    </w:pPr>
    <w:rPr>
      <w:sz w:val="20"/>
      <w:szCs w:val="20"/>
    </w:rPr>
  </w:style>
  <w:style w:type="character" w:customStyle="1" w:styleId="ad">
    <w:name w:val="頁首 字元"/>
    <w:basedOn w:val="a0"/>
    <w:link w:val="ac"/>
    <w:uiPriority w:val="99"/>
    <w:rsid w:val="001C5B17"/>
    <w:rPr>
      <w:sz w:val="20"/>
      <w:szCs w:val="20"/>
    </w:rPr>
  </w:style>
  <w:style w:type="paragraph" w:styleId="ae">
    <w:name w:val="footer"/>
    <w:basedOn w:val="a"/>
    <w:link w:val="af"/>
    <w:uiPriority w:val="99"/>
    <w:unhideWhenUsed/>
    <w:rsid w:val="001C5B17"/>
    <w:pPr>
      <w:tabs>
        <w:tab w:val="center" w:pos="4153"/>
        <w:tab w:val="right" w:pos="8306"/>
      </w:tabs>
      <w:snapToGrid w:val="0"/>
    </w:pPr>
    <w:rPr>
      <w:sz w:val="20"/>
      <w:szCs w:val="20"/>
    </w:rPr>
  </w:style>
  <w:style w:type="character" w:customStyle="1" w:styleId="af">
    <w:name w:val="頁尾 字元"/>
    <w:basedOn w:val="a0"/>
    <w:link w:val="ae"/>
    <w:uiPriority w:val="99"/>
    <w:rsid w:val="001C5B1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861675">
      <w:bodyDiv w:val="1"/>
      <w:marLeft w:val="0"/>
      <w:marRight w:val="0"/>
      <w:marTop w:val="0"/>
      <w:marBottom w:val="0"/>
      <w:divBdr>
        <w:top w:val="none" w:sz="0" w:space="0" w:color="auto"/>
        <w:left w:val="none" w:sz="0" w:space="0" w:color="auto"/>
        <w:bottom w:val="none" w:sz="0" w:space="0" w:color="auto"/>
        <w:right w:val="none" w:sz="0" w:space="0" w:color="auto"/>
      </w:divBdr>
    </w:div>
    <w:div w:id="542248725">
      <w:bodyDiv w:val="1"/>
      <w:marLeft w:val="0"/>
      <w:marRight w:val="0"/>
      <w:marTop w:val="0"/>
      <w:marBottom w:val="0"/>
      <w:divBdr>
        <w:top w:val="none" w:sz="0" w:space="0" w:color="auto"/>
        <w:left w:val="none" w:sz="0" w:space="0" w:color="auto"/>
        <w:bottom w:val="none" w:sz="0" w:space="0" w:color="auto"/>
        <w:right w:val="none" w:sz="0" w:space="0" w:color="auto"/>
      </w:divBdr>
    </w:div>
    <w:div w:id="741373002">
      <w:bodyDiv w:val="1"/>
      <w:marLeft w:val="0"/>
      <w:marRight w:val="0"/>
      <w:marTop w:val="0"/>
      <w:marBottom w:val="0"/>
      <w:divBdr>
        <w:top w:val="none" w:sz="0" w:space="0" w:color="auto"/>
        <w:left w:val="none" w:sz="0" w:space="0" w:color="auto"/>
        <w:bottom w:val="none" w:sz="0" w:space="0" w:color="auto"/>
        <w:right w:val="none" w:sz="0" w:space="0" w:color="auto"/>
      </w:divBdr>
    </w:div>
    <w:div w:id="109709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156</Words>
  <Characters>891</Characters>
  <Application>Microsoft Office Word</Application>
  <DocSecurity>0</DocSecurity>
  <Lines>7</Lines>
  <Paragraphs>2</Paragraphs>
  <ScaleCrop>false</ScaleCrop>
  <Company>TWSE 臺灣證券交易所</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郭姵吟</dc:creator>
  <cp:keywords/>
  <dc:description/>
  <cp:lastModifiedBy>郭姵吟</cp:lastModifiedBy>
  <cp:revision>5</cp:revision>
  <cp:lastPrinted>2024-11-06T01:48:00Z</cp:lastPrinted>
  <dcterms:created xsi:type="dcterms:W3CDTF">2024-11-06T03:54:00Z</dcterms:created>
  <dcterms:modified xsi:type="dcterms:W3CDTF">2024-11-06T06:26:00Z</dcterms:modified>
</cp:coreProperties>
</file>