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AD" w:rsidRPr="00CF14AD" w:rsidRDefault="00CF14AD" w:rsidP="00CF14AD">
      <w:pPr>
        <w:widowControl/>
        <w:shd w:val="clear" w:color="auto" w:fill="EEEEEE"/>
        <w:spacing w:before="240" w:after="180"/>
        <w:outlineLvl w:val="2"/>
        <w:rPr>
          <w:rFonts w:ascii="標楷體" w:eastAsia="標楷體" w:hAnsi="標楷體" w:cs="新細明體"/>
          <w:color w:val="666666"/>
          <w:kern w:val="0"/>
          <w:szCs w:val="24"/>
        </w:rPr>
      </w:pPr>
      <w:r w:rsidRPr="00CF14AD">
        <w:rPr>
          <w:rFonts w:ascii="標楷體" w:eastAsia="標楷體" w:hAnsi="標楷體" w:cs="新細明體"/>
          <w:color w:val="666666"/>
          <w:kern w:val="0"/>
          <w:szCs w:val="24"/>
        </w:rPr>
        <w:t>開放證券商辦理不限用途款項借貸業務。(金管證券字第1040053607號)</w:t>
      </w:r>
    </w:p>
    <w:p w:rsidR="00CF14AD" w:rsidRPr="00CF14AD" w:rsidRDefault="00CF14AD" w:rsidP="00CF14AD">
      <w:pPr>
        <w:widowControl/>
        <w:shd w:val="clear" w:color="auto" w:fill="EEEEEE"/>
        <w:spacing w:line="384" w:lineRule="atLeast"/>
        <w:rPr>
          <w:rFonts w:ascii="標楷體" w:eastAsia="標楷體" w:hAnsi="標楷體" w:cs="新細明體"/>
          <w:color w:val="666666"/>
          <w:kern w:val="0"/>
          <w:szCs w:val="24"/>
        </w:rPr>
      </w:pPr>
      <w:r w:rsidRPr="00CF14AD">
        <w:rPr>
          <w:rFonts w:ascii="標楷體" w:eastAsia="標楷體" w:hAnsi="標楷體" w:cs="新細明體"/>
          <w:color w:val="666666"/>
          <w:kern w:val="0"/>
          <w:szCs w:val="24"/>
        </w:rPr>
        <w:t>2016-01-18</w:t>
      </w:r>
    </w:p>
    <w:p w:rsidR="00CF14AD" w:rsidRPr="00CF14AD" w:rsidRDefault="00CF14AD" w:rsidP="00CF14AD">
      <w:pPr>
        <w:widowControl/>
        <w:shd w:val="clear" w:color="auto" w:fill="EEEEEE"/>
        <w:spacing w:after="360" w:line="384" w:lineRule="atLeast"/>
        <w:rPr>
          <w:rFonts w:ascii="標楷體" w:eastAsia="標楷體" w:hAnsi="標楷體" w:cs="新細明體"/>
          <w:color w:val="333333"/>
          <w:kern w:val="0"/>
          <w:szCs w:val="24"/>
        </w:rPr>
      </w:pPr>
      <w:r w:rsidRPr="00CF14AD">
        <w:rPr>
          <w:rFonts w:ascii="標楷體" w:eastAsia="標楷體" w:hAnsi="標楷體" w:cs="新細明體"/>
          <w:color w:val="333333"/>
          <w:kern w:val="0"/>
          <w:szCs w:val="24"/>
        </w:rPr>
        <w:t>金融監督管理委員會令</w:t>
      </w:r>
      <w:r w:rsidRPr="00CF14AD">
        <w:rPr>
          <w:rFonts w:ascii="標楷體" w:eastAsia="標楷體" w:hAnsi="標楷體" w:cs="新細明體"/>
          <w:color w:val="333333"/>
          <w:kern w:val="0"/>
          <w:szCs w:val="24"/>
        </w:rPr>
        <w:br/>
      </w:r>
      <w:r w:rsidRPr="00CF14AD">
        <w:rPr>
          <w:rFonts w:ascii="標楷體" w:eastAsia="標楷體" w:hAnsi="標楷體" w:cs="新細明體"/>
          <w:color w:val="333333"/>
          <w:kern w:val="0"/>
          <w:szCs w:val="24"/>
        </w:rPr>
        <w:br/>
        <w:t>發文日期：中華民國105年1月18日</w:t>
      </w:r>
      <w:r w:rsidRPr="00CF14AD">
        <w:rPr>
          <w:rFonts w:ascii="標楷體" w:eastAsia="標楷體" w:hAnsi="標楷體" w:cs="新細明體"/>
          <w:color w:val="333333"/>
          <w:kern w:val="0"/>
          <w:szCs w:val="24"/>
        </w:rPr>
        <w:br/>
        <w:t>發文字號：金管證券字第1040053607號</w:t>
      </w:r>
      <w:r w:rsidRPr="00CF14AD">
        <w:rPr>
          <w:rFonts w:ascii="標楷體" w:eastAsia="標楷體" w:hAnsi="標楷體" w:cs="新細明體"/>
          <w:color w:val="333333"/>
          <w:kern w:val="0"/>
          <w:szCs w:val="24"/>
        </w:rPr>
        <w:br/>
      </w:r>
      <w:r w:rsidRPr="00CF14AD">
        <w:rPr>
          <w:rFonts w:ascii="標楷體" w:eastAsia="標楷體" w:hAnsi="標楷體" w:cs="新細明體"/>
          <w:color w:val="333333"/>
          <w:kern w:val="0"/>
          <w:szCs w:val="24"/>
        </w:rPr>
        <w:br/>
        <w:t>一、 依證券交易法第四十五條第一項但書規定，核准證券商得辦理不限用途之款項借貸業務。</w:t>
      </w:r>
      <w:r w:rsidRPr="00CF14AD">
        <w:rPr>
          <w:rFonts w:ascii="標楷體" w:eastAsia="標楷體" w:hAnsi="標楷體" w:cs="新細明體"/>
          <w:color w:val="333333"/>
          <w:kern w:val="0"/>
          <w:szCs w:val="24"/>
        </w:rPr>
        <w:br/>
        <w:t>二、證券商申請辦理不限用途款項借貸業務，應具備下列資格條件，但不符第三款至第七款之條件，惟其情事已具體改善，並經本會認可者，得不受其限制：</w:t>
      </w:r>
      <w:r w:rsidRPr="00CF14AD">
        <w:rPr>
          <w:rFonts w:ascii="標楷體" w:eastAsia="標楷體" w:hAnsi="標楷體" w:cs="新細明體"/>
          <w:color w:val="333333"/>
          <w:kern w:val="0"/>
          <w:szCs w:val="24"/>
        </w:rPr>
        <w:br/>
        <w:t>(一) 最近期經會計師查核簽證之財務報告每股淨值不低於票面金額，且財務狀況符合證券商管理規則之規定。</w:t>
      </w:r>
      <w:r w:rsidRPr="00CF14AD">
        <w:rPr>
          <w:rFonts w:ascii="標楷體" w:eastAsia="標楷體" w:hAnsi="標楷體" w:cs="新細明體"/>
          <w:color w:val="333333"/>
          <w:kern w:val="0"/>
          <w:szCs w:val="24"/>
        </w:rPr>
        <w:br/>
        <w:t>(二)申請日前半年自有資本適足比率未低於百分之一百五十。</w:t>
      </w:r>
      <w:r w:rsidRPr="00CF14AD">
        <w:rPr>
          <w:rFonts w:ascii="標楷體" w:eastAsia="標楷體" w:hAnsi="標楷體" w:cs="新細明體"/>
          <w:color w:val="333333"/>
          <w:kern w:val="0"/>
          <w:szCs w:val="24"/>
        </w:rPr>
        <w:br/>
        <w:t>(三) 最近三個月未曾受本會依證券交易法第六十六條第一款所為之警告處分。</w:t>
      </w:r>
      <w:r w:rsidRPr="00CF14AD">
        <w:rPr>
          <w:rFonts w:ascii="標楷體" w:eastAsia="標楷體" w:hAnsi="標楷體" w:cs="新細明體"/>
          <w:color w:val="333333"/>
          <w:kern w:val="0"/>
          <w:szCs w:val="24"/>
        </w:rPr>
        <w:br/>
        <w:t>(四)最近半年未曾受本會命令該證券商解除其董事、監察人或經理人職務處分，或撤換其負責人或其他有關人員之處分。</w:t>
      </w:r>
      <w:r w:rsidRPr="00CF14AD">
        <w:rPr>
          <w:rFonts w:ascii="標楷體" w:eastAsia="標楷體" w:hAnsi="標楷體" w:cs="新細明體"/>
          <w:color w:val="333333"/>
          <w:kern w:val="0"/>
          <w:szCs w:val="24"/>
        </w:rPr>
        <w:br/>
        <w:t>(五)最近一年未曾受本會為停業之處分。</w:t>
      </w:r>
      <w:r w:rsidRPr="00CF14AD">
        <w:rPr>
          <w:rFonts w:ascii="標楷體" w:eastAsia="標楷體" w:hAnsi="標楷體" w:cs="新細明體"/>
          <w:color w:val="333333"/>
          <w:kern w:val="0"/>
          <w:szCs w:val="24"/>
        </w:rPr>
        <w:br/>
        <w:t>(六)最近二年未曾受本會撤銷部分營業許可之處分。</w:t>
      </w:r>
      <w:r w:rsidRPr="00CF14AD">
        <w:rPr>
          <w:rFonts w:ascii="標楷體" w:eastAsia="標楷體" w:hAnsi="標楷體" w:cs="新細明體"/>
          <w:color w:val="333333"/>
          <w:kern w:val="0"/>
          <w:szCs w:val="24"/>
        </w:rPr>
        <w:br/>
        <w:t>(七) 最近一年未曾受臺灣證券交易所股份有限公司、財團法人中華民國證券櫃檯買賣中心或臺灣期貨交易所股份有限公司依其章則為處以停止或限制買賣之處置。</w:t>
      </w:r>
      <w:r w:rsidRPr="00CF14AD">
        <w:rPr>
          <w:rFonts w:ascii="標楷體" w:eastAsia="標楷體" w:hAnsi="標楷體" w:cs="新細明體"/>
          <w:color w:val="333333"/>
          <w:kern w:val="0"/>
          <w:szCs w:val="24"/>
        </w:rPr>
        <w:br/>
        <w:t>(八)其他經本會規定應具備之條件。</w:t>
      </w:r>
      <w:r w:rsidRPr="00CF14AD">
        <w:rPr>
          <w:rFonts w:ascii="標楷體" w:eastAsia="標楷體" w:hAnsi="標楷體" w:cs="新細明體"/>
          <w:color w:val="333333"/>
          <w:kern w:val="0"/>
          <w:szCs w:val="24"/>
        </w:rPr>
        <w:br/>
        <w:t>三、證券商申請辦理不限用途款項借貸業務，應填具申請書及檢具下列書件，由臺灣證券交易所股份有限公司審查並轉報本會核准：</w:t>
      </w:r>
      <w:r w:rsidRPr="00CF14AD">
        <w:rPr>
          <w:rFonts w:ascii="標楷體" w:eastAsia="標楷體" w:hAnsi="標楷體" w:cs="新細明體"/>
          <w:color w:val="333333"/>
          <w:kern w:val="0"/>
          <w:szCs w:val="24"/>
        </w:rPr>
        <w:br/>
        <w:t>(一)營業計畫書：載明業務經營原則(明確定位目標客群及訂定合理定價策略)、發展計畫及未來三年財務預測。</w:t>
      </w:r>
      <w:r w:rsidRPr="00CF14AD">
        <w:rPr>
          <w:rFonts w:ascii="標楷體" w:eastAsia="標楷體" w:hAnsi="標楷體" w:cs="新細明體"/>
          <w:color w:val="333333"/>
          <w:kern w:val="0"/>
          <w:szCs w:val="24"/>
        </w:rPr>
        <w:br/>
        <w:t>(二)內部控制制度。</w:t>
      </w:r>
      <w:r w:rsidRPr="00CF14AD">
        <w:rPr>
          <w:rFonts w:ascii="標楷體" w:eastAsia="標楷體" w:hAnsi="標楷體" w:cs="新細明體"/>
          <w:color w:val="333333"/>
          <w:kern w:val="0"/>
          <w:szCs w:val="24"/>
        </w:rPr>
        <w:br/>
        <w:t>(三)最近年度經會計師查核簽證之財務報告。其於申請時已逾年度開始六個月者，應加送上半年度經會計師查核簽證之財務報告。</w:t>
      </w:r>
      <w:r w:rsidRPr="00CF14AD">
        <w:rPr>
          <w:rFonts w:ascii="標楷體" w:eastAsia="標楷體" w:hAnsi="標楷體" w:cs="新細明體"/>
          <w:color w:val="333333"/>
          <w:kern w:val="0"/>
          <w:szCs w:val="24"/>
        </w:rPr>
        <w:br/>
        <w:t>(四)董事會議事錄。</w:t>
      </w:r>
      <w:r w:rsidRPr="00CF14AD">
        <w:rPr>
          <w:rFonts w:ascii="標楷體" w:eastAsia="標楷體" w:hAnsi="標楷體" w:cs="新細明體"/>
          <w:color w:val="333333"/>
          <w:kern w:val="0"/>
          <w:szCs w:val="24"/>
        </w:rPr>
        <w:br/>
        <w:t>(五)符合前點第一款、第二款及第七款之證明文件。</w:t>
      </w:r>
      <w:r w:rsidRPr="00CF14AD">
        <w:rPr>
          <w:rFonts w:ascii="標楷體" w:eastAsia="標楷體" w:hAnsi="標楷體" w:cs="新細明體"/>
          <w:color w:val="333333"/>
          <w:kern w:val="0"/>
          <w:szCs w:val="24"/>
        </w:rPr>
        <w:br/>
        <w:t>(六)出具聲明經營業務符合證券商管理規則第五條第一項規定之切結書。</w:t>
      </w:r>
      <w:r w:rsidRPr="00CF14AD">
        <w:rPr>
          <w:rFonts w:ascii="標楷體" w:eastAsia="標楷體" w:hAnsi="標楷體" w:cs="新細明體"/>
          <w:color w:val="333333"/>
          <w:kern w:val="0"/>
          <w:szCs w:val="24"/>
        </w:rPr>
        <w:br/>
        <w:t>(七)其他經本會規定應檢附之文件。</w:t>
      </w:r>
      <w:r w:rsidRPr="00CF14AD">
        <w:rPr>
          <w:rFonts w:ascii="標楷體" w:eastAsia="標楷體" w:hAnsi="標楷體" w:cs="新細明體"/>
          <w:color w:val="333333"/>
          <w:kern w:val="0"/>
          <w:szCs w:val="24"/>
        </w:rPr>
        <w:br/>
        <w:t>四、證券商辦理不限用途款項借貸業務，應遵循下列事項：</w:t>
      </w:r>
      <w:r w:rsidRPr="00CF14AD">
        <w:rPr>
          <w:rFonts w:ascii="標楷體" w:eastAsia="標楷體" w:hAnsi="標楷體" w:cs="新細明體"/>
          <w:color w:val="333333"/>
          <w:kern w:val="0"/>
          <w:szCs w:val="24"/>
        </w:rPr>
        <w:br/>
      </w:r>
      <w:r w:rsidRPr="00CF14AD">
        <w:rPr>
          <w:rFonts w:ascii="標楷體" w:eastAsia="標楷體" w:hAnsi="標楷體" w:cs="新細明體"/>
          <w:color w:val="333333"/>
          <w:kern w:val="0"/>
          <w:szCs w:val="24"/>
        </w:rPr>
        <w:lastRenderedPageBreak/>
        <w:t>(一)款項借貸期限、擔保品範圍、借貸比率、擔保維持率、擔保品處分、客戶授信額度、擔保品管理及運用等，準用證券商辦理證券業務借貸款項管理辦法第八條、第九條及第十一條至第十六條之規定。</w:t>
      </w:r>
      <w:r w:rsidRPr="00CF14AD">
        <w:rPr>
          <w:rFonts w:ascii="標楷體" w:eastAsia="標楷體" w:hAnsi="標楷體" w:cs="新細明體"/>
          <w:color w:val="333333"/>
          <w:kern w:val="0"/>
          <w:szCs w:val="24"/>
        </w:rPr>
        <w:br/>
        <w:t>(二)對客戶款項借貸總金額，加計辦理證券業務借貸款項融通總金額及有價證券買賣融資融券融資總金額，不得超過其淨值百分之四百；並應符合證券商管理規則第十三條規定。</w:t>
      </w:r>
      <w:r w:rsidRPr="00CF14AD">
        <w:rPr>
          <w:rFonts w:ascii="標楷體" w:eastAsia="標楷體" w:hAnsi="標楷體" w:cs="新細明體"/>
          <w:color w:val="333333"/>
          <w:kern w:val="0"/>
          <w:szCs w:val="24"/>
        </w:rPr>
        <w:br/>
        <w:t>(三)證券商經本會核准辦理不限用途款項借貸業務後，自有資本適足比率連續二個月低於百分之一百五十者，應停止辦理本項業務，俟連續三個月符合規定並報經本會核准後，始得恢復；其已獲准辦理而尚未辦理者，亦同。</w:t>
      </w:r>
      <w:r w:rsidRPr="00CF14AD">
        <w:rPr>
          <w:rFonts w:ascii="標楷體" w:eastAsia="標楷體" w:hAnsi="標楷體" w:cs="新細明體"/>
          <w:color w:val="333333"/>
          <w:kern w:val="0"/>
          <w:szCs w:val="24"/>
        </w:rPr>
        <w:br/>
        <w:t>五、證券商辦理不限用途款項借貸業務，應由臺灣證券交易所股份有限公司會同財團法人中華民國證券櫃檯買賣中心擬訂業務操作辦法，載明不限用途款項借貸業務之申請及償還、擔保之方式、擔保品融通計算標準、擔保維持率之計算、補繳擔保品之種類、融通計算標準及期限、擔保品處分及其他經本會規定應記載之事項，並報經本會核定。證券商辦理不限用途款項借貸業務，應依前揭業務操作辦法之規定為之。</w:t>
      </w:r>
      <w:r w:rsidRPr="00CF14AD">
        <w:rPr>
          <w:rFonts w:ascii="標楷體" w:eastAsia="標楷體" w:hAnsi="標楷體" w:cs="新細明體"/>
          <w:color w:val="333333"/>
          <w:kern w:val="0"/>
          <w:szCs w:val="24"/>
        </w:rPr>
        <w:br/>
        <w:t>六、本令自即日生效。</w:t>
      </w:r>
      <w:r w:rsidRPr="00CF14AD">
        <w:rPr>
          <w:rFonts w:ascii="標楷體" w:eastAsia="標楷體" w:hAnsi="標楷體" w:cs="新細明體"/>
          <w:color w:val="333333"/>
          <w:kern w:val="0"/>
          <w:szCs w:val="24"/>
        </w:rPr>
        <w:br/>
      </w:r>
      <w:r w:rsidRPr="00CF14AD">
        <w:rPr>
          <w:rFonts w:ascii="標楷體" w:eastAsia="標楷體" w:hAnsi="標楷體" w:cs="新細明體"/>
          <w:color w:val="333333"/>
          <w:kern w:val="0"/>
          <w:szCs w:val="24"/>
        </w:rPr>
        <w:br/>
        <w:t>正本：貼金融監督管理委員會公告欄、金融監督管理委員會證券期貨局公告欄</w:t>
      </w:r>
      <w:r w:rsidRPr="00CF14AD">
        <w:rPr>
          <w:rFonts w:ascii="標楷體" w:eastAsia="標楷體" w:hAnsi="標楷體" w:cs="新細明體"/>
          <w:color w:val="333333"/>
          <w:kern w:val="0"/>
          <w:szCs w:val="24"/>
        </w:rPr>
        <w:br/>
        <w:t>副本：行政院法規會、金融監督管理委員會(法律事務處、資訊服務處)、金融監督管理委員會銀行局、金融監督管理委員會檢查局、臺灣證券交易所股份有限公司、財團法人中華民國證券櫃檯買賣中心、臺灣集中保管結算所股份有限公司、中華民國證券商業同業公會、法源資訊股份有限公司、植根國際資訊股份有限公司</w:t>
      </w:r>
    </w:p>
    <w:p w:rsidR="00CF14AD" w:rsidRPr="00CF14AD" w:rsidRDefault="00CF14AD" w:rsidP="00CF14AD">
      <w:pPr>
        <w:widowControl/>
        <w:shd w:val="clear" w:color="auto" w:fill="EEEEEE"/>
        <w:rPr>
          <w:rFonts w:ascii="標楷體" w:eastAsia="標楷體" w:hAnsi="標楷體" w:cs="新細明體"/>
          <w:color w:val="333333"/>
          <w:kern w:val="0"/>
          <w:szCs w:val="24"/>
        </w:rPr>
      </w:pPr>
      <w:r w:rsidRPr="00CF14AD">
        <w:rPr>
          <w:rFonts w:ascii="標楷體" w:eastAsia="標楷體" w:hAnsi="標楷體" w:cs="新細明體"/>
          <w:color w:val="333333"/>
          <w:kern w:val="0"/>
          <w:szCs w:val="24"/>
        </w:rPr>
        <w:t>更新日期： 2016-01-18</w:t>
      </w:r>
    </w:p>
    <w:p w:rsidR="00392C1F" w:rsidRPr="00CF14AD" w:rsidRDefault="00392C1F"/>
    <w:sectPr w:rsidR="00392C1F" w:rsidRPr="00CF14AD" w:rsidSect="00392C1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14AD"/>
    <w:rsid w:val="00392C1F"/>
    <w:rsid w:val="00CF14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C1F"/>
    <w:pPr>
      <w:widowControl w:val="0"/>
    </w:pPr>
  </w:style>
  <w:style w:type="paragraph" w:styleId="3">
    <w:name w:val="heading 3"/>
    <w:basedOn w:val="a"/>
    <w:link w:val="30"/>
    <w:uiPriority w:val="9"/>
    <w:qFormat/>
    <w:rsid w:val="00CF14AD"/>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CF14AD"/>
    <w:rPr>
      <w:rFonts w:ascii="新細明體" w:eastAsia="新細明體" w:hAnsi="新細明體" w:cs="新細明體"/>
      <w:b/>
      <w:bCs/>
      <w:kern w:val="0"/>
      <w:sz w:val="27"/>
      <w:szCs w:val="27"/>
    </w:rPr>
  </w:style>
  <w:style w:type="paragraph" w:styleId="Web">
    <w:name w:val="Normal (Web)"/>
    <w:basedOn w:val="a"/>
    <w:uiPriority w:val="99"/>
    <w:semiHidden/>
    <w:unhideWhenUsed/>
    <w:rsid w:val="00CF14AD"/>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525941897">
      <w:bodyDiv w:val="1"/>
      <w:marLeft w:val="0"/>
      <w:marRight w:val="0"/>
      <w:marTop w:val="0"/>
      <w:marBottom w:val="0"/>
      <w:divBdr>
        <w:top w:val="none" w:sz="0" w:space="0" w:color="auto"/>
        <w:left w:val="none" w:sz="0" w:space="0" w:color="auto"/>
        <w:bottom w:val="none" w:sz="0" w:space="0" w:color="auto"/>
        <w:right w:val="none" w:sz="0" w:space="0" w:color="auto"/>
      </w:divBdr>
      <w:divsChild>
        <w:div w:id="1185170931">
          <w:marLeft w:val="0"/>
          <w:marRight w:val="0"/>
          <w:marTop w:val="0"/>
          <w:marBottom w:val="0"/>
          <w:divBdr>
            <w:top w:val="none" w:sz="0" w:space="0" w:color="auto"/>
            <w:left w:val="none" w:sz="0" w:space="0" w:color="auto"/>
            <w:bottom w:val="none" w:sz="0" w:space="0" w:color="auto"/>
            <w:right w:val="none" w:sz="0" w:space="0" w:color="auto"/>
          </w:divBdr>
        </w:div>
        <w:div w:id="1037388263">
          <w:marLeft w:val="0"/>
          <w:marRight w:val="0"/>
          <w:marTop w:val="0"/>
          <w:marBottom w:val="240"/>
          <w:divBdr>
            <w:top w:val="none" w:sz="0" w:space="0" w:color="auto"/>
            <w:left w:val="none" w:sz="0" w:space="0" w:color="auto"/>
            <w:bottom w:val="none" w:sz="0" w:space="0" w:color="auto"/>
            <w:right w:val="none" w:sz="0" w:space="0" w:color="auto"/>
          </w:divBdr>
          <w:divsChild>
            <w:div w:id="451478602">
              <w:marLeft w:val="0"/>
              <w:marRight w:val="0"/>
              <w:marTop w:val="0"/>
              <w:marBottom w:val="120"/>
              <w:divBdr>
                <w:top w:val="none" w:sz="0" w:space="0" w:color="auto"/>
                <w:left w:val="none" w:sz="0" w:space="0" w:color="auto"/>
                <w:bottom w:val="none" w:sz="0" w:space="0" w:color="auto"/>
                <w:right w:val="none" w:sz="0" w:space="0" w:color="auto"/>
              </w:divBdr>
            </w:div>
            <w:div w:id="365301149">
              <w:marLeft w:val="0"/>
              <w:marRight w:val="0"/>
              <w:marTop w:val="0"/>
              <w:marBottom w:val="0"/>
              <w:divBdr>
                <w:top w:val="none" w:sz="0" w:space="0" w:color="auto"/>
                <w:left w:val="none" w:sz="0" w:space="0" w:color="auto"/>
                <w:bottom w:val="none" w:sz="0" w:space="0" w:color="auto"/>
                <w:right w:val="none" w:sz="0" w:space="0" w:color="auto"/>
              </w:divBdr>
            </w:div>
          </w:divsChild>
        </w:div>
        <w:div w:id="1056203155">
          <w:marLeft w:val="0"/>
          <w:marRight w:val="0"/>
          <w:marTop w:val="12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1</cp:revision>
  <dcterms:created xsi:type="dcterms:W3CDTF">2016-10-14T08:02:00Z</dcterms:created>
  <dcterms:modified xsi:type="dcterms:W3CDTF">2016-10-14T08:04:00Z</dcterms:modified>
</cp:coreProperties>
</file>