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C65" w:rsidRDefault="00E91AA1" w:rsidP="00E87C65">
      <w:pPr>
        <w:spacing w:after="180"/>
        <w:jc w:val="center"/>
        <w:rPr>
          <w:rFonts w:ascii="標楷體" w:eastAsia="標楷體" w:hAnsi="標楷體"/>
          <w:b/>
          <w:sz w:val="30"/>
          <w:szCs w:val="30"/>
        </w:rPr>
      </w:pPr>
      <w:bookmarkStart w:id="0" w:name="_GoBack"/>
      <w:bookmarkEnd w:id="0"/>
      <w:r w:rsidRPr="006635CA">
        <w:rPr>
          <w:rFonts w:ascii="標楷體" w:eastAsia="標楷體" w:hAnsi="標楷體" w:hint="eastAsia"/>
          <w:b/>
          <w:sz w:val="30"/>
          <w:szCs w:val="30"/>
        </w:rPr>
        <w:t>證券商辦理有價證券借貸操作辦法第</w:t>
      </w:r>
      <w:r>
        <w:rPr>
          <w:rFonts w:ascii="標楷體" w:eastAsia="標楷體" w:hAnsi="標楷體" w:hint="eastAsia"/>
          <w:b/>
          <w:sz w:val="30"/>
          <w:szCs w:val="30"/>
        </w:rPr>
        <w:t>三</w:t>
      </w:r>
      <w:r w:rsidRPr="006635CA">
        <w:rPr>
          <w:rFonts w:ascii="標楷體" w:eastAsia="標楷體" w:hAnsi="標楷體" w:hint="eastAsia"/>
          <w:b/>
          <w:sz w:val="30"/>
          <w:szCs w:val="30"/>
        </w:rPr>
        <w:t>條修正條文對照表</w:t>
      </w:r>
    </w:p>
    <w:tbl>
      <w:tblPr>
        <w:tblStyle w:val="a3"/>
        <w:tblW w:w="0" w:type="auto"/>
        <w:tblLook w:val="04A0" w:firstRow="1" w:lastRow="0" w:firstColumn="1" w:lastColumn="0" w:noHBand="0" w:noVBand="1"/>
      </w:tblPr>
      <w:tblGrid>
        <w:gridCol w:w="2764"/>
        <w:gridCol w:w="2765"/>
        <w:gridCol w:w="2767"/>
      </w:tblGrid>
      <w:tr w:rsidR="00E91AA1" w:rsidRPr="00A81113" w:rsidTr="00516E4D">
        <w:tc>
          <w:tcPr>
            <w:tcW w:w="2787" w:type="dxa"/>
          </w:tcPr>
          <w:p w:rsidR="00E91AA1" w:rsidRPr="00A81113" w:rsidRDefault="00E91AA1" w:rsidP="00516E4D">
            <w:pPr>
              <w:rPr>
                <w:rFonts w:ascii="標楷體" w:eastAsia="標楷體" w:hAnsi="標楷體"/>
              </w:rPr>
            </w:pPr>
            <w:r w:rsidRPr="00A81113">
              <w:rPr>
                <w:rFonts w:ascii="標楷體" w:eastAsia="標楷體" w:hAnsi="標楷體" w:hint="eastAsia"/>
              </w:rPr>
              <w:t>修正條文</w:t>
            </w:r>
          </w:p>
        </w:tc>
        <w:tc>
          <w:tcPr>
            <w:tcW w:w="2787" w:type="dxa"/>
          </w:tcPr>
          <w:p w:rsidR="00E91AA1" w:rsidRPr="00A81113" w:rsidRDefault="00E91AA1" w:rsidP="00516E4D">
            <w:pPr>
              <w:rPr>
                <w:rFonts w:ascii="標楷體" w:eastAsia="標楷體" w:hAnsi="標楷體"/>
              </w:rPr>
            </w:pPr>
            <w:r w:rsidRPr="00A81113">
              <w:rPr>
                <w:rFonts w:ascii="標楷體" w:eastAsia="標楷體" w:hAnsi="標楷體" w:hint="eastAsia"/>
              </w:rPr>
              <w:t>現行條文</w:t>
            </w:r>
          </w:p>
        </w:tc>
        <w:tc>
          <w:tcPr>
            <w:tcW w:w="2788" w:type="dxa"/>
          </w:tcPr>
          <w:p w:rsidR="00E91AA1" w:rsidRPr="00A81113" w:rsidRDefault="00E91AA1" w:rsidP="00516E4D">
            <w:pPr>
              <w:rPr>
                <w:rFonts w:ascii="標楷體" w:eastAsia="標楷體" w:hAnsi="標楷體"/>
              </w:rPr>
            </w:pPr>
            <w:r w:rsidRPr="00A81113">
              <w:rPr>
                <w:rFonts w:ascii="標楷體" w:eastAsia="標楷體" w:hAnsi="標楷體" w:hint="eastAsia"/>
              </w:rPr>
              <w:t>說明</w:t>
            </w:r>
          </w:p>
        </w:tc>
      </w:tr>
      <w:tr w:rsidR="00D34C9A" w:rsidRPr="00A81113" w:rsidTr="00516E4D">
        <w:tc>
          <w:tcPr>
            <w:tcW w:w="2787" w:type="dxa"/>
          </w:tcPr>
          <w:p w:rsidR="00D34C9A" w:rsidRPr="005F594B" w:rsidRDefault="00D34C9A" w:rsidP="00516E4D">
            <w:pPr>
              <w:rPr>
                <w:rFonts w:ascii="標楷體" w:eastAsia="標楷體" w:hAnsi="標楷體"/>
              </w:rPr>
            </w:pPr>
            <w:r w:rsidRPr="00BC3B26">
              <w:rPr>
                <w:rFonts w:ascii="標楷體" w:eastAsia="標楷體" w:hAnsi="標楷體" w:hint="eastAsia"/>
              </w:rPr>
              <w:t>第</w:t>
            </w:r>
            <w:r>
              <w:rPr>
                <w:rFonts w:ascii="標楷體" w:eastAsia="標楷體" w:hAnsi="標楷體" w:hint="eastAsia"/>
              </w:rPr>
              <w:t>三</w:t>
            </w:r>
            <w:r w:rsidRPr="00BC3B26">
              <w:rPr>
                <w:rFonts w:ascii="標楷體" w:eastAsia="標楷體" w:hAnsi="標楷體" w:hint="eastAsia"/>
              </w:rPr>
              <w:t>條</w:t>
            </w:r>
          </w:p>
          <w:p w:rsidR="00226EA7" w:rsidRDefault="00D34C9A">
            <w:pPr>
              <w:pStyle w:val="HTML"/>
            </w:pPr>
            <w:r w:rsidRPr="00BC3B26">
              <w:rPr>
                <w:rFonts w:ascii="標楷體" w:eastAsia="標楷體" w:hAnsi="標楷體" w:cs="標楷體"/>
                <w:lang w:val="zh-TW"/>
              </w:rPr>
              <w:t xml:space="preserve">    </w:t>
            </w:r>
            <w:r w:rsidR="00DD2090" w:rsidRPr="00DD2090">
              <w:rPr>
                <w:rFonts w:ascii="標楷體" w:eastAsia="標楷體" w:hAnsi="標楷體" w:cs="標楷體" w:hint="eastAsia"/>
                <w:kern w:val="2"/>
                <w:szCs w:val="22"/>
                <w:lang w:val="zh-TW"/>
              </w:rPr>
              <w:t>證券商辦理有價證券借貸業務，係指證券商與其客戶、其他證券商或證券金融事業借入或出借有價證券，並約定於一定期限內，以同種類、同數量有價證券返還之業務行為。</w:t>
            </w:r>
          </w:p>
          <w:p w:rsidR="00D34C9A" w:rsidRPr="00E91AA1" w:rsidRDefault="00D34C9A" w:rsidP="00E9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r>
              <w:rPr>
                <w:rFonts w:ascii="標楷體" w:eastAsia="標楷體" w:hAnsi="標楷體" w:cs="標楷體" w:hint="eastAsia"/>
                <w:lang w:val="zh-TW"/>
              </w:rPr>
              <w:t xml:space="preserve">    </w:t>
            </w:r>
            <w:r w:rsidR="00DD2090" w:rsidRPr="00DD2090">
              <w:rPr>
                <w:rFonts w:ascii="標楷體" w:eastAsia="標楷體" w:hAnsi="標楷體" w:cs="標楷體" w:hint="eastAsia"/>
                <w:lang w:val="zh-TW"/>
              </w:rPr>
              <w:t>前項所稱一定期限不得超過六個月，但經出借方同意，於屆期前，借券方得申請展延，並以二次為限，且不得變更借貸條件。</w:t>
            </w:r>
          </w:p>
          <w:p w:rsidR="00D34C9A" w:rsidRDefault="00D34C9A" w:rsidP="00E9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r>
              <w:rPr>
                <w:rFonts w:ascii="標楷體" w:eastAsia="標楷體" w:hAnsi="標楷體" w:cs="標楷體" w:hint="eastAsia"/>
                <w:lang w:val="zh-TW"/>
              </w:rPr>
              <w:t xml:space="preserve">    </w:t>
            </w:r>
            <w:r w:rsidR="00DD2090" w:rsidRPr="00DD2090">
              <w:rPr>
                <w:rFonts w:ascii="標楷體" w:eastAsia="標楷體" w:hAnsi="標楷體" w:cs="標楷體" w:hint="eastAsia"/>
                <w:lang w:val="zh-TW"/>
              </w:rPr>
              <w:t>第一項所稱之有價證券借貸標的，係指得為融資融券交易之有價證券或其他經主管機關核准之有價證券。</w:t>
            </w:r>
          </w:p>
          <w:p w:rsidR="00AB5C50" w:rsidRPr="00F254EE" w:rsidRDefault="00D34C9A">
            <w:pPr>
              <w:pStyle w:val="HTML"/>
              <w:rPr>
                <w:rFonts w:ascii="標楷體" w:eastAsia="標楷體" w:hAnsi="標楷體" w:cs="標楷體"/>
                <w:color w:val="000000" w:themeColor="text1"/>
                <w:sz w:val="20"/>
                <w:szCs w:val="20"/>
                <w:lang w:val="zh-TW"/>
              </w:rPr>
            </w:pPr>
            <w:r>
              <w:rPr>
                <w:rFonts w:ascii="標楷體" w:eastAsia="標楷體" w:hAnsi="標楷體" w:cs="標楷體" w:hint="eastAsia"/>
                <w:lang w:val="zh-TW"/>
              </w:rPr>
              <w:t xml:space="preserve">    </w:t>
            </w:r>
            <w:r w:rsidRPr="00F254EE">
              <w:rPr>
                <w:rFonts w:ascii="標楷體" w:eastAsia="標楷體" w:hAnsi="標楷體" w:hint="eastAsia"/>
                <w:color w:val="000000" w:themeColor="text1"/>
                <w:u w:val="single"/>
              </w:rPr>
              <w:t>前項有價證券借貸標的，若有附表</w:t>
            </w:r>
            <w:r w:rsidR="00F254EE">
              <w:rPr>
                <w:rFonts w:ascii="標楷體" w:eastAsia="標楷體" w:hAnsi="標楷體" w:hint="eastAsia"/>
                <w:color w:val="000000" w:themeColor="text1"/>
                <w:u w:val="single"/>
              </w:rPr>
              <w:t>二</w:t>
            </w:r>
            <w:r w:rsidRPr="00F254EE">
              <w:rPr>
                <w:rFonts w:ascii="標楷體" w:eastAsia="標楷體" w:hAnsi="標楷體" w:hint="eastAsia"/>
                <w:color w:val="000000" w:themeColor="text1"/>
                <w:u w:val="single"/>
              </w:rPr>
              <w:t>所列公開資訊觀測站「財務重點專區」指標項目之任一情事</w:t>
            </w:r>
            <w:r w:rsidR="00F254EE">
              <w:rPr>
                <w:rFonts w:ascii="標楷體" w:eastAsia="標楷體" w:hAnsi="標楷體" w:hint="eastAsia"/>
                <w:color w:val="000000" w:themeColor="text1"/>
                <w:u w:val="single"/>
              </w:rPr>
              <w:t>者</w:t>
            </w:r>
            <w:r w:rsidRPr="00F254EE">
              <w:rPr>
                <w:rFonts w:ascii="標楷體" w:eastAsia="標楷體" w:hAnsi="標楷體" w:hint="eastAsia"/>
                <w:color w:val="000000" w:themeColor="text1"/>
                <w:u w:val="single"/>
              </w:rPr>
              <w:t>，</w:t>
            </w:r>
            <w:r w:rsidR="008B55D8">
              <w:rPr>
                <w:rFonts w:ascii="標楷體" w:eastAsia="標楷體" w:hAnsi="標楷體" w:hint="eastAsia"/>
                <w:color w:val="000000" w:themeColor="text1"/>
                <w:u w:val="single"/>
              </w:rPr>
              <w:t>除列為變更交易或處以停止買賣者，依其公告</w:t>
            </w:r>
            <w:r w:rsidR="00904CA1">
              <w:rPr>
                <w:rFonts w:ascii="標楷體" w:eastAsia="標楷體" w:hAnsi="標楷體" w:hint="eastAsia"/>
                <w:color w:val="000000" w:themeColor="text1"/>
                <w:u w:val="single"/>
              </w:rPr>
              <w:t>之</w:t>
            </w:r>
            <w:r w:rsidR="008B55D8">
              <w:rPr>
                <w:rFonts w:ascii="標楷體" w:eastAsia="標楷體" w:hAnsi="標楷體" w:hint="eastAsia"/>
                <w:color w:val="000000" w:themeColor="text1"/>
                <w:u w:val="single"/>
              </w:rPr>
              <w:t>實施日期外，其餘均自</w:t>
            </w:r>
            <w:r w:rsidR="00AF6704">
              <w:rPr>
                <w:rFonts w:ascii="標楷體" w:eastAsia="標楷體" w:hAnsi="標楷體" w:hint="eastAsia"/>
                <w:color w:val="000000" w:themeColor="text1"/>
                <w:u w:val="single"/>
              </w:rPr>
              <w:t>次一營業日起</w:t>
            </w:r>
            <w:r w:rsidRPr="00F254EE">
              <w:rPr>
                <w:rFonts w:ascii="標楷體" w:eastAsia="標楷體" w:hAnsi="標楷體" w:hint="eastAsia"/>
                <w:color w:val="000000" w:themeColor="text1"/>
                <w:u w:val="single"/>
              </w:rPr>
              <w:t>停止</w:t>
            </w:r>
            <w:r w:rsidR="00C90E97" w:rsidRPr="00F254EE">
              <w:rPr>
                <w:rFonts w:ascii="標楷體" w:eastAsia="標楷體" w:hAnsi="標楷體" w:hint="eastAsia"/>
                <w:color w:val="000000" w:themeColor="text1"/>
                <w:u w:val="single"/>
              </w:rPr>
              <w:t>其</w:t>
            </w:r>
            <w:r w:rsidRPr="00F254EE">
              <w:rPr>
                <w:rFonts w:ascii="標楷體" w:eastAsia="標楷體" w:hAnsi="標楷體" w:hint="eastAsia"/>
                <w:color w:val="000000" w:themeColor="text1"/>
                <w:u w:val="single"/>
              </w:rPr>
              <w:t>借貸交易。</w:t>
            </w:r>
            <w:r w:rsidR="001A1B62" w:rsidRPr="00F254EE">
              <w:rPr>
                <w:rFonts w:ascii="標楷體" w:eastAsia="標楷體" w:hAnsi="標楷體" w:hint="eastAsia"/>
                <w:color w:val="000000" w:themeColor="text1"/>
                <w:u w:val="single"/>
              </w:rPr>
              <w:t>上開專區指標如有修正，</w:t>
            </w:r>
            <w:r w:rsidR="00DC0E49" w:rsidRPr="00F254EE">
              <w:rPr>
                <w:rFonts w:ascii="標楷體" w:eastAsia="標楷體" w:hAnsi="標楷體" w:hint="eastAsia"/>
                <w:color w:val="000000" w:themeColor="text1"/>
                <w:u w:val="single"/>
              </w:rPr>
              <w:t>由</w:t>
            </w:r>
            <w:r w:rsidR="00814585" w:rsidRPr="00F254EE">
              <w:rPr>
                <w:rFonts w:ascii="標楷體" w:eastAsia="標楷體" w:hAnsi="標楷體" w:hint="eastAsia"/>
                <w:color w:val="000000" w:themeColor="text1"/>
                <w:u w:val="single"/>
              </w:rPr>
              <w:t>證券交易所</w:t>
            </w:r>
            <w:r w:rsidR="00DC0E49" w:rsidRPr="00F254EE">
              <w:rPr>
                <w:rFonts w:ascii="標楷體" w:eastAsia="標楷體" w:hAnsi="標楷體" w:hint="eastAsia"/>
                <w:color w:val="000000" w:themeColor="text1"/>
                <w:u w:val="single"/>
              </w:rPr>
              <w:t>會同</w:t>
            </w:r>
            <w:r w:rsidR="00814585" w:rsidRPr="00F254EE">
              <w:rPr>
                <w:rFonts w:ascii="標楷體" w:eastAsia="標楷體" w:hAnsi="標楷體" w:hint="eastAsia"/>
                <w:color w:val="000000" w:themeColor="text1"/>
                <w:u w:val="single"/>
              </w:rPr>
              <w:t>櫃檯買賣中心</w:t>
            </w:r>
            <w:r w:rsidR="001A1B62" w:rsidRPr="00F254EE">
              <w:rPr>
                <w:rFonts w:ascii="標楷體" w:eastAsia="標楷體" w:hAnsi="標楷體" w:hint="eastAsia"/>
                <w:color w:val="000000" w:themeColor="text1"/>
                <w:u w:val="single"/>
              </w:rPr>
              <w:t>另行公告調整附表內容。</w:t>
            </w:r>
          </w:p>
          <w:p w:rsidR="00226EA7" w:rsidRDefault="00D34C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sz w:val="20"/>
                <w:szCs w:val="20"/>
              </w:rPr>
            </w:pPr>
            <w:r>
              <w:rPr>
                <w:rFonts w:ascii="標楷體" w:eastAsia="標楷體" w:hAnsi="標楷體" w:cs="標楷體" w:hint="eastAsia"/>
                <w:lang w:val="zh-TW"/>
              </w:rPr>
              <w:t xml:space="preserve">    </w:t>
            </w:r>
            <w:r w:rsidR="00DD2090" w:rsidRPr="00DD2090">
              <w:rPr>
                <w:rFonts w:ascii="標楷體" w:eastAsia="標楷體" w:hAnsi="標楷體" w:cs="標楷體" w:hint="eastAsia"/>
                <w:lang w:val="zh-TW"/>
              </w:rPr>
              <w:t>合於</w:t>
            </w:r>
            <w:r w:rsidR="00DD2090" w:rsidRPr="00F254EE">
              <w:rPr>
                <w:rFonts w:ascii="標楷體" w:eastAsia="標楷體" w:hAnsi="標楷體" w:cs="標楷體" w:hint="eastAsia"/>
                <w:color w:val="000000" w:themeColor="text1"/>
                <w:u w:val="single"/>
                <w:lang w:val="zh-TW"/>
              </w:rPr>
              <w:t>第三</w:t>
            </w:r>
            <w:r w:rsidR="00DD2090" w:rsidRPr="00DD2090">
              <w:rPr>
                <w:rFonts w:ascii="標楷體" w:eastAsia="標楷體" w:hAnsi="標楷體" w:cs="標楷體" w:hint="eastAsia"/>
                <w:lang w:val="zh-TW"/>
              </w:rPr>
              <w:t>項規定之標的證券，於公告暫停</w:t>
            </w:r>
            <w:r w:rsidR="00DD2090" w:rsidRPr="00DD2090">
              <w:rPr>
                <w:rFonts w:ascii="標楷體" w:eastAsia="標楷體" w:hAnsi="標楷體" w:cs="標楷體" w:hint="eastAsia"/>
                <w:lang w:val="zh-TW"/>
              </w:rPr>
              <w:lastRenderedPageBreak/>
              <w:t>交易期間，不停止其有價證券借貸交易。但證券交易所依其有價證券借貸辦法第十四條之一第二項規定，宣布暫停借貸交易時，證券商亦暫停辦理有價證券借貸交易。</w:t>
            </w:r>
          </w:p>
        </w:tc>
        <w:tc>
          <w:tcPr>
            <w:tcW w:w="2787" w:type="dxa"/>
          </w:tcPr>
          <w:p w:rsidR="00D34C9A" w:rsidRPr="005F594B" w:rsidRDefault="00D34C9A" w:rsidP="00516E4D">
            <w:pPr>
              <w:rPr>
                <w:rFonts w:ascii="標楷體" w:eastAsia="標楷體" w:hAnsi="標楷體"/>
              </w:rPr>
            </w:pPr>
            <w:r w:rsidRPr="00BC3B26">
              <w:rPr>
                <w:rFonts w:ascii="標楷體" w:eastAsia="標楷體" w:hAnsi="標楷體" w:hint="eastAsia"/>
              </w:rPr>
              <w:lastRenderedPageBreak/>
              <w:t>第</w:t>
            </w:r>
            <w:r>
              <w:rPr>
                <w:rFonts w:ascii="標楷體" w:eastAsia="標楷體" w:hAnsi="標楷體" w:hint="eastAsia"/>
              </w:rPr>
              <w:t>三</w:t>
            </w:r>
            <w:r w:rsidRPr="00BC3B26">
              <w:rPr>
                <w:rFonts w:ascii="標楷體" w:eastAsia="標楷體" w:hAnsi="標楷體" w:hint="eastAsia"/>
              </w:rPr>
              <w:t>條</w:t>
            </w:r>
          </w:p>
          <w:p w:rsidR="00D34C9A" w:rsidRPr="00E91AA1" w:rsidRDefault="00D34C9A" w:rsidP="00516E4D">
            <w:pPr>
              <w:pStyle w:val="HTML"/>
            </w:pPr>
            <w:r w:rsidRPr="00BC3B26">
              <w:rPr>
                <w:rFonts w:ascii="標楷體" w:eastAsia="標楷體" w:hAnsi="標楷體" w:cs="標楷體"/>
                <w:lang w:val="zh-TW"/>
              </w:rPr>
              <w:t xml:space="preserve">    </w:t>
            </w:r>
            <w:r w:rsidRPr="00E91AA1">
              <w:rPr>
                <w:rFonts w:ascii="標楷體" w:eastAsia="標楷體" w:hAnsi="標楷體" w:cs="標楷體" w:hint="eastAsia"/>
                <w:kern w:val="2"/>
                <w:szCs w:val="22"/>
                <w:lang w:val="zh-TW"/>
              </w:rPr>
              <w:t>證券商辦理有價證券借貸業務，係指證券商與其客戶、其他證券商或證券金融事業借入或出借有價證券，並約定於一定期限內，以同種類、同數量有價證券返還之業務行為。</w:t>
            </w:r>
          </w:p>
          <w:p w:rsidR="00D34C9A" w:rsidRPr="00E91AA1" w:rsidRDefault="00D34C9A" w:rsidP="0051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r>
              <w:rPr>
                <w:rFonts w:ascii="標楷體" w:eastAsia="標楷體" w:hAnsi="標楷體" w:cs="標楷體" w:hint="eastAsia"/>
                <w:lang w:val="zh-TW"/>
              </w:rPr>
              <w:t xml:space="preserve">    </w:t>
            </w:r>
            <w:r w:rsidRPr="00E91AA1">
              <w:rPr>
                <w:rFonts w:ascii="標楷體" w:eastAsia="標楷體" w:hAnsi="標楷體" w:cs="標楷體" w:hint="eastAsia"/>
                <w:lang w:val="zh-TW"/>
              </w:rPr>
              <w:t>前項所稱一定期限不得超過六個月，但經出借方同意，於屆期前，借券方得申請展延，並以二次為限，且不得變更借貸條件。</w:t>
            </w:r>
          </w:p>
          <w:p w:rsidR="00D34C9A" w:rsidRPr="00E91AA1" w:rsidRDefault="00D34C9A" w:rsidP="0051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r>
              <w:rPr>
                <w:rFonts w:ascii="標楷體" w:eastAsia="標楷體" w:hAnsi="標楷體" w:cs="標楷體" w:hint="eastAsia"/>
                <w:lang w:val="zh-TW"/>
              </w:rPr>
              <w:t xml:space="preserve">    </w:t>
            </w:r>
            <w:r w:rsidRPr="00E91AA1">
              <w:rPr>
                <w:rFonts w:ascii="標楷體" w:eastAsia="標楷體" w:hAnsi="標楷體" w:cs="標楷體" w:hint="eastAsia"/>
                <w:lang w:val="zh-TW"/>
              </w:rPr>
              <w:t>第一項所稱之有價證券借貸標的，係指得為融資融券交易之有價證券或其他經主管機關核准之有價證券。</w:t>
            </w:r>
          </w:p>
          <w:p w:rsidR="00D34C9A" w:rsidRDefault="00D34C9A" w:rsidP="0051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r>
              <w:rPr>
                <w:rFonts w:ascii="標楷體" w:eastAsia="標楷體" w:hAnsi="標楷體" w:cs="標楷體" w:hint="eastAsia"/>
                <w:lang w:val="zh-TW"/>
              </w:rPr>
              <w:t xml:space="preserve">    </w:t>
            </w:r>
          </w:p>
          <w:p w:rsidR="00D34C9A" w:rsidRDefault="00D34C9A" w:rsidP="0051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p>
          <w:p w:rsidR="00D34C9A" w:rsidRDefault="00D34C9A" w:rsidP="0051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p>
          <w:p w:rsidR="00D34C9A" w:rsidRDefault="00D34C9A" w:rsidP="0051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p>
          <w:p w:rsidR="00D34C9A" w:rsidRDefault="00D34C9A" w:rsidP="0051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p>
          <w:p w:rsidR="00D34C9A" w:rsidRDefault="00D34C9A" w:rsidP="0051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p>
          <w:p w:rsidR="00AE5D5F" w:rsidRDefault="00AE5D5F" w:rsidP="0051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p>
          <w:p w:rsidR="00AE5D5F" w:rsidRDefault="00AE5D5F" w:rsidP="0051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p>
          <w:p w:rsidR="00AE5D5F" w:rsidRDefault="00AE5D5F" w:rsidP="0051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p>
          <w:p w:rsidR="00AF6704" w:rsidRDefault="00AF6704" w:rsidP="0051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p>
          <w:p w:rsidR="008B55D8" w:rsidRDefault="008B55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p>
          <w:p w:rsidR="008B55D8" w:rsidRDefault="008B55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p>
          <w:p w:rsidR="00F4504B" w:rsidRDefault="00F45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cs="標楷體"/>
                <w:lang w:val="zh-TW"/>
              </w:rPr>
            </w:pPr>
          </w:p>
          <w:p w:rsidR="00226EA7" w:rsidRDefault="00F4504B" w:rsidP="00F450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標楷體" w:eastAsia="標楷體" w:hAnsi="標楷體"/>
                <w:sz w:val="20"/>
                <w:szCs w:val="20"/>
              </w:rPr>
            </w:pPr>
            <w:r>
              <w:rPr>
                <w:rFonts w:ascii="標楷體" w:eastAsia="標楷體" w:hAnsi="標楷體" w:cs="標楷體" w:hint="eastAsia"/>
                <w:lang w:val="zh-TW"/>
              </w:rPr>
              <w:t xml:space="preserve">    </w:t>
            </w:r>
            <w:r w:rsidR="00D34C9A" w:rsidRPr="00E91AA1">
              <w:rPr>
                <w:rFonts w:ascii="標楷體" w:eastAsia="標楷體" w:hAnsi="標楷體" w:cs="標楷體" w:hint="eastAsia"/>
                <w:lang w:val="zh-TW"/>
              </w:rPr>
              <w:t>合於</w:t>
            </w:r>
            <w:r w:rsidR="00DD2090" w:rsidRPr="00DD2090">
              <w:rPr>
                <w:rFonts w:ascii="標楷體" w:eastAsia="標楷體" w:hAnsi="標楷體" w:cs="標楷體" w:hint="eastAsia"/>
                <w:b/>
                <w:lang w:val="zh-TW"/>
              </w:rPr>
              <w:t>前</w:t>
            </w:r>
            <w:r w:rsidR="00D34C9A" w:rsidRPr="00E91AA1">
              <w:rPr>
                <w:rFonts w:ascii="標楷體" w:eastAsia="標楷體" w:hAnsi="標楷體" w:cs="標楷體" w:hint="eastAsia"/>
                <w:lang w:val="zh-TW"/>
              </w:rPr>
              <w:t>項規定之標的證券，於公告暫停交</w:t>
            </w:r>
            <w:r w:rsidR="00D34C9A" w:rsidRPr="00E91AA1">
              <w:rPr>
                <w:rFonts w:ascii="標楷體" w:eastAsia="標楷體" w:hAnsi="標楷體" w:cs="標楷體" w:hint="eastAsia"/>
                <w:lang w:val="zh-TW"/>
              </w:rPr>
              <w:lastRenderedPageBreak/>
              <w:t>易期間，不停止其有價證券借貸交易。但證券交易所依其有價證券借貸辦法第十四條之一第二項規定，宣布暫停借貸交易時，證券商亦暫停辦理有價證券借貸交易。</w:t>
            </w:r>
          </w:p>
        </w:tc>
        <w:tc>
          <w:tcPr>
            <w:tcW w:w="2788" w:type="dxa"/>
          </w:tcPr>
          <w:p w:rsidR="00764A20" w:rsidRPr="00BF3C0A" w:rsidRDefault="00BF3C0A" w:rsidP="00260867">
            <w:pPr>
              <w:rPr>
                <w:rFonts w:ascii="標楷體" w:eastAsia="標楷體"/>
              </w:rPr>
            </w:pPr>
            <w:r>
              <w:rPr>
                <w:rFonts w:ascii="標楷體" w:eastAsia="標楷體" w:hint="eastAsia"/>
              </w:rPr>
              <w:lastRenderedPageBreak/>
              <w:t>基於</w:t>
            </w:r>
            <w:r w:rsidRPr="00BF3C0A">
              <w:rPr>
                <w:rFonts w:ascii="標楷體" w:eastAsia="標楷體" w:hint="eastAsia"/>
              </w:rPr>
              <w:t>淨值低於10元之公司</w:t>
            </w:r>
            <w:r w:rsidR="00034491">
              <w:rPr>
                <w:rFonts w:ascii="標楷體" w:eastAsia="標楷體" w:hint="eastAsia"/>
                <w:kern w:val="0"/>
              </w:rPr>
              <w:t>(無面額或每股面額非10元者以累積虧損代替淨值標準)</w:t>
            </w:r>
            <w:r w:rsidRPr="00BF3C0A">
              <w:rPr>
                <w:rFonts w:ascii="標楷體" w:eastAsia="標楷體" w:hint="eastAsia"/>
              </w:rPr>
              <w:t>，其營運財務狀況若持續陷入惡化，即有進一步停止交易或終止上市上櫃之虞。</w:t>
            </w:r>
            <w:r>
              <w:rPr>
                <w:rFonts w:ascii="標楷體" w:eastAsia="標楷體" w:hint="eastAsia"/>
              </w:rPr>
              <w:t>由於</w:t>
            </w:r>
            <w:r w:rsidRPr="00BF3C0A">
              <w:rPr>
                <w:rFonts w:ascii="標楷體" w:eastAsia="標楷體" w:hint="eastAsia"/>
              </w:rPr>
              <w:t>定價/競價交易出借人須依借貸成交當時所選定之提前召回期限行使召回權利，</w:t>
            </w:r>
            <w:r>
              <w:rPr>
                <w:rFonts w:ascii="標楷體" w:eastAsia="標楷體" w:hint="eastAsia"/>
              </w:rPr>
              <w:t>而</w:t>
            </w:r>
            <w:r w:rsidRPr="00BF3C0A">
              <w:rPr>
                <w:rFonts w:ascii="標楷體" w:eastAsia="標楷體" w:hint="eastAsia"/>
              </w:rPr>
              <w:t>議借交易出借人則須徵求借券方同意，於行使提前召回時亦同樣受到限制。</w:t>
            </w:r>
            <w:r w:rsidR="009B4D25">
              <w:rPr>
                <w:rFonts w:ascii="標楷體" w:eastAsia="標楷體" w:hint="eastAsia"/>
              </w:rPr>
              <w:t>為</w:t>
            </w:r>
            <w:r w:rsidR="009B4D25" w:rsidRPr="007A3486">
              <w:rPr>
                <w:rFonts w:ascii="標楷體" w:eastAsia="標楷體" w:hint="eastAsia"/>
              </w:rPr>
              <w:t>因應借券市場風險控管之需要</w:t>
            </w:r>
            <w:r w:rsidR="009B4D25">
              <w:rPr>
                <w:rFonts w:ascii="標楷體" w:eastAsia="標楷體" w:hint="eastAsia"/>
              </w:rPr>
              <w:t>及</w:t>
            </w:r>
            <w:r w:rsidR="009B4D25" w:rsidRPr="007A3486">
              <w:rPr>
                <w:rFonts w:ascii="標楷體" w:eastAsia="標楷體" w:hint="eastAsia"/>
              </w:rPr>
              <w:t>維護投資人權益，以避免出借人承受無法取回出借股份之風險，</w:t>
            </w:r>
            <w:r w:rsidR="00D34C9A">
              <w:rPr>
                <w:rFonts w:ascii="標楷體" w:eastAsia="標楷體" w:hint="eastAsia"/>
              </w:rPr>
              <w:t>爰增訂第四項規定，並調整項次。</w:t>
            </w:r>
          </w:p>
        </w:tc>
      </w:tr>
    </w:tbl>
    <w:p w:rsidR="00E36032" w:rsidRDefault="00E36032" w:rsidP="009B4D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360" w:afterLines="100" w:after="360" w:line="400" w:lineRule="exact"/>
        <w:ind w:left="1121" w:hangingChars="400" w:hanging="1121"/>
        <w:rPr>
          <w:rFonts w:ascii="標楷體" w:eastAsia="標楷體" w:hAnsi="標楷體"/>
          <w:b/>
          <w:sz w:val="28"/>
          <w:szCs w:val="28"/>
        </w:rPr>
      </w:pPr>
    </w:p>
    <w:p w:rsidR="00E87C65" w:rsidRDefault="00B45CDE" w:rsidP="009B4D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Lines="100" w:after="360" w:line="400" w:lineRule="exact"/>
        <w:ind w:left="1121" w:hangingChars="400" w:hanging="1121"/>
        <w:rPr>
          <w:rFonts w:ascii="標楷體" w:eastAsia="標楷體" w:hAnsi="標楷體"/>
          <w:b/>
          <w:sz w:val="28"/>
          <w:szCs w:val="28"/>
        </w:rPr>
      </w:pPr>
      <w:r w:rsidRPr="00B45CDE">
        <w:rPr>
          <w:rFonts w:ascii="標楷體" w:eastAsia="標楷體" w:hAnsi="標楷體" w:hint="eastAsia"/>
          <w:b/>
          <w:sz w:val="28"/>
          <w:szCs w:val="28"/>
        </w:rPr>
        <w:t>附表</w:t>
      </w:r>
      <w:r w:rsidR="00E36032">
        <w:rPr>
          <w:rFonts w:ascii="標楷體" w:eastAsia="標楷體" w:hAnsi="標楷體" w:hint="eastAsia"/>
          <w:b/>
          <w:sz w:val="28"/>
          <w:szCs w:val="28"/>
        </w:rPr>
        <w:t>二</w:t>
      </w:r>
      <w:r w:rsidRPr="00B45CDE">
        <w:rPr>
          <w:rFonts w:ascii="標楷體" w:eastAsia="標楷體" w:hAnsi="標楷體" w:hint="eastAsia"/>
          <w:b/>
          <w:sz w:val="28"/>
          <w:szCs w:val="28"/>
        </w:rPr>
        <w:t>：</w:t>
      </w:r>
      <w:r w:rsidR="006474C9">
        <w:rPr>
          <w:rFonts w:ascii="標楷體" w:eastAsia="標楷體" w:hAnsi="標楷體" w:hint="eastAsia"/>
          <w:b/>
          <w:sz w:val="28"/>
          <w:szCs w:val="28"/>
        </w:rPr>
        <w:t>達到</w:t>
      </w:r>
      <w:r w:rsidRPr="00B45CDE">
        <w:rPr>
          <w:rFonts w:ascii="標楷體" w:eastAsia="標楷體" w:hAnsi="標楷體" w:hint="eastAsia"/>
          <w:b/>
          <w:sz w:val="28"/>
          <w:szCs w:val="28"/>
        </w:rPr>
        <w:t>公開資訊觀測站「財務重點專區」</w:t>
      </w:r>
      <w:r w:rsidR="00FD4A75">
        <w:rPr>
          <w:rFonts w:ascii="標楷體" w:eastAsia="標楷體" w:hAnsi="標楷體" w:hint="eastAsia"/>
          <w:b/>
          <w:sz w:val="28"/>
          <w:szCs w:val="28"/>
        </w:rPr>
        <w:t>所</w:t>
      </w:r>
      <w:r w:rsidR="009955EA">
        <w:rPr>
          <w:rFonts w:ascii="標楷體" w:eastAsia="標楷體" w:hAnsi="標楷體" w:hint="eastAsia"/>
          <w:b/>
          <w:sz w:val="28"/>
          <w:szCs w:val="28"/>
        </w:rPr>
        <w:t>列</w:t>
      </w:r>
      <w:r w:rsidR="006474C9">
        <w:rPr>
          <w:rFonts w:ascii="標楷體" w:eastAsia="標楷體" w:hAnsi="標楷體" w:hint="eastAsia"/>
          <w:b/>
          <w:sz w:val="28"/>
          <w:szCs w:val="28"/>
        </w:rPr>
        <w:t>指標</w:t>
      </w:r>
      <w:r w:rsidR="006474C9" w:rsidRPr="00AF431F">
        <w:rPr>
          <w:rFonts w:ascii="標楷體" w:eastAsia="標楷體" w:hAnsi="標楷體" w:hint="eastAsia"/>
          <w:b/>
          <w:sz w:val="28"/>
          <w:szCs w:val="28"/>
        </w:rPr>
        <w:t>應</w:t>
      </w:r>
      <w:r w:rsidR="00F558DF">
        <w:rPr>
          <w:rFonts w:ascii="標楷體" w:eastAsia="標楷體" w:hAnsi="標楷體" w:hint="eastAsia"/>
          <w:b/>
          <w:sz w:val="28"/>
          <w:szCs w:val="28"/>
        </w:rPr>
        <w:t>予</w:t>
      </w:r>
      <w:r w:rsidR="006474C9" w:rsidRPr="00AF431F">
        <w:rPr>
          <w:rFonts w:ascii="標楷體" w:eastAsia="標楷體" w:hAnsi="標楷體" w:hint="eastAsia"/>
          <w:b/>
          <w:sz w:val="28"/>
          <w:szCs w:val="28"/>
        </w:rPr>
        <w:t>停止有價證券借貸交易</w:t>
      </w:r>
      <w:r w:rsidR="006474C9">
        <w:rPr>
          <w:rFonts w:ascii="標楷體" w:eastAsia="標楷體" w:hAnsi="標楷體" w:hint="eastAsia"/>
          <w:b/>
          <w:sz w:val="28"/>
          <w:szCs w:val="28"/>
        </w:rPr>
        <w:t>之</w:t>
      </w:r>
      <w:r w:rsidR="00A50239">
        <w:rPr>
          <w:rFonts w:ascii="標楷體" w:eastAsia="標楷體" w:hAnsi="標楷體" w:hint="eastAsia"/>
          <w:b/>
          <w:sz w:val="28"/>
          <w:szCs w:val="28"/>
        </w:rPr>
        <w:t>指標項目</w:t>
      </w:r>
      <w:r w:rsidRPr="00B45CDE">
        <w:rPr>
          <w:rFonts w:ascii="標楷體" w:eastAsia="標楷體" w:hAnsi="標楷體" w:hint="eastAsia"/>
          <w:b/>
          <w:sz w:val="28"/>
          <w:szCs w:val="28"/>
        </w:rPr>
        <w:t>一覽表</w:t>
      </w:r>
    </w:p>
    <w:tbl>
      <w:tblPr>
        <w:tblStyle w:val="a3"/>
        <w:tblW w:w="0" w:type="auto"/>
        <w:jc w:val="center"/>
        <w:tblLook w:val="04A0" w:firstRow="1" w:lastRow="0" w:firstColumn="1" w:lastColumn="0" w:noHBand="0" w:noVBand="1"/>
      </w:tblPr>
      <w:tblGrid>
        <w:gridCol w:w="3256"/>
        <w:gridCol w:w="4780"/>
      </w:tblGrid>
      <w:tr w:rsidR="00A50239" w:rsidTr="008664B1">
        <w:trPr>
          <w:trHeight w:val="390"/>
          <w:jc w:val="center"/>
        </w:trPr>
        <w:tc>
          <w:tcPr>
            <w:tcW w:w="3256" w:type="dxa"/>
            <w:shd w:val="clear" w:color="auto" w:fill="D9D9D9" w:themeFill="background1" w:themeFillShade="D9"/>
          </w:tcPr>
          <w:p w:rsidR="00715967" w:rsidRDefault="00B45CDE">
            <w:pPr>
              <w:spacing w:line="240" w:lineRule="exact"/>
              <w:jc w:val="center"/>
              <w:rPr>
                <w:rFonts w:ascii="標楷體" w:eastAsia="標楷體" w:hAnsi="標楷體"/>
                <w:b/>
                <w:sz w:val="26"/>
                <w:szCs w:val="26"/>
              </w:rPr>
            </w:pPr>
            <w:r w:rsidRPr="00B45CDE">
              <w:rPr>
                <w:rFonts w:ascii="標楷體" w:eastAsia="標楷體" w:hAnsi="標楷體" w:hint="eastAsia"/>
                <w:b/>
                <w:sz w:val="26"/>
                <w:szCs w:val="26"/>
              </w:rPr>
              <w:t>財務指標項目</w:t>
            </w:r>
          </w:p>
        </w:tc>
        <w:tc>
          <w:tcPr>
            <w:tcW w:w="4780" w:type="dxa"/>
            <w:shd w:val="clear" w:color="auto" w:fill="D9D9D9" w:themeFill="background1" w:themeFillShade="D9"/>
          </w:tcPr>
          <w:p w:rsidR="00533B7B" w:rsidRDefault="00B45CDE">
            <w:pPr>
              <w:spacing w:line="240" w:lineRule="exact"/>
              <w:jc w:val="center"/>
              <w:rPr>
                <w:rFonts w:ascii="標楷體" w:eastAsia="標楷體" w:hAnsi="標楷體"/>
                <w:b/>
                <w:sz w:val="26"/>
                <w:szCs w:val="26"/>
              </w:rPr>
            </w:pPr>
            <w:r w:rsidRPr="00B45CDE">
              <w:rPr>
                <w:rFonts w:ascii="標楷體" w:eastAsia="標楷體" w:hAnsi="標楷體" w:hint="eastAsia"/>
                <w:b/>
                <w:sz w:val="26"/>
                <w:szCs w:val="26"/>
              </w:rPr>
              <w:t>內</w:t>
            </w:r>
            <w:r w:rsidR="004140BC">
              <w:rPr>
                <w:rFonts w:ascii="標楷體" w:eastAsia="標楷體" w:hAnsi="標楷體" w:hint="eastAsia"/>
                <w:b/>
                <w:sz w:val="26"/>
                <w:szCs w:val="26"/>
              </w:rPr>
              <w:t xml:space="preserve"> </w:t>
            </w:r>
            <w:r w:rsidRPr="00B45CDE">
              <w:rPr>
                <w:rFonts w:ascii="標楷體" w:eastAsia="標楷體" w:hAnsi="標楷體" w:hint="eastAsia"/>
                <w:b/>
                <w:sz w:val="26"/>
                <w:szCs w:val="26"/>
              </w:rPr>
              <w:t>容</w:t>
            </w:r>
          </w:p>
        </w:tc>
      </w:tr>
      <w:tr w:rsidR="00A50239" w:rsidTr="008664B1">
        <w:trPr>
          <w:trHeight w:val="551"/>
          <w:jc w:val="center"/>
        </w:trPr>
        <w:tc>
          <w:tcPr>
            <w:tcW w:w="3256" w:type="dxa"/>
            <w:shd w:val="clear" w:color="auto" w:fill="FFFFFF" w:themeFill="background1"/>
          </w:tcPr>
          <w:p w:rsidR="00715967" w:rsidRDefault="007845EE" w:rsidP="009B4D25">
            <w:pPr>
              <w:spacing w:beforeLines="20" w:before="72" w:line="240" w:lineRule="exact"/>
              <w:jc w:val="both"/>
              <w:rPr>
                <w:rFonts w:ascii="標楷體" w:eastAsia="標楷體" w:hAnsi="標楷體"/>
                <w:b/>
                <w:sz w:val="28"/>
                <w:szCs w:val="28"/>
              </w:rPr>
            </w:pPr>
            <w:r>
              <w:rPr>
                <w:rFonts w:ascii="標楷體" w:eastAsia="標楷體" w:hAnsi="標楷體" w:hint="eastAsia"/>
                <w:b/>
                <w:sz w:val="28"/>
                <w:szCs w:val="28"/>
              </w:rPr>
              <w:t>指標1</w:t>
            </w:r>
          </w:p>
        </w:tc>
        <w:tc>
          <w:tcPr>
            <w:tcW w:w="4780" w:type="dxa"/>
            <w:shd w:val="clear" w:color="auto" w:fill="FFFFFF" w:themeFill="background1"/>
          </w:tcPr>
          <w:p w:rsidR="00715967" w:rsidRDefault="007845EE" w:rsidP="009B4D25">
            <w:pPr>
              <w:spacing w:beforeLines="20" w:before="72" w:line="360" w:lineRule="exact"/>
              <w:jc w:val="both"/>
              <w:rPr>
                <w:rFonts w:ascii="標楷體" w:eastAsia="標楷體" w:hAnsi="標楷體"/>
                <w:b/>
                <w:sz w:val="28"/>
                <w:szCs w:val="28"/>
              </w:rPr>
            </w:pPr>
            <w:r>
              <w:rPr>
                <w:rFonts w:ascii="標楷體" w:eastAsia="標楷體" w:hAnsi="標楷體" w:hint="eastAsia"/>
                <w:b/>
                <w:sz w:val="28"/>
                <w:szCs w:val="28"/>
              </w:rPr>
              <w:t>變更交易方法或處以停止買賣者。</w:t>
            </w:r>
          </w:p>
        </w:tc>
      </w:tr>
      <w:tr w:rsidR="007845EE" w:rsidTr="008664B1">
        <w:trPr>
          <w:trHeight w:val="928"/>
          <w:jc w:val="center"/>
        </w:trPr>
        <w:tc>
          <w:tcPr>
            <w:tcW w:w="3256" w:type="dxa"/>
            <w:shd w:val="clear" w:color="auto" w:fill="FFFFFF" w:themeFill="background1"/>
          </w:tcPr>
          <w:p w:rsidR="008664B1" w:rsidRDefault="007845EE" w:rsidP="008664B1">
            <w:pPr>
              <w:spacing w:beforeLines="20" w:before="72" w:line="240" w:lineRule="exact"/>
              <w:jc w:val="both"/>
              <w:rPr>
                <w:rFonts w:ascii="標楷體" w:eastAsia="標楷體" w:hAnsi="標楷體"/>
                <w:b/>
                <w:sz w:val="28"/>
                <w:szCs w:val="28"/>
              </w:rPr>
            </w:pPr>
            <w:r>
              <w:rPr>
                <w:rFonts w:ascii="標楷體" w:eastAsia="標楷體" w:hAnsi="標楷體" w:hint="eastAsia"/>
                <w:b/>
                <w:sz w:val="28"/>
                <w:szCs w:val="28"/>
              </w:rPr>
              <w:t>指標</w:t>
            </w:r>
            <w:r w:rsidR="00B45CDE">
              <w:rPr>
                <w:rFonts w:ascii="標楷體" w:eastAsia="標楷體" w:hAnsi="標楷體"/>
                <w:b/>
                <w:sz w:val="28"/>
                <w:szCs w:val="28"/>
              </w:rPr>
              <w:t>2</w:t>
            </w:r>
          </w:p>
        </w:tc>
        <w:tc>
          <w:tcPr>
            <w:tcW w:w="4780" w:type="dxa"/>
            <w:shd w:val="clear" w:color="auto" w:fill="FFFFFF" w:themeFill="background1"/>
          </w:tcPr>
          <w:p w:rsidR="00465AEF" w:rsidRDefault="00B45CDE" w:rsidP="009B4D25">
            <w:pPr>
              <w:spacing w:beforeLines="20" w:before="72" w:line="340" w:lineRule="exact"/>
              <w:jc w:val="both"/>
              <w:rPr>
                <w:rFonts w:ascii="標楷體" w:eastAsia="標楷體" w:hAnsi="標楷體"/>
                <w:b/>
                <w:sz w:val="28"/>
                <w:szCs w:val="28"/>
              </w:rPr>
            </w:pPr>
            <w:r w:rsidRPr="00B45CDE">
              <w:rPr>
                <w:rFonts w:ascii="標楷體" w:eastAsia="標楷體" w:hAnsi="標楷體" w:hint="eastAsia"/>
                <w:b/>
                <w:sz w:val="28"/>
                <w:szCs w:val="28"/>
              </w:rPr>
              <w:t>最近期財務報告每股淨值低於</w:t>
            </w:r>
            <w:r w:rsidRPr="00B45CDE">
              <w:rPr>
                <w:rFonts w:ascii="標楷體" w:eastAsia="標楷體" w:hAnsi="標楷體"/>
                <w:b/>
                <w:sz w:val="28"/>
                <w:szCs w:val="28"/>
              </w:rPr>
              <w:t xml:space="preserve">10 </w:t>
            </w:r>
            <w:r w:rsidRPr="00B45CDE">
              <w:rPr>
                <w:rFonts w:ascii="標楷體" w:eastAsia="標楷體" w:hAnsi="標楷體" w:hint="eastAsia"/>
                <w:b/>
                <w:sz w:val="28"/>
                <w:szCs w:val="28"/>
              </w:rPr>
              <w:t>元且最近連續三個會計年度虧損者</w:t>
            </w:r>
            <w:r w:rsidR="007845EE">
              <w:rPr>
                <w:rFonts w:ascii="標楷體" w:eastAsia="標楷體" w:hAnsi="標楷體" w:hint="eastAsia"/>
                <w:b/>
                <w:sz w:val="28"/>
                <w:szCs w:val="28"/>
              </w:rPr>
              <w:t>。</w:t>
            </w:r>
          </w:p>
        </w:tc>
      </w:tr>
      <w:tr w:rsidR="00270628" w:rsidTr="008664B1">
        <w:trPr>
          <w:trHeight w:val="1267"/>
          <w:jc w:val="center"/>
        </w:trPr>
        <w:tc>
          <w:tcPr>
            <w:tcW w:w="3256" w:type="dxa"/>
            <w:shd w:val="clear" w:color="auto" w:fill="FFFFFF" w:themeFill="background1"/>
          </w:tcPr>
          <w:p w:rsidR="008664B1" w:rsidRDefault="00270628" w:rsidP="008664B1">
            <w:pPr>
              <w:spacing w:beforeLines="20" w:before="72" w:line="240" w:lineRule="exact"/>
              <w:jc w:val="both"/>
              <w:rPr>
                <w:rFonts w:ascii="標楷體" w:eastAsia="標楷體" w:hAnsi="標楷體"/>
                <w:b/>
                <w:sz w:val="28"/>
                <w:szCs w:val="28"/>
              </w:rPr>
            </w:pPr>
            <w:r>
              <w:rPr>
                <w:rFonts w:ascii="標楷體" w:eastAsia="標楷體" w:hAnsi="標楷體" w:hint="eastAsia"/>
                <w:b/>
                <w:sz w:val="28"/>
                <w:szCs w:val="28"/>
              </w:rPr>
              <w:t>指標</w:t>
            </w:r>
            <w:r w:rsidR="00B45CDE">
              <w:rPr>
                <w:rFonts w:ascii="標楷體" w:eastAsia="標楷體" w:hAnsi="標楷體"/>
                <w:b/>
                <w:sz w:val="28"/>
                <w:szCs w:val="28"/>
              </w:rPr>
              <w:t>3</w:t>
            </w:r>
          </w:p>
        </w:tc>
        <w:tc>
          <w:tcPr>
            <w:tcW w:w="4780" w:type="dxa"/>
            <w:shd w:val="clear" w:color="auto" w:fill="FFFFFF" w:themeFill="background1"/>
          </w:tcPr>
          <w:p w:rsidR="00465AEF" w:rsidRDefault="00B45CDE" w:rsidP="009B4D25">
            <w:pPr>
              <w:spacing w:beforeLines="20" w:before="72" w:line="340" w:lineRule="exact"/>
              <w:jc w:val="both"/>
              <w:rPr>
                <w:rFonts w:ascii="標楷體" w:eastAsia="標楷體" w:hAnsi="標楷體"/>
                <w:b/>
                <w:sz w:val="28"/>
                <w:szCs w:val="28"/>
              </w:rPr>
            </w:pPr>
            <w:r w:rsidRPr="00B45CDE">
              <w:rPr>
                <w:rFonts w:ascii="標楷體" w:eastAsia="標楷體" w:hAnsi="標楷體" w:hint="eastAsia"/>
                <w:b/>
                <w:sz w:val="28"/>
                <w:szCs w:val="28"/>
              </w:rPr>
              <w:t>最近期財務報告每股淨值低於</w:t>
            </w:r>
            <w:r w:rsidRPr="00B45CDE">
              <w:rPr>
                <w:rFonts w:ascii="標楷體" w:eastAsia="標楷體" w:hAnsi="標楷體"/>
                <w:b/>
                <w:sz w:val="28"/>
                <w:szCs w:val="28"/>
              </w:rPr>
              <w:t xml:space="preserve">10 </w:t>
            </w:r>
            <w:r w:rsidRPr="00B45CDE">
              <w:rPr>
                <w:rFonts w:ascii="標楷體" w:eastAsia="標楷體" w:hAnsi="標楷體" w:hint="eastAsia"/>
                <w:b/>
                <w:sz w:val="28"/>
                <w:szCs w:val="28"/>
              </w:rPr>
              <w:t>元且負債比率高於60％及流動比率小於</w:t>
            </w:r>
            <w:r w:rsidRPr="00B45CDE">
              <w:rPr>
                <w:rFonts w:ascii="標楷體" w:eastAsia="標楷體" w:hAnsi="標楷體"/>
                <w:b/>
                <w:sz w:val="28"/>
                <w:szCs w:val="28"/>
              </w:rPr>
              <w:t xml:space="preserve"> 1 </w:t>
            </w:r>
            <w:r w:rsidRPr="00B45CDE">
              <w:rPr>
                <w:rFonts w:ascii="標楷體" w:eastAsia="標楷體" w:hAnsi="標楷體" w:hint="eastAsia"/>
                <w:b/>
                <w:sz w:val="28"/>
                <w:szCs w:val="28"/>
              </w:rPr>
              <w:t>者</w:t>
            </w:r>
            <w:r w:rsidR="0004650C">
              <w:rPr>
                <w:rFonts w:ascii="標楷體" w:eastAsia="標楷體" w:hAnsi="標楷體" w:hint="eastAsia"/>
                <w:b/>
                <w:sz w:val="28"/>
                <w:szCs w:val="28"/>
              </w:rPr>
              <w:t>。</w:t>
            </w:r>
            <w:r w:rsidRPr="00B45CDE">
              <w:rPr>
                <w:rFonts w:ascii="標楷體" w:eastAsia="標楷體" w:hAnsi="標楷體" w:hint="eastAsia"/>
                <w:b/>
                <w:sz w:val="28"/>
                <w:szCs w:val="28"/>
              </w:rPr>
              <w:t>（金融保險業除外）</w:t>
            </w:r>
          </w:p>
        </w:tc>
      </w:tr>
      <w:tr w:rsidR="00270628" w:rsidTr="008664B1">
        <w:trPr>
          <w:trHeight w:val="1231"/>
          <w:jc w:val="center"/>
        </w:trPr>
        <w:tc>
          <w:tcPr>
            <w:tcW w:w="3256" w:type="dxa"/>
            <w:shd w:val="clear" w:color="auto" w:fill="FFFFFF" w:themeFill="background1"/>
          </w:tcPr>
          <w:p w:rsidR="008664B1" w:rsidRDefault="00270628" w:rsidP="008664B1">
            <w:pPr>
              <w:spacing w:beforeLines="20" w:before="72" w:line="240" w:lineRule="exact"/>
              <w:jc w:val="both"/>
              <w:rPr>
                <w:rFonts w:ascii="標楷體" w:eastAsia="標楷體" w:hAnsi="標楷體"/>
                <w:b/>
                <w:sz w:val="28"/>
                <w:szCs w:val="28"/>
              </w:rPr>
            </w:pPr>
            <w:r>
              <w:rPr>
                <w:rFonts w:ascii="標楷體" w:eastAsia="標楷體" w:hAnsi="標楷體" w:hint="eastAsia"/>
                <w:b/>
                <w:sz w:val="28"/>
                <w:szCs w:val="28"/>
              </w:rPr>
              <w:t>指標4</w:t>
            </w:r>
          </w:p>
        </w:tc>
        <w:tc>
          <w:tcPr>
            <w:tcW w:w="4780" w:type="dxa"/>
            <w:shd w:val="clear" w:color="auto" w:fill="FFFFFF" w:themeFill="background1"/>
          </w:tcPr>
          <w:p w:rsidR="00465AEF" w:rsidRDefault="00B45CDE" w:rsidP="009B4D25">
            <w:pPr>
              <w:spacing w:beforeLines="20" w:before="72" w:line="340" w:lineRule="exact"/>
              <w:jc w:val="both"/>
              <w:rPr>
                <w:rFonts w:ascii="標楷體" w:eastAsia="標楷體" w:hAnsi="標楷體"/>
                <w:b/>
                <w:sz w:val="28"/>
                <w:szCs w:val="28"/>
              </w:rPr>
            </w:pPr>
            <w:r w:rsidRPr="00B45CDE">
              <w:rPr>
                <w:rFonts w:ascii="標楷體" w:eastAsia="標楷體" w:hAnsi="標楷體" w:hint="eastAsia"/>
                <w:b/>
                <w:sz w:val="28"/>
                <w:szCs w:val="28"/>
              </w:rPr>
              <w:t>最近期財務報告每股淨值低於</w:t>
            </w:r>
            <w:r w:rsidRPr="00B45CDE">
              <w:rPr>
                <w:rFonts w:ascii="標楷體" w:eastAsia="標楷體" w:hAnsi="標楷體"/>
                <w:b/>
                <w:sz w:val="28"/>
                <w:szCs w:val="28"/>
              </w:rPr>
              <w:t xml:space="preserve">10 </w:t>
            </w:r>
            <w:r w:rsidRPr="00B45CDE">
              <w:rPr>
                <w:rFonts w:ascii="標楷體" w:eastAsia="標楷體" w:hAnsi="標楷體" w:hint="eastAsia"/>
                <w:b/>
                <w:sz w:val="28"/>
                <w:szCs w:val="28"/>
              </w:rPr>
              <w:t>元且最近兩個會計年度及最近期之營業活動淨現金流量均為負數者</w:t>
            </w:r>
            <w:r w:rsidR="00270628">
              <w:rPr>
                <w:rFonts w:ascii="標楷體" w:eastAsia="標楷體" w:hAnsi="標楷體" w:hint="eastAsia"/>
                <w:b/>
                <w:sz w:val="28"/>
                <w:szCs w:val="28"/>
              </w:rPr>
              <w:t>。</w:t>
            </w:r>
          </w:p>
        </w:tc>
      </w:tr>
      <w:tr w:rsidR="00270628" w:rsidTr="008664B1">
        <w:trPr>
          <w:trHeight w:val="1231"/>
          <w:jc w:val="center"/>
        </w:trPr>
        <w:tc>
          <w:tcPr>
            <w:tcW w:w="3256" w:type="dxa"/>
            <w:shd w:val="clear" w:color="auto" w:fill="FFFFFF" w:themeFill="background1"/>
          </w:tcPr>
          <w:p w:rsidR="00715967" w:rsidRDefault="00270628" w:rsidP="009B4D25">
            <w:pPr>
              <w:spacing w:beforeLines="20" w:before="72" w:line="240" w:lineRule="exact"/>
              <w:jc w:val="both"/>
              <w:rPr>
                <w:rFonts w:ascii="標楷體" w:eastAsia="標楷體" w:hAnsi="標楷體"/>
                <w:b/>
                <w:sz w:val="28"/>
                <w:szCs w:val="28"/>
              </w:rPr>
            </w:pPr>
            <w:r>
              <w:rPr>
                <w:rFonts w:ascii="標楷體" w:eastAsia="標楷體" w:hAnsi="標楷體" w:hint="eastAsia"/>
                <w:b/>
                <w:sz w:val="28"/>
                <w:szCs w:val="28"/>
              </w:rPr>
              <w:t>指標9</w:t>
            </w:r>
          </w:p>
          <w:p w:rsidR="008E13C2" w:rsidRDefault="008E13C2" w:rsidP="008664B1">
            <w:pPr>
              <w:spacing w:beforeLines="20" w:before="72" w:line="360" w:lineRule="exact"/>
              <w:jc w:val="both"/>
              <w:rPr>
                <w:rFonts w:ascii="標楷體" w:eastAsia="標楷體" w:hAnsi="標楷體"/>
                <w:b/>
                <w:sz w:val="28"/>
                <w:szCs w:val="28"/>
              </w:rPr>
            </w:pPr>
            <w:r>
              <w:rPr>
                <w:rFonts w:ascii="標楷體" w:eastAsia="標楷體" w:hAnsi="標楷體" w:hint="eastAsia"/>
                <w:b/>
                <w:kern w:val="0"/>
                <w:sz w:val="28"/>
                <w:szCs w:val="28"/>
              </w:rPr>
              <w:t>(僅適用於淨值低於10元之標的證券)</w:t>
            </w:r>
          </w:p>
        </w:tc>
        <w:tc>
          <w:tcPr>
            <w:tcW w:w="4780" w:type="dxa"/>
            <w:shd w:val="clear" w:color="auto" w:fill="FFFFFF" w:themeFill="background1"/>
          </w:tcPr>
          <w:p w:rsidR="00270628" w:rsidRDefault="00270628" w:rsidP="009B4D25">
            <w:pPr>
              <w:spacing w:beforeLines="20" w:before="72" w:line="340" w:lineRule="exact"/>
              <w:jc w:val="both"/>
              <w:rPr>
                <w:rFonts w:ascii="標楷體" w:eastAsia="標楷體" w:hAnsi="標楷體"/>
                <w:b/>
                <w:sz w:val="28"/>
                <w:szCs w:val="28"/>
              </w:rPr>
            </w:pPr>
            <w:r>
              <w:rPr>
                <w:rFonts w:ascii="標楷體" w:eastAsia="標楷體" w:hAnsi="標楷體" w:hint="eastAsia"/>
                <w:b/>
                <w:sz w:val="28"/>
                <w:szCs w:val="28"/>
              </w:rPr>
              <w:t>符合下列任一情事者：</w:t>
            </w:r>
          </w:p>
          <w:p w:rsidR="00715967" w:rsidRDefault="00B45CDE" w:rsidP="009B4D25">
            <w:pPr>
              <w:pStyle w:val="HTML"/>
              <w:spacing w:beforeLines="30" w:before="108" w:line="360" w:lineRule="exact"/>
              <w:ind w:left="420" w:hangingChars="150" w:hanging="420"/>
              <w:rPr>
                <w:rFonts w:ascii="標楷體" w:eastAsia="標楷體" w:hAnsi="標楷體" w:cstheme="minorBidi"/>
                <w:b/>
                <w:kern w:val="2"/>
                <w:sz w:val="28"/>
                <w:szCs w:val="28"/>
              </w:rPr>
            </w:pPr>
            <w:r w:rsidRPr="00B45CDE">
              <w:rPr>
                <w:rFonts w:ascii="標楷體" w:eastAsia="標楷體" w:hAnsi="標楷體" w:cstheme="minorBidi"/>
                <w:b/>
                <w:kern w:val="2"/>
                <w:sz w:val="28"/>
                <w:szCs w:val="28"/>
              </w:rPr>
              <w:t>(</w:t>
            </w:r>
            <w:r w:rsidR="00A97D61">
              <w:rPr>
                <w:rFonts w:ascii="標楷體" w:eastAsia="標楷體" w:hAnsi="標楷體" w:cstheme="minorBidi" w:hint="eastAsia"/>
                <w:b/>
                <w:kern w:val="2"/>
                <w:sz w:val="28"/>
                <w:szCs w:val="28"/>
              </w:rPr>
              <w:t>1</w:t>
            </w:r>
            <w:r w:rsidRPr="00B45CDE">
              <w:rPr>
                <w:rFonts w:ascii="標楷體" w:eastAsia="標楷體" w:hAnsi="標楷體" w:cstheme="minorBidi"/>
                <w:b/>
                <w:kern w:val="2"/>
                <w:sz w:val="28"/>
                <w:szCs w:val="28"/>
              </w:rPr>
              <w:t>)</w:t>
            </w:r>
            <w:r w:rsidRPr="00B45CDE">
              <w:rPr>
                <w:rFonts w:ascii="標楷體" w:eastAsia="標楷體" w:hAnsi="標楷體" w:cstheme="minorBidi" w:hint="eastAsia"/>
                <w:b/>
                <w:kern w:val="2"/>
                <w:sz w:val="28"/>
                <w:szCs w:val="28"/>
              </w:rPr>
              <w:t>會計師出具繼續經營能力存在重大不確定性之查核或繼續經營假設存有重大疑慮之核閱報告。</w:t>
            </w:r>
          </w:p>
          <w:p w:rsidR="00715967" w:rsidRDefault="00460E31" w:rsidP="009B4D25">
            <w:pPr>
              <w:pStyle w:val="HTML"/>
              <w:spacing w:beforeLines="30" w:before="108" w:line="360" w:lineRule="exact"/>
              <w:ind w:left="420" w:hangingChars="150" w:hanging="420"/>
            </w:pPr>
            <w:r>
              <w:rPr>
                <w:rFonts w:ascii="標楷體" w:eastAsia="標楷體" w:hAnsi="標楷體" w:cstheme="minorBidi" w:hint="eastAsia"/>
                <w:b/>
                <w:kern w:val="2"/>
                <w:sz w:val="28"/>
                <w:szCs w:val="28"/>
              </w:rPr>
              <w:t>(</w:t>
            </w:r>
            <w:r w:rsidR="00A97D61">
              <w:rPr>
                <w:rFonts w:ascii="標楷體" w:eastAsia="標楷體" w:hAnsi="標楷體" w:cstheme="minorBidi" w:hint="eastAsia"/>
                <w:b/>
                <w:kern w:val="2"/>
                <w:sz w:val="28"/>
                <w:szCs w:val="28"/>
              </w:rPr>
              <w:t>2</w:t>
            </w:r>
            <w:r>
              <w:rPr>
                <w:rFonts w:ascii="標楷體" w:eastAsia="標楷體" w:hAnsi="標楷體" w:cstheme="minorBidi" w:hint="eastAsia"/>
                <w:b/>
                <w:kern w:val="2"/>
                <w:sz w:val="28"/>
                <w:szCs w:val="28"/>
              </w:rPr>
              <w:t>)</w:t>
            </w:r>
            <w:r w:rsidR="009C7A8C" w:rsidRPr="00B45CDE">
              <w:rPr>
                <w:rFonts w:ascii="標楷體" w:eastAsia="標楷體" w:hAnsi="標楷體" w:cstheme="minorBidi" w:hint="eastAsia"/>
                <w:b/>
                <w:kern w:val="2"/>
                <w:sz w:val="28"/>
                <w:szCs w:val="28"/>
              </w:rPr>
              <w:t>相關資料顯示資產保全、債務償還存有重大疑慮、或對股東權益產生重大不利影響之虞。</w:t>
            </w:r>
            <w:r w:rsidR="009C7A8C">
              <w:t xml:space="preserve"> </w:t>
            </w:r>
          </w:p>
          <w:p w:rsidR="00715967" w:rsidRDefault="00B45CDE" w:rsidP="009B4D25">
            <w:pPr>
              <w:pStyle w:val="HTML"/>
              <w:spacing w:beforeLines="30" w:before="108" w:line="360" w:lineRule="exact"/>
              <w:ind w:left="420" w:hangingChars="150" w:hanging="420"/>
            </w:pPr>
            <w:r w:rsidRPr="00B45CDE">
              <w:rPr>
                <w:rFonts w:ascii="標楷體" w:eastAsia="標楷體" w:hAnsi="標楷體" w:cstheme="minorBidi"/>
                <w:b/>
                <w:kern w:val="2"/>
                <w:sz w:val="28"/>
                <w:szCs w:val="28"/>
              </w:rPr>
              <w:t>(</w:t>
            </w:r>
            <w:r w:rsidR="008664B1">
              <w:rPr>
                <w:rFonts w:ascii="標楷體" w:eastAsia="標楷體" w:hAnsi="標楷體" w:cstheme="minorBidi" w:hint="eastAsia"/>
                <w:b/>
                <w:kern w:val="2"/>
                <w:sz w:val="28"/>
                <w:szCs w:val="28"/>
              </w:rPr>
              <w:t>3</w:t>
            </w:r>
            <w:r w:rsidRPr="00B45CDE">
              <w:rPr>
                <w:rFonts w:ascii="標楷體" w:eastAsia="標楷體" w:hAnsi="標楷體" w:cstheme="minorBidi"/>
                <w:b/>
                <w:kern w:val="2"/>
                <w:sz w:val="28"/>
                <w:szCs w:val="28"/>
              </w:rPr>
              <w:t>)</w:t>
            </w:r>
            <w:r w:rsidR="009C7A8C" w:rsidRPr="00B45CDE">
              <w:rPr>
                <w:rFonts w:ascii="標楷體" w:eastAsia="標楷體" w:hAnsi="標楷體" w:cstheme="minorBidi" w:hint="eastAsia"/>
                <w:b/>
                <w:kern w:val="2"/>
                <w:sz w:val="28"/>
                <w:szCs w:val="28"/>
              </w:rPr>
              <w:t>最近期財務報告每股淨值低於</w:t>
            </w:r>
            <w:r w:rsidR="009C7A8C">
              <w:rPr>
                <w:rFonts w:ascii="標楷體" w:eastAsia="標楷體" w:hAnsi="標楷體" w:cstheme="minorBidi" w:hint="eastAsia"/>
                <w:b/>
                <w:kern w:val="2"/>
                <w:sz w:val="28"/>
                <w:szCs w:val="28"/>
              </w:rPr>
              <w:t>10</w:t>
            </w:r>
            <w:r w:rsidR="009C7A8C" w:rsidRPr="00B45CDE">
              <w:rPr>
                <w:rFonts w:ascii="標楷體" w:eastAsia="標楷體" w:hAnsi="標楷體" w:cstheme="minorBidi" w:hint="eastAsia"/>
                <w:b/>
                <w:kern w:val="2"/>
                <w:sz w:val="28"/>
                <w:szCs w:val="28"/>
              </w:rPr>
              <w:t>元且</w:t>
            </w:r>
            <w:r w:rsidR="009C7A8C">
              <w:rPr>
                <w:rFonts w:ascii="標楷體" w:eastAsia="標楷體" w:hAnsi="標楷體" w:cstheme="minorBidi" w:hint="eastAsia"/>
                <w:b/>
                <w:kern w:val="2"/>
                <w:sz w:val="28"/>
                <w:szCs w:val="28"/>
              </w:rPr>
              <w:t>上市(櫃)</w:t>
            </w:r>
            <w:r w:rsidR="009C7A8C" w:rsidRPr="00B45CDE">
              <w:rPr>
                <w:rFonts w:ascii="標楷體" w:eastAsia="標楷體" w:hAnsi="標楷體" w:cstheme="minorBidi" w:hint="eastAsia"/>
                <w:b/>
                <w:kern w:val="2"/>
                <w:sz w:val="28"/>
                <w:szCs w:val="28"/>
              </w:rPr>
              <w:t>普通股股數未達其已發行普通股股份總數之</w:t>
            </w:r>
            <w:r w:rsidR="009C7A8C">
              <w:rPr>
                <w:rFonts w:ascii="標楷體" w:eastAsia="標楷體" w:hAnsi="標楷體" w:cstheme="minorBidi" w:hint="eastAsia"/>
                <w:b/>
                <w:kern w:val="2"/>
                <w:sz w:val="28"/>
                <w:szCs w:val="28"/>
              </w:rPr>
              <w:t xml:space="preserve">50 </w:t>
            </w:r>
            <w:r w:rsidR="009C7A8C" w:rsidRPr="00270628">
              <w:rPr>
                <w:rFonts w:ascii="標楷體" w:eastAsia="標楷體" w:hAnsi="標楷體"/>
                <w:b/>
                <w:sz w:val="28"/>
                <w:szCs w:val="28"/>
              </w:rPr>
              <w:t>％</w:t>
            </w:r>
            <w:r w:rsidR="009C7A8C" w:rsidRPr="00B45CDE">
              <w:rPr>
                <w:rFonts w:ascii="標楷體" w:eastAsia="標楷體" w:hAnsi="標楷體" w:cstheme="minorBidi" w:hint="eastAsia"/>
                <w:b/>
                <w:kern w:val="2"/>
                <w:sz w:val="28"/>
                <w:szCs w:val="28"/>
              </w:rPr>
              <w:t>。</w:t>
            </w:r>
            <w:r w:rsidR="009C7A8C">
              <w:t xml:space="preserve"> </w:t>
            </w:r>
          </w:p>
          <w:p w:rsidR="00715967" w:rsidRDefault="00B45CDE" w:rsidP="009B4D25">
            <w:pPr>
              <w:pStyle w:val="HTML"/>
              <w:spacing w:beforeLines="30" w:before="108" w:line="360" w:lineRule="exact"/>
              <w:ind w:left="420" w:hangingChars="150" w:hanging="420"/>
              <w:rPr>
                <w:sz w:val="20"/>
                <w:szCs w:val="20"/>
              </w:rPr>
            </w:pPr>
            <w:r w:rsidRPr="00B45CDE">
              <w:rPr>
                <w:rFonts w:ascii="標楷體" w:eastAsia="標楷體" w:hAnsi="標楷體" w:cstheme="minorBidi"/>
                <w:b/>
                <w:kern w:val="2"/>
                <w:sz w:val="28"/>
                <w:szCs w:val="28"/>
              </w:rPr>
              <w:lastRenderedPageBreak/>
              <w:t>(</w:t>
            </w:r>
            <w:r w:rsidR="008664B1">
              <w:rPr>
                <w:rFonts w:ascii="標楷體" w:eastAsia="標楷體" w:hAnsi="標楷體" w:cstheme="minorBidi" w:hint="eastAsia"/>
                <w:b/>
                <w:kern w:val="2"/>
                <w:sz w:val="28"/>
                <w:szCs w:val="28"/>
              </w:rPr>
              <w:t>4</w:t>
            </w:r>
            <w:r w:rsidRPr="00B45CDE">
              <w:rPr>
                <w:rFonts w:ascii="標楷體" w:eastAsia="標楷體" w:hAnsi="標楷體" w:cstheme="minorBidi"/>
                <w:b/>
                <w:kern w:val="2"/>
                <w:sz w:val="28"/>
                <w:szCs w:val="28"/>
              </w:rPr>
              <w:t>)</w:t>
            </w:r>
            <w:r w:rsidR="009C7A8C" w:rsidRPr="00B45CDE">
              <w:rPr>
                <w:rFonts w:ascii="標楷體" w:eastAsia="標楷體" w:hAnsi="標楷體" w:cstheme="minorBidi" w:hint="eastAsia"/>
                <w:b/>
                <w:kern w:val="2"/>
                <w:sz w:val="28"/>
                <w:szCs w:val="28"/>
              </w:rPr>
              <w:t>第一上市</w:t>
            </w:r>
            <w:r w:rsidR="009C7A8C">
              <w:rPr>
                <w:rFonts w:ascii="標楷體" w:eastAsia="標楷體" w:hAnsi="標楷體" w:cstheme="minorBidi" w:hint="eastAsia"/>
                <w:b/>
                <w:kern w:val="2"/>
                <w:sz w:val="28"/>
                <w:szCs w:val="28"/>
              </w:rPr>
              <w:t>(櫃)</w:t>
            </w:r>
            <w:r w:rsidR="009C7A8C" w:rsidRPr="00B45CDE">
              <w:rPr>
                <w:rFonts w:ascii="標楷體" w:eastAsia="標楷體" w:hAnsi="標楷體" w:cstheme="minorBidi" w:hint="eastAsia"/>
                <w:b/>
                <w:kern w:val="2"/>
                <w:sz w:val="28"/>
                <w:szCs w:val="28"/>
              </w:rPr>
              <w:t>公司最近期財務報告營業收入及應收帳款週轉率分別較去年同期衰退</w:t>
            </w:r>
            <w:r w:rsidR="009C7A8C">
              <w:rPr>
                <w:rFonts w:ascii="標楷體" w:eastAsia="標楷體" w:hAnsi="標楷體" w:cstheme="minorBidi" w:hint="eastAsia"/>
                <w:b/>
                <w:kern w:val="2"/>
                <w:sz w:val="28"/>
                <w:szCs w:val="28"/>
              </w:rPr>
              <w:t xml:space="preserve">50 </w:t>
            </w:r>
            <w:r w:rsidR="009C7A8C" w:rsidRPr="00270628">
              <w:rPr>
                <w:rFonts w:ascii="標楷體" w:eastAsia="標楷體" w:hAnsi="標楷體"/>
                <w:b/>
                <w:sz w:val="28"/>
                <w:szCs w:val="28"/>
              </w:rPr>
              <w:t>％</w:t>
            </w:r>
            <w:r w:rsidR="009C7A8C" w:rsidRPr="00B45CDE">
              <w:rPr>
                <w:rFonts w:ascii="標楷體" w:eastAsia="標楷體" w:hAnsi="標楷體" w:cstheme="minorBidi" w:hint="eastAsia"/>
                <w:b/>
                <w:kern w:val="2"/>
                <w:sz w:val="28"/>
                <w:szCs w:val="28"/>
              </w:rPr>
              <w:t>及</w:t>
            </w:r>
            <w:r w:rsidR="009C7A8C">
              <w:rPr>
                <w:rFonts w:ascii="標楷體" w:eastAsia="標楷體" w:hAnsi="標楷體" w:cstheme="minorBidi" w:hint="eastAsia"/>
                <w:b/>
                <w:kern w:val="2"/>
                <w:sz w:val="28"/>
                <w:szCs w:val="28"/>
              </w:rPr>
              <w:t xml:space="preserve">30 </w:t>
            </w:r>
            <w:r w:rsidR="009C7A8C" w:rsidRPr="00270628">
              <w:rPr>
                <w:rFonts w:ascii="標楷體" w:eastAsia="標楷體" w:hAnsi="標楷體"/>
                <w:b/>
                <w:sz w:val="28"/>
                <w:szCs w:val="28"/>
              </w:rPr>
              <w:t>％</w:t>
            </w:r>
            <w:r w:rsidR="009C7A8C" w:rsidRPr="00B45CDE">
              <w:rPr>
                <w:rFonts w:ascii="標楷體" w:eastAsia="標楷體" w:hAnsi="標楷體" w:cstheme="minorBidi" w:hint="eastAsia"/>
                <w:b/>
                <w:kern w:val="2"/>
                <w:sz w:val="28"/>
                <w:szCs w:val="28"/>
              </w:rPr>
              <w:t>以上，或營業收入及存貨週轉率分別較去年同期衰退</w:t>
            </w:r>
            <w:r w:rsidR="009C7A8C">
              <w:rPr>
                <w:rFonts w:ascii="標楷體" w:eastAsia="標楷體" w:hAnsi="標楷體" w:cstheme="minorBidi" w:hint="eastAsia"/>
                <w:b/>
                <w:kern w:val="2"/>
                <w:sz w:val="28"/>
                <w:szCs w:val="28"/>
              </w:rPr>
              <w:t xml:space="preserve">50 </w:t>
            </w:r>
            <w:r w:rsidR="009C7A8C" w:rsidRPr="00270628">
              <w:rPr>
                <w:rFonts w:ascii="標楷體" w:eastAsia="標楷體" w:hAnsi="標楷體"/>
                <w:b/>
                <w:sz w:val="28"/>
                <w:szCs w:val="28"/>
              </w:rPr>
              <w:t>％</w:t>
            </w:r>
            <w:r w:rsidR="009C7A8C" w:rsidRPr="00B45CDE">
              <w:rPr>
                <w:rFonts w:ascii="標楷體" w:eastAsia="標楷體" w:hAnsi="標楷體" w:cstheme="minorBidi" w:hint="eastAsia"/>
                <w:b/>
                <w:kern w:val="2"/>
                <w:sz w:val="28"/>
                <w:szCs w:val="28"/>
              </w:rPr>
              <w:t>及</w:t>
            </w:r>
            <w:r w:rsidR="009C7A8C">
              <w:rPr>
                <w:rFonts w:ascii="標楷體" w:eastAsia="標楷體" w:hAnsi="標楷體" w:cstheme="minorBidi" w:hint="eastAsia"/>
                <w:b/>
                <w:kern w:val="2"/>
                <w:sz w:val="28"/>
                <w:szCs w:val="28"/>
              </w:rPr>
              <w:t>30</w:t>
            </w:r>
            <w:r w:rsidR="009C7A8C" w:rsidRPr="00270628">
              <w:rPr>
                <w:rFonts w:ascii="標楷體" w:eastAsia="標楷體" w:hAnsi="標楷體"/>
                <w:b/>
                <w:sz w:val="28"/>
                <w:szCs w:val="28"/>
              </w:rPr>
              <w:t>％</w:t>
            </w:r>
            <w:r w:rsidR="009C7A8C" w:rsidRPr="00B45CDE">
              <w:rPr>
                <w:rFonts w:ascii="標楷體" w:eastAsia="標楷體" w:hAnsi="標楷體" w:cstheme="minorBidi" w:hint="eastAsia"/>
                <w:b/>
                <w:kern w:val="2"/>
                <w:sz w:val="28"/>
                <w:szCs w:val="28"/>
              </w:rPr>
              <w:t>以上。</w:t>
            </w:r>
          </w:p>
          <w:p w:rsidR="00715967" w:rsidRDefault="00B45CDE" w:rsidP="009B4D25">
            <w:pPr>
              <w:pStyle w:val="HTML"/>
              <w:spacing w:beforeLines="30" w:before="108" w:line="360" w:lineRule="exact"/>
              <w:ind w:left="420" w:hangingChars="150" w:hanging="420"/>
              <w:rPr>
                <w:rFonts w:ascii="標楷體" w:eastAsia="標楷體" w:hAnsi="標楷體"/>
                <w:b/>
                <w:sz w:val="28"/>
                <w:szCs w:val="28"/>
              </w:rPr>
            </w:pPr>
            <w:r w:rsidRPr="00B45CDE">
              <w:rPr>
                <w:rFonts w:ascii="標楷體" w:eastAsia="標楷體" w:hAnsi="標楷體" w:cstheme="minorBidi"/>
                <w:b/>
                <w:kern w:val="2"/>
                <w:sz w:val="28"/>
                <w:szCs w:val="28"/>
              </w:rPr>
              <w:t>(</w:t>
            </w:r>
            <w:r w:rsidR="008664B1">
              <w:rPr>
                <w:rFonts w:ascii="標楷體" w:eastAsia="標楷體" w:hAnsi="標楷體" w:cstheme="minorBidi" w:hint="eastAsia"/>
                <w:b/>
                <w:kern w:val="2"/>
                <w:sz w:val="28"/>
                <w:szCs w:val="28"/>
              </w:rPr>
              <w:t>5</w:t>
            </w:r>
            <w:r w:rsidRPr="00B45CDE">
              <w:rPr>
                <w:rFonts w:ascii="標楷體" w:eastAsia="標楷體" w:hAnsi="標楷體" w:cstheme="minorBidi"/>
                <w:b/>
                <w:kern w:val="2"/>
                <w:sz w:val="28"/>
                <w:szCs w:val="28"/>
              </w:rPr>
              <w:t>)</w:t>
            </w:r>
            <w:r w:rsidRPr="00B45CDE">
              <w:rPr>
                <w:rFonts w:ascii="標楷體" w:eastAsia="標楷體" w:hAnsi="標楷體" w:cstheme="minorBidi" w:hint="eastAsia"/>
                <w:b/>
                <w:kern w:val="2"/>
                <w:sz w:val="28"/>
                <w:szCs w:val="28"/>
                <w:u w:val="single"/>
              </w:rPr>
              <w:t>第一上市公司</w:t>
            </w:r>
            <w:r w:rsidR="00F514DC">
              <w:rPr>
                <w:rFonts w:ascii="標楷體" w:eastAsia="標楷體" w:hAnsi="標楷體" w:cstheme="minorBidi" w:hint="eastAsia"/>
                <w:b/>
                <w:kern w:val="2"/>
                <w:sz w:val="28"/>
                <w:szCs w:val="28"/>
              </w:rPr>
              <w:t>：</w:t>
            </w:r>
            <w:r w:rsidRPr="00B45CDE">
              <w:rPr>
                <w:rFonts w:ascii="標楷體" w:eastAsia="標楷體" w:hAnsi="標楷體" w:cstheme="minorBidi" w:hint="eastAsia"/>
                <w:b/>
                <w:kern w:val="2"/>
                <w:sz w:val="28"/>
                <w:szCs w:val="28"/>
              </w:rPr>
              <w:t>最近期財務報告營業收入及稅前淨利分別較去年同期衰退</w:t>
            </w:r>
            <w:r w:rsidR="004373AB">
              <w:rPr>
                <w:rFonts w:ascii="標楷體" w:eastAsia="標楷體" w:hAnsi="標楷體" w:cstheme="minorBidi" w:hint="eastAsia"/>
                <w:b/>
                <w:kern w:val="2"/>
                <w:sz w:val="28"/>
                <w:szCs w:val="28"/>
              </w:rPr>
              <w:t xml:space="preserve">30 </w:t>
            </w:r>
            <w:r w:rsidR="004373AB" w:rsidRPr="00270628">
              <w:rPr>
                <w:rFonts w:ascii="標楷體" w:eastAsia="標楷體" w:hAnsi="標楷體"/>
                <w:b/>
                <w:sz w:val="28"/>
                <w:szCs w:val="28"/>
              </w:rPr>
              <w:t>％</w:t>
            </w:r>
            <w:r w:rsidRPr="00B45CDE">
              <w:rPr>
                <w:rFonts w:ascii="標楷體" w:eastAsia="標楷體" w:hAnsi="標楷體" w:cstheme="minorBidi" w:hint="eastAsia"/>
                <w:b/>
                <w:kern w:val="2"/>
                <w:sz w:val="28"/>
                <w:szCs w:val="28"/>
              </w:rPr>
              <w:t>及</w:t>
            </w:r>
            <w:r w:rsidR="004373AB">
              <w:rPr>
                <w:rFonts w:ascii="標楷體" w:eastAsia="標楷體" w:hAnsi="標楷體" w:cstheme="minorBidi" w:hint="eastAsia"/>
                <w:b/>
                <w:kern w:val="2"/>
                <w:sz w:val="28"/>
                <w:szCs w:val="28"/>
              </w:rPr>
              <w:t xml:space="preserve">50 </w:t>
            </w:r>
            <w:r w:rsidR="004373AB" w:rsidRPr="00270628">
              <w:rPr>
                <w:rFonts w:ascii="標楷體" w:eastAsia="標楷體" w:hAnsi="標楷體"/>
                <w:b/>
                <w:sz w:val="28"/>
                <w:szCs w:val="28"/>
              </w:rPr>
              <w:t>％</w:t>
            </w:r>
            <w:r w:rsidRPr="00B45CDE">
              <w:rPr>
                <w:rFonts w:ascii="標楷體" w:eastAsia="標楷體" w:hAnsi="標楷體" w:cstheme="minorBidi" w:hint="eastAsia"/>
                <w:b/>
                <w:kern w:val="2"/>
                <w:sz w:val="28"/>
                <w:szCs w:val="28"/>
              </w:rPr>
              <w:t>以上，且最近四季稅前淨利合計金額低於</w:t>
            </w:r>
            <w:r w:rsidR="00363115">
              <w:rPr>
                <w:rFonts w:ascii="標楷體" w:eastAsia="標楷體" w:hAnsi="標楷體" w:cstheme="minorBidi" w:hint="eastAsia"/>
                <w:b/>
                <w:kern w:val="2"/>
                <w:sz w:val="28"/>
                <w:szCs w:val="28"/>
              </w:rPr>
              <w:t>1</w:t>
            </w:r>
            <w:r w:rsidRPr="00B45CDE">
              <w:rPr>
                <w:rFonts w:ascii="標楷體" w:eastAsia="標楷體" w:hAnsi="標楷體" w:cstheme="minorBidi" w:hint="eastAsia"/>
                <w:b/>
                <w:kern w:val="2"/>
                <w:sz w:val="28"/>
                <w:szCs w:val="28"/>
              </w:rPr>
              <w:t>億</w:t>
            </w:r>
            <w:r w:rsidR="00363115">
              <w:rPr>
                <w:rFonts w:ascii="標楷體" w:eastAsia="標楷體" w:hAnsi="標楷體" w:cstheme="minorBidi" w:hint="eastAsia"/>
                <w:b/>
                <w:kern w:val="2"/>
                <w:sz w:val="28"/>
                <w:szCs w:val="28"/>
              </w:rPr>
              <w:t>2000</w:t>
            </w:r>
            <w:r w:rsidRPr="00B45CDE">
              <w:rPr>
                <w:rFonts w:ascii="標楷體" w:eastAsia="標楷體" w:hAnsi="標楷體" w:cstheme="minorBidi" w:hint="eastAsia"/>
                <w:b/>
                <w:kern w:val="2"/>
                <w:sz w:val="28"/>
                <w:szCs w:val="28"/>
              </w:rPr>
              <w:t>萬元。</w:t>
            </w:r>
          </w:p>
          <w:p w:rsidR="00715967" w:rsidRDefault="00B45CDE" w:rsidP="009B4D25">
            <w:pPr>
              <w:pStyle w:val="HTML"/>
              <w:spacing w:beforeLines="20" w:before="72" w:line="360" w:lineRule="exact"/>
              <w:ind w:leftChars="180" w:left="432"/>
              <w:rPr>
                <w:rFonts w:ascii="標楷體" w:eastAsia="標楷體" w:hAnsi="標楷體" w:cstheme="minorBidi"/>
                <w:b/>
                <w:kern w:val="2"/>
                <w:sz w:val="28"/>
                <w:szCs w:val="28"/>
              </w:rPr>
            </w:pPr>
            <w:r w:rsidRPr="00B45CDE">
              <w:rPr>
                <w:rFonts w:ascii="標楷體" w:eastAsia="標楷體" w:hAnsi="標楷體" w:cstheme="minorBidi" w:hint="eastAsia"/>
                <w:b/>
                <w:kern w:val="2"/>
                <w:sz w:val="28"/>
                <w:szCs w:val="28"/>
                <w:u w:val="single"/>
              </w:rPr>
              <w:t>第一上櫃公司</w:t>
            </w:r>
            <w:r w:rsidR="00F514DC">
              <w:rPr>
                <w:rFonts w:ascii="標楷體" w:eastAsia="標楷體" w:hAnsi="標楷體" w:cstheme="minorBidi" w:hint="eastAsia"/>
                <w:b/>
                <w:kern w:val="2"/>
                <w:sz w:val="28"/>
                <w:szCs w:val="28"/>
              </w:rPr>
              <w:t>：</w:t>
            </w:r>
            <w:r w:rsidR="00F514DC" w:rsidRPr="00A97D61">
              <w:rPr>
                <w:rFonts w:ascii="標楷體" w:eastAsia="標楷體" w:hAnsi="標楷體" w:cstheme="minorBidi" w:hint="eastAsia"/>
                <w:b/>
                <w:kern w:val="2"/>
                <w:sz w:val="28"/>
                <w:szCs w:val="28"/>
              </w:rPr>
              <w:t>最近期財務報告營業收入及稅前淨利分別較去年同期衰退</w:t>
            </w:r>
            <w:r w:rsidR="00E424EE">
              <w:rPr>
                <w:rFonts w:ascii="標楷體" w:eastAsia="標楷體" w:hAnsi="標楷體" w:cstheme="minorBidi" w:hint="eastAsia"/>
                <w:b/>
                <w:kern w:val="2"/>
                <w:sz w:val="28"/>
                <w:szCs w:val="28"/>
              </w:rPr>
              <w:t>30</w:t>
            </w:r>
            <w:r w:rsidR="004373AB">
              <w:rPr>
                <w:rFonts w:ascii="標楷體" w:eastAsia="標楷體" w:hAnsi="標楷體" w:cstheme="minorBidi" w:hint="eastAsia"/>
                <w:b/>
                <w:kern w:val="2"/>
                <w:sz w:val="28"/>
                <w:szCs w:val="28"/>
              </w:rPr>
              <w:t xml:space="preserve"> </w:t>
            </w:r>
            <w:r w:rsidR="00E424EE" w:rsidRPr="00270628">
              <w:rPr>
                <w:rFonts w:ascii="標楷體" w:eastAsia="標楷體" w:hAnsi="標楷體"/>
                <w:b/>
                <w:sz w:val="28"/>
                <w:szCs w:val="28"/>
              </w:rPr>
              <w:t>％</w:t>
            </w:r>
            <w:r w:rsidR="00F514DC" w:rsidRPr="00A97D61">
              <w:rPr>
                <w:rFonts w:ascii="標楷體" w:eastAsia="標楷體" w:hAnsi="標楷體" w:cstheme="minorBidi" w:hint="eastAsia"/>
                <w:b/>
                <w:kern w:val="2"/>
                <w:sz w:val="28"/>
                <w:szCs w:val="28"/>
              </w:rPr>
              <w:t>及</w:t>
            </w:r>
            <w:r w:rsidR="00E424EE">
              <w:rPr>
                <w:rFonts w:ascii="標楷體" w:eastAsia="標楷體" w:hAnsi="標楷體" w:cstheme="minorBidi" w:hint="eastAsia"/>
                <w:b/>
                <w:kern w:val="2"/>
                <w:sz w:val="28"/>
                <w:szCs w:val="28"/>
              </w:rPr>
              <w:t>50</w:t>
            </w:r>
            <w:r w:rsidR="004373AB">
              <w:rPr>
                <w:rFonts w:ascii="標楷體" w:eastAsia="標楷體" w:hAnsi="標楷體" w:cstheme="minorBidi" w:hint="eastAsia"/>
                <w:b/>
                <w:kern w:val="2"/>
                <w:sz w:val="28"/>
                <w:szCs w:val="28"/>
              </w:rPr>
              <w:t xml:space="preserve"> </w:t>
            </w:r>
            <w:r w:rsidR="00E424EE" w:rsidRPr="00270628">
              <w:rPr>
                <w:rFonts w:ascii="標楷體" w:eastAsia="標楷體" w:hAnsi="標楷體"/>
                <w:b/>
                <w:sz w:val="28"/>
                <w:szCs w:val="28"/>
              </w:rPr>
              <w:t>％</w:t>
            </w:r>
            <w:r w:rsidR="00F514DC" w:rsidRPr="00A97D61">
              <w:rPr>
                <w:rFonts w:ascii="標楷體" w:eastAsia="標楷體" w:hAnsi="標楷體" w:cstheme="minorBidi" w:hint="eastAsia"/>
                <w:b/>
                <w:kern w:val="2"/>
                <w:sz w:val="28"/>
                <w:szCs w:val="28"/>
              </w:rPr>
              <w:t>以上，且最近四季稅前淨利合計金額低於</w:t>
            </w:r>
            <w:r w:rsidR="00363115">
              <w:rPr>
                <w:rFonts w:ascii="標楷體" w:eastAsia="標楷體" w:hAnsi="標楷體" w:cstheme="minorBidi" w:hint="eastAsia"/>
                <w:b/>
                <w:kern w:val="2"/>
                <w:sz w:val="28"/>
                <w:szCs w:val="28"/>
              </w:rPr>
              <w:t>400</w:t>
            </w:r>
            <w:r w:rsidR="00F514DC" w:rsidRPr="00A97D61">
              <w:rPr>
                <w:rFonts w:ascii="標楷體" w:eastAsia="標楷體" w:hAnsi="標楷體" w:cstheme="minorBidi" w:hint="eastAsia"/>
                <w:b/>
                <w:kern w:val="2"/>
                <w:sz w:val="28"/>
                <w:szCs w:val="28"/>
              </w:rPr>
              <w:t>萬元</w:t>
            </w:r>
            <w:r w:rsidR="00E424EE">
              <w:rPr>
                <w:rFonts w:ascii="標楷體" w:eastAsia="標楷體" w:hAnsi="標楷體" w:cstheme="minorBidi" w:hint="eastAsia"/>
                <w:b/>
                <w:kern w:val="2"/>
                <w:sz w:val="28"/>
                <w:szCs w:val="28"/>
              </w:rPr>
              <w:t>。</w:t>
            </w:r>
          </w:p>
          <w:p w:rsidR="00715967" w:rsidRDefault="00715967" w:rsidP="009B4D25">
            <w:pPr>
              <w:spacing w:beforeLines="20" w:before="72" w:line="340" w:lineRule="exact"/>
              <w:jc w:val="both"/>
              <w:rPr>
                <w:rFonts w:ascii="標楷體" w:eastAsia="標楷體" w:hAnsi="標楷體"/>
                <w:b/>
                <w:sz w:val="28"/>
                <w:szCs w:val="28"/>
              </w:rPr>
            </w:pPr>
          </w:p>
        </w:tc>
      </w:tr>
    </w:tbl>
    <w:p w:rsidR="007A7928" w:rsidRPr="00AF431F" w:rsidRDefault="00BF3C0A" w:rsidP="00BF3C0A">
      <w:pPr>
        <w:spacing w:beforeLines="50" w:before="180" w:line="420" w:lineRule="exact"/>
        <w:ind w:left="841" w:hangingChars="300" w:hanging="841"/>
        <w:jc w:val="both"/>
        <w:rPr>
          <w:rFonts w:ascii="標楷體" w:eastAsia="標楷體" w:hAnsi="標楷體"/>
          <w:sz w:val="28"/>
        </w:rPr>
      </w:pPr>
      <w:r w:rsidRPr="008664B1">
        <w:rPr>
          <w:rFonts w:ascii="標楷體" w:eastAsia="標楷體" w:hAnsi="標楷體" w:hint="eastAsia"/>
          <w:b/>
          <w:kern w:val="0"/>
          <w:sz w:val="28"/>
          <w:szCs w:val="28"/>
        </w:rPr>
        <w:lastRenderedPageBreak/>
        <w:t>附註：</w:t>
      </w:r>
      <w:r w:rsidR="00260867">
        <w:rPr>
          <w:rFonts w:ascii="標楷體" w:eastAsia="標楷體" w:hAnsi="標楷體" w:hint="eastAsia"/>
          <w:b/>
          <w:kern w:val="0"/>
          <w:sz w:val="28"/>
          <w:szCs w:val="28"/>
        </w:rPr>
        <w:t>無面額或每股面額非屬新臺幣10元者，以累積虧損代替上開指標每股淨值低於10元之篩選標準</w:t>
      </w:r>
      <w:r>
        <w:rPr>
          <w:rFonts w:ascii="標楷體" w:eastAsia="標楷體" w:hAnsi="標楷體" w:hint="eastAsia"/>
          <w:b/>
          <w:kern w:val="0"/>
          <w:sz w:val="28"/>
          <w:szCs w:val="28"/>
        </w:rPr>
        <w:t>。</w:t>
      </w:r>
    </w:p>
    <w:sectPr w:rsidR="007A7928" w:rsidRPr="00AF431F" w:rsidSect="001F5DB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0A6" w:rsidRDefault="006E40A6" w:rsidP="005D1FAD">
      <w:r>
        <w:separator/>
      </w:r>
    </w:p>
  </w:endnote>
  <w:endnote w:type="continuationSeparator" w:id="0">
    <w:p w:rsidR="006E40A6" w:rsidRDefault="006E40A6" w:rsidP="005D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0A6" w:rsidRDefault="006E40A6" w:rsidP="005D1FAD">
      <w:r>
        <w:separator/>
      </w:r>
    </w:p>
  </w:footnote>
  <w:footnote w:type="continuationSeparator" w:id="0">
    <w:p w:rsidR="006E40A6" w:rsidRDefault="006E40A6" w:rsidP="005D1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2C2D"/>
    <w:multiLevelType w:val="hybridMultilevel"/>
    <w:tmpl w:val="8236B2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D11E4F"/>
    <w:multiLevelType w:val="hybridMultilevel"/>
    <w:tmpl w:val="1804A56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536985"/>
    <w:multiLevelType w:val="hybridMultilevel"/>
    <w:tmpl w:val="A9162B5E"/>
    <w:lvl w:ilvl="0" w:tplc="76C4E18E">
      <w:start w:val="1"/>
      <w:numFmt w:val="taiwaneseCountingThousand"/>
      <w:lvlText w:val="%1、"/>
      <w:lvlJc w:val="left"/>
      <w:pPr>
        <w:ind w:left="480" w:hanging="480"/>
      </w:pPr>
      <w:rPr>
        <w:rFonts w:ascii="標楷體" w:eastAsia="標楷體" w:hAnsi="標楷體" w:cs="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D600A9"/>
    <w:multiLevelType w:val="hybridMultilevel"/>
    <w:tmpl w:val="3E7ED348"/>
    <w:lvl w:ilvl="0" w:tplc="22603B08">
      <w:start w:val="1"/>
      <w:numFmt w:val="taiwaneseCountingThousand"/>
      <w:lvlText w:val="%1、"/>
      <w:lvlJc w:val="left"/>
      <w:pPr>
        <w:ind w:left="420" w:hanging="42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2A3BE2"/>
    <w:multiLevelType w:val="hybridMultilevel"/>
    <w:tmpl w:val="57A23F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1840529"/>
    <w:multiLevelType w:val="hybridMultilevel"/>
    <w:tmpl w:val="8236B2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FDA6B43"/>
    <w:multiLevelType w:val="hybridMultilevel"/>
    <w:tmpl w:val="8C5C2C00"/>
    <w:lvl w:ilvl="0" w:tplc="2D6000A2">
      <w:start w:val="1"/>
      <w:numFmt w:val="taiwaneseCountingThousand"/>
      <w:lvlText w:val="%1、"/>
      <w:lvlJc w:val="left"/>
      <w:pPr>
        <w:ind w:left="1704" w:hanging="480"/>
      </w:pPr>
      <w:rPr>
        <w:rFonts w:hint="default"/>
      </w:r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7" w15:restartNumberingAfterBreak="0">
    <w:nsid w:val="7F913F86"/>
    <w:multiLevelType w:val="hybridMultilevel"/>
    <w:tmpl w:val="D8909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0"/>
  </w:num>
  <w:num w:numId="4">
    <w:abstractNumId w:val="3"/>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4F"/>
    <w:rsid w:val="000045EE"/>
    <w:rsid w:val="000106F5"/>
    <w:rsid w:val="00021D29"/>
    <w:rsid w:val="00023DBB"/>
    <w:rsid w:val="00027611"/>
    <w:rsid w:val="00034491"/>
    <w:rsid w:val="0004650C"/>
    <w:rsid w:val="00046B7A"/>
    <w:rsid w:val="000553EF"/>
    <w:rsid w:val="00060A62"/>
    <w:rsid w:val="00062E43"/>
    <w:rsid w:val="00064A40"/>
    <w:rsid w:val="00064DF7"/>
    <w:rsid w:val="000701E7"/>
    <w:rsid w:val="00072B6A"/>
    <w:rsid w:val="0007427C"/>
    <w:rsid w:val="000820D6"/>
    <w:rsid w:val="00085828"/>
    <w:rsid w:val="000909AF"/>
    <w:rsid w:val="00095328"/>
    <w:rsid w:val="00096B5B"/>
    <w:rsid w:val="000A7706"/>
    <w:rsid w:val="000C67E5"/>
    <w:rsid w:val="000D0078"/>
    <w:rsid w:val="000E5A25"/>
    <w:rsid w:val="000E77BF"/>
    <w:rsid w:val="000F09BC"/>
    <w:rsid w:val="0010470B"/>
    <w:rsid w:val="00113933"/>
    <w:rsid w:val="00122467"/>
    <w:rsid w:val="00133E49"/>
    <w:rsid w:val="00135AEE"/>
    <w:rsid w:val="00140A03"/>
    <w:rsid w:val="00152959"/>
    <w:rsid w:val="00163248"/>
    <w:rsid w:val="001639FF"/>
    <w:rsid w:val="00165DD4"/>
    <w:rsid w:val="001742E7"/>
    <w:rsid w:val="00174983"/>
    <w:rsid w:val="00182C20"/>
    <w:rsid w:val="00185626"/>
    <w:rsid w:val="0019494D"/>
    <w:rsid w:val="00194C4D"/>
    <w:rsid w:val="001A1009"/>
    <w:rsid w:val="001A1B62"/>
    <w:rsid w:val="001A2C20"/>
    <w:rsid w:val="001A5A91"/>
    <w:rsid w:val="001A709E"/>
    <w:rsid w:val="001B0605"/>
    <w:rsid w:val="001B15F7"/>
    <w:rsid w:val="001B79B7"/>
    <w:rsid w:val="001C3BC9"/>
    <w:rsid w:val="001C53BC"/>
    <w:rsid w:val="001D4644"/>
    <w:rsid w:val="001E1C04"/>
    <w:rsid w:val="001E2C8B"/>
    <w:rsid w:val="001E2D96"/>
    <w:rsid w:val="001F1D2F"/>
    <w:rsid w:val="001F5DBB"/>
    <w:rsid w:val="00213505"/>
    <w:rsid w:val="0021609C"/>
    <w:rsid w:val="00220486"/>
    <w:rsid w:val="00221514"/>
    <w:rsid w:val="00222FF9"/>
    <w:rsid w:val="00226EA7"/>
    <w:rsid w:val="00227111"/>
    <w:rsid w:val="00240AEA"/>
    <w:rsid w:val="00243327"/>
    <w:rsid w:val="00243690"/>
    <w:rsid w:val="00247C8A"/>
    <w:rsid w:val="002525E3"/>
    <w:rsid w:val="00260867"/>
    <w:rsid w:val="0026179E"/>
    <w:rsid w:val="00264C05"/>
    <w:rsid w:val="00270628"/>
    <w:rsid w:val="00271DFB"/>
    <w:rsid w:val="00280FE1"/>
    <w:rsid w:val="0028265F"/>
    <w:rsid w:val="00290902"/>
    <w:rsid w:val="002B2947"/>
    <w:rsid w:val="002B4B02"/>
    <w:rsid w:val="002B60C0"/>
    <w:rsid w:val="002B66D6"/>
    <w:rsid w:val="002C0D64"/>
    <w:rsid w:val="002C1FF4"/>
    <w:rsid w:val="002C2827"/>
    <w:rsid w:val="002C5F4E"/>
    <w:rsid w:val="002E4254"/>
    <w:rsid w:val="002F2A0E"/>
    <w:rsid w:val="002F5629"/>
    <w:rsid w:val="0030278C"/>
    <w:rsid w:val="003052EC"/>
    <w:rsid w:val="0030536D"/>
    <w:rsid w:val="00306513"/>
    <w:rsid w:val="00320E4E"/>
    <w:rsid w:val="00324F73"/>
    <w:rsid w:val="0032565D"/>
    <w:rsid w:val="00326356"/>
    <w:rsid w:val="00345816"/>
    <w:rsid w:val="0035288D"/>
    <w:rsid w:val="00357CF0"/>
    <w:rsid w:val="00363115"/>
    <w:rsid w:val="00365B13"/>
    <w:rsid w:val="0036675D"/>
    <w:rsid w:val="00366E3E"/>
    <w:rsid w:val="00370440"/>
    <w:rsid w:val="00377904"/>
    <w:rsid w:val="0039305C"/>
    <w:rsid w:val="00397FD2"/>
    <w:rsid w:val="003A0722"/>
    <w:rsid w:val="003A1394"/>
    <w:rsid w:val="003A1B65"/>
    <w:rsid w:val="003A1B82"/>
    <w:rsid w:val="003B08B9"/>
    <w:rsid w:val="003B3BDD"/>
    <w:rsid w:val="003B4D61"/>
    <w:rsid w:val="003B59C1"/>
    <w:rsid w:val="003B7766"/>
    <w:rsid w:val="003D49DA"/>
    <w:rsid w:val="003D6AF7"/>
    <w:rsid w:val="003E71D0"/>
    <w:rsid w:val="003F208F"/>
    <w:rsid w:val="003F292E"/>
    <w:rsid w:val="003F3CDD"/>
    <w:rsid w:val="003F561F"/>
    <w:rsid w:val="003F6E28"/>
    <w:rsid w:val="0040128F"/>
    <w:rsid w:val="00401CB8"/>
    <w:rsid w:val="004140BC"/>
    <w:rsid w:val="0042231F"/>
    <w:rsid w:val="00430EBB"/>
    <w:rsid w:val="004349B8"/>
    <w:rsid w:val="00435FA4"/>
    <w:rsid w:val="004373AB"/>
    <w:rsid w:val="00441501"/>
    <w:rsid w:val="0044582C"/>
    <w:rsid w:val="00454C2C"/>
    <w:rsid w:val="00455690"/>
    <w:rsid w:val="00460963"/>
    <w:rsid w:val="00460E31"/>
    <w:rsid w:val="00465AEF"/>
    <w:rsid w:val="00466F98"/>
    <w:rsid w:val="0047174A"/>
    <w:rsid w:val="00472F8A"/>
    <w:rsid w:val="004808DC"/>
    <w:rsid w:val="00486206"/>
    <w:rsid w:val="00490ED5"/>
    <w:rsid w:val="0049203B"/>
    <w:rsid w:val="004C5942"/>
    <w:rsid w:val="004D001E"/>
    <w:rsid w:val="004D1099"/>
    <w:rsid w:val="004D4BDA"/>
    <w:rsid w:val="004D705A"/>
    <w:rsid w:val="004E087E"/>
    <w:rsid w:val="004E33EA"/>
    <w:rsid w:val="0050091B"/>
    <w:rsid w:val="00507925"/>
    <w:rsid w:val="00516E4D"/>
    <w:rsid w:val="00533B7B"/>
    <w:rsid w:val="00536610"/>
    <w:rsid w:val="005502A9"/>
    <w:rsid w:val="00552BFC"/>
    <w:rsid w:val="00553BEB"/>
    <w:rsid w:val="0055598F"/>
    <w:rsid w:val="00556264"/>
    <w:rsid w:val="00580042"/>
    <w:rsid w:val="00582A46"/>
    <w:rsid w:val="00585E50"/>
    <w:rsid w:val="00586388"/>
    <w:rsid w:val="005951D6"/>
    <w:rsid w:val="00597ED8"/>
    <w:rsid w:val="005A1CF2"/>
    <w:rsid w:val="005A284E"/>
    <w:rsid w:val="005C3601"/>
    <w:rsid w:val="005C64C0"/>
    <w:rsid w:val="005C6B59"/>
    <w:rsid w:val="005C77A5"/>
    <w:rsid w:val="005D1FAD"/>
    <w:rsid w:val="005E0EDE"/>
    <w:rsid w:val="005E3816"/>
    <w:rsid w:val="005E4D1F"/>
    <w:rsid w:val="005F4AAA"/>
    <w:rsid w:val="006031DD"/>
    <w:rsid w:val="00603BD1"/>
    <w:rsid w:val="0060657E"/>
    <w:rsid w:val="00606F37"/>
    <w:rsid w:val="00613B2E"/>
    <w:rsid w:val="006204C3"/>
    <w:rsid w:val="00620C33"/>
    <w:rsid w:val="00634C19"/>
    <w:rsid w:val="00634C56"/>
    <w:rsid w:val="00637C31"/>
    <w:rsid w:val="0064042E"/>
    <w:rsid w:val="0064207B"/>
    <w:rsid w:val="006474C9"/>
    <w:rsid w:val="0065088E"/>
    <w:rsid w:val="00654369"/>
    <w:rsid w:val="00655F68"/>
    <w:rsid w:val="00676555"/>
    <w:rsid w:val="00676C90"/>
    <w:rsid w:val="00681C0F"/>
    <w:rsid w:val="00691139"/>
    <w:rsid w:val="00695D01"/>
    <w:rsid w:val="006A7412"/>
    <w:rsid w:val="006B677D"/>
    <w:rsid w:val="006B6C54"/>
    <w:rsid w:val="006C0F6D"/>
    <w:rsid w:val="006C1F7F"/>
    <w:rsid w:val="006C52EA"/>
    <w:rsid w:val="006D1435"/>
    <w:rsid w:val="006D17C7"/>
    <w:rsid w:val="006E1D42"/>
    <w:rsid w:val="006E40A6"/>
    <w:rsid w:val="006F391F"/>
    <w:rsid w:val="0070325C"/>
    <w:rsid w:val="0070562A"/>
    <w:rsid w:val="00712EFF"/>
    <w:rsid w:val="00715967"/>
    <w:rsid w:val="00716918"/>
    <w:rsid w:val="00720A97"/>
    <w:rsid w:val="00724318"/>
    <w:rsid w:val="0072674B"/>
    <w:rsid w:val="007313C2"/>
    <w:rsid w:val="007366CB"/>
    <w:rsid w:val="007501F8"/>
    <w:rsid w:val="007558B3"/>
    <w:rsid w:val="007604BC"/>
    <w:rsid w:val="007605AF"/>
    <w:rsid w:val="00761E75"/>
    <w:rsid w:val="00762B5A"/>
    <w:rsid w:val="00764A20"/>
    <w:rsid w:val="0076558B"/>
    <w:rsid w:val="007704A9"/>
    <w:rsid w:val="007845EE"/>
    <w:rsid w:val="00787C61"/>
    <w:rsid w:val="0079186D"/>
    <w:rsid w:val="00792D9E"/>
    <w:rsid w:val="00793C99"/>
    <w:rsid w:val="00793CD8"/>
    <w:rsid w:val="007A18C5"/>
    <w:rsid w:val="007A7928"/>
    <w:rsid w:val="007B2072"/>
    <w:rsid w:val="007B4048"/>
    <w:rsid w:val="007B5B48"/>
    <w:rsid w:val="007C7FC1"/>
    <w:rsid w:val="007D7025"/>
    <w:rsid w:val="007E2883"/>
    <w:rsid w:val="007E7D22"/>
    <w:rsid w:val="007F3F9A"/>
    <w:rsid w:val="00805F47"/>
    <w:rsid w:val="00814585"/>
    <w:rsid w:val="00815558"/>
    <w:rsid w:val="00820229"/>
    <w:rsid w:val="00827C6E"/>
    <w:rsid w:val="0083149B"/>
    <w:rsid w:val="00832998"/>
    <w:rsid w:val="00837A72"/>
    <w:rsid w:val="00846AF9"/>
    <w:rsid w:val="00850322"/>
    <w:rsid w:val="00850CE8"/>
    <w:rsid w:val="008659F8"/>
    <w:rsid w:val="008664B1"/>
    <w:rsid w:val="008824A5"/>
    <w:rsid w:val="0088259B"/>
    <w:rsid w:val="0088627E"/>
    <w:rsid w:val="008867C2"/>
    <w:rsid w:val="00886ECD"/>
    <w:rsid w:val="00895E06"/>
    <w:rsid w:val="008A1BC0"/>
    <w:rsid w:val="008B55D8"/>
    <w:rsid w:val="008C69E3"/>
    <w:rsid w:val="008E13C2"/>
    <w:rsid w:val="008E5C7C"/>
    <w:rsid w:val="008F07EE"/>
    <w:rsid w:val="008F1BBF"/>
    <w:rsid w:val="008F6516"/>
    <w:rsid w:val="00904CA1"/>
    <w:rsid w:val="00915343"/>
    <w:rsid w:val="0091711C"/>
    <w:rsid w:val="00921C15"/>
    <w:rsid w:val="00924A81"/>
    <w:rsid w:val="00933D68"/>
    <w:rsid w:val="009341F6"/>
    <w:rsid w:val="00934ADE"/>
    <w:rsid w:val="0094208E"/>
    <w:rsid w:val="00955E24"/>
    <w:rsid w:val="00957203"/>
    <w:rsid w:val="0097292B"/>
    <w:rsid w:val="00972B49"/>
    <w:rsid w:val="00974408"/>
    <w:rsid w:val="009836B0"/>
    <w:rsid w:val="0098434A"/>
    <w:rsid w:val="00992664"/>
    <w:rsid w:val="009955EA"/>
    <w:rsid w:val="00996BA9"/>
    <w:rsid w:val="009B3BD7"/>
    <w:rsid w:val="009B4D25"/>
    <w:rsid w:val="009C7A8C"/>
    <w:rsid w:val="009D4AFE"/>
    <w:rsid w:val="009D7F0E"/>
    <w:rsid w:val="009E5B72"/>
    <w:rsid w:val="00A01835"/>
    <w:rsid w:val="00A06959"/>
    <w:rsid w:val="00A127EF"/>
    <w:rsid w:val="00A151F0"/>
    <w:rsid w:val="00A35571"/>
    <w:rsid w:val="00A36E48"/>
    <w:rsid w:val="00A41F93"/>
    <w:rsid w:val="00A438E9"/>
    <w:rsid w:val="00A457F0"/>
    <w:rsid w:val="00A471CA"/>
    <w:rsid w:val="00A47F96"/>
    <w:rsid w:val="00A50239"/>
    <w:rsid w:val="00A51ED0"/>
    <w:rsid w:val="00A52682"/>
    <w:rsid w:val="00A54BE5"/>
    <w:rsid w:val="00A57D5F"/>
    <w:rsid w:val="00A615BB"/>
    <w:rsid w:val="00A6339A"/>
    <w:rsid w:val="00A65B7D"/>
    <w:rsid w:val="00A71D8B"/>
    <w:rsid w:val="00A74271"/>
    <w:rsid w:val="00A742F9"/>
    <w:rsid w:val="00A74617"/>
    <w:rsid w:val="00A7505D"/>
    <w:rsid w:val="00A81113"/>
    <w:rsid w:val="00A97C84"/>
    <w:rsid w:val="00A97D61"/>
    <w:rsid w:val="00AA1703"/>
    <w:rsid w:val="00AA40E3"/>
    <w:rsid w:val="00AA68D4"/>
    <w:rsid w:val="00AB1920"/>
    <w:rsid w:val="00AB5C50"/>
    <w:rsid w:val="00AB5F22"/>
    <w:rsid w:val="00AC3F04"/>
    <w:rsid w:val="00AC6A09"/>
    <w:rsid w:val="00AD4824"/>
    <w:rsid w:val="00AE05E1"/>
    <w:rsid w:val="00AE0ADE"/>
    <w:rsid w:val="00AE0CE7"/>
    <w:rsid w:val="00AE4D7D"/>
    <w:rsid w:val="00AE5D5F"/>
    <w:rsid w:val="00AF431F"/>
    <w:rsid w:val="00AF6704"/>
    <w:rsid w:val="00B01DB8"/>
    <w:rsid w:val="00B050FE"/>
    <w:rsid w:val="00B058C5"/>
    <w:rsid w:val="00B05F21"/>
    <w:rsid w:val="00B11B58"/>
    <w:rsid w:val="00B16C14"/>
    <w:rsid w:val="00B21545"/>
    <w:rsid w:val="00B258B6"/>
    <w:rsid w:val="00B2754E"/>
    <w:rsid w:val="00B321C7"/>
    <w:rsid w:val="00B32973"/>
    <w:rsid w:val="00B345CD"/>
    <w:rsid w:val="00B41B6C"/>
    <w:rsid w:val="00B44B74"/>
    <w:rsid w:val="00B44C37"/>
    <w:rsid w:val="00B45CDE"/>
    <w:rsid w:val="00B55651"/>
    <w:rsid w:val="00B60C33"/>
    <w:rsid w:val="00B6433C"/>
    <w:rsid w:val="00B6656D"/>
    <w:rsid w:val="00B704CB"/>
    <w:rsid w:val="00B7437C"/>
    <w:rsid w:val="00B858B5"/>
    <w:rsid w:val="00B907A4"/>
    <w:rsid w:val="00B908EF"/>
    <w:rsid w:val="00B929CC"/>
    <w:rsid w:val="00B957C5"/>
    <w:rsid w:val="00BA2616"/>
    <w:rsid w:val="00BB37E1"/>
    <w:rsid w:val="00BB3878"/>
    <w:rsid w:val="00BC0F1C"/>
    <w:rsid w:val="00BC2049"/>
    <w:rsid w:val="00BC2179"/>
    <w:rsid w:val="00BD2459"/>
    <w:rsid w:val="00BD6DBB"/>
    <w:rsid w:val="00BE0A77"/>
    <w:rsid w:val="00BF19B8"/>
    <w:rsid w:val="00BF3C0A"/>
    <w:rsid w:val="00C1028F"/>
    <w:rsid w:val="00C24BF5"/>
    <w:rsid w:val="00C345F9"/>
    <w:rsid w:val="00C373EA"/>
    <w:rsid w:val="00C412AE"/>
    <w:rsid w:val="00C4399E"/>
    <w:rsid w:val="00C468F7"/>
    <w:rsid w:val="00C53CFC"/>
    <w:rsid w:val="00C604ED"/>
    <w:rsid w:val="00C61D16"/>
    <w:rsid w:val="00C62C96"/>
    <w:rsid w:val="00C653FD"/>
    <w:rsid w:val="00C858C4"/>
    <w:rsid w:val="00C90E97"/>
    <w:rsid w:val="00C94179"/>
    <w:rsid w:val="00CA255D"/>
    <w:rsid w:val="00CA264A"/>
    <w:rsid w:val="00CA7705"/>
    <w:rsid w:val="00CC4944"/>
    <w:rsid w:val="00CD1CFD"/>
    <w:rsid w:val="00CD3664"/>
    <w:rsid w:val="00CD5E4B"/>
    <w:rsid w:val="00CD61BC"/>
    <w:rsid w:val="00CE669B"/>
    <w:rsid w:val="00CF1456"/>
    <w:rsid w:val="00CF3BF7"/>
    <w:rsid w:val="00CF5078"/>
    <w:rsid w:val="00CF50CE"/>
    <w:rsid w:val="00D01A72"/>
    <w:rsid w:val="00D067DC"/>
    <w:rsid w:val="00D11E85"/>
    <w:rsid w:val="00D1249C"/>
    <w:rsid w:val="00D14070"/>
    <w:rsid w:val="00D16167"/>
    <w:rsid w:val="00D239D4"/>
    <w:rsid w:val="00D260F9"/>
    <w:rsid w:val="00D30E26"/>
    <w:rsid w:val="00D34C9A"/>
    <w:rsid w:val="00D364D6"/>
    <w:rsid w:val="00D373F6"/>
    <w:rsid w:val="00D4307A"/>
    <w:rsid w:val="00D53140"/>
    <w:rsid w:val="00D53182"/>
    <w:rsid w:val="00D57A86"/>
    <w:rsid w:val="00D6526D"/>
    <w:rsid w:val="00D71440"/>
    <w:rsid w:val="00D731FF"/>
    <w:rsid w:val="00D838A9"/>
    <w:rsid w:val="00D845B4"/>
    <w:rsid w:val="00DB1D77"/>
    <w:rsid w:val="00DB3A7D"/>
    <w:rsid w:val="00DC0E49"/>
    <w:rsid w:val="00DC3FED"/>
    <w:rsid w:val="00DD111F"/>
    <w:rsid w:val="00DD17FF"/>
    <w:rsid w:val="00DD2090"/>
    <w:rsid w:val="00DD4EE8"/>
    <w:rsid w:val="00DD7E43"/>
    <w:rsid w:val="00DF08A7"/>
    <w:rsid w:val="00DF4F1A"/>
    <w:rsid w:val="00E0134F"/>
    <w:rsid w:val="00E01B93"/>
    <w:rsid w:val="00E27119"/>
    <w:rsid w:val="00E34634"/>
    <w:rsid w:val="00E36032"/>
    <w:rsid w:val="00E36790"/>
    <w:rsid w:val="00E424EE"/>
    <w:rsid w:val="00E453F9"/>
    <w:rsid w:val="00E5562B"/>
    <w:rsid w:val="00E5779E"/>
    <w:rsid w:val="00E65D39"/>
    <w:rsid w:val="00E67A71"/>
    <w:rsid w:val="00E70822"/>
    <w:rsid w:val="00E7725D"/>
    <w:rsid w:val="00E77B6D"/>
    <w:rsid w:val="00E82830"/>
    <w:rsid w:val="00E86D72"/>
    <w:rsid w:val="00E879C2"/>
    <w:rsid w:val="00E87C65"/>
    <w:rsid w:val="00E909C0"/>
    <w:rsid w:val="00E91AA1"/>
    <w:rsid w:val="00E94109"/>
    <w:rsid w:val="00EA3BE5"/>
    <w:rsid w:val="00EB3138"/>
    <w:rsid w:val="00ED0D81"/>
    <w:rsid w:val="00ED2DA0"/>
    <w:rsid w:val="00ED4C3D"/>
    <w:rsid w:val="00EF0840"/>
    <w:rsid w:val="00F051C8"/>
    <w:rsid w:val="00F150BA"/>
    <w:rsid w:val="00F159A2"/>
    <w:rsid w:val="00F22FE5"/>
    <w:rsid w:val="00F254EE"/>
    <w:rsid w:val="00F36528"/>
    <w:rsid w:val="00F41A10"/>
    <w:rsid w:val="00F4504B"/>
    <w:rsid w:val="00F514DC"/>
    <w:rsid w:val="00F52D97"/>
    <w:rsid w:val="00F558DF"/>
    <w:rsid w:val="00F55C9D"/>
    <w:rsid w:val="00F573A1"/>
    <w:rsid w:val="00F605CA"/>
    <w:rsid w:val="00F6089A"/>
    <w:rsid w:val="00F77DC3"/>
    <w:rsid w:val="00F8011F"/>
    <w:rsid w:val="00F81E11"/>
    <w:rsid w:val="00F84AC7"/>
    <w:rsid w:val="00F93E96"/>
    <w:rsid w:val="00FA15DC"/>
    <w:rsid w:val="00FA55B6"/>
    <w:rsid w:val="00FA69B1"/>
    <w:rsid w:val="00FB2301"/>
    <w:rsid w:val="00FB4FC1"/>
    <w:rsid w:val="00FB61C7"/>
    <w:rsid w:val="00FC00A7"/>
    <w:rsid w:val="00FC7B0F"/>
    <w:rsid w:val="00FD4A75"/>
    <w:rsid w:val="00FD6B5F"/>
    <w:rsid w:val="00FE12AD"/>
    <w:rsid w:val="00FE669D"/>
    <w:rsid w:val="00FE6CE7"/>
    <w:rsid w:val="00FE6D8D"/>
    <w:rsid w:val="00FF1881"/>
    <w:rsid w:val="00FF1D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03D591-6CB5-487C-8376-2B61570E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F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1FAD"/>
    <w:pPr>
      <w:tabs>
        <w:tab w:val="center" w:pos="4153"/>
        <w:tab w:val="right" w:pos="8306"/>
      </w:tabs>
      <w:snapToGrid w:val="0"/>
    </w:pPr>
    <w:rPr>
      <w:sz w:val="20"/>
      <w:szCs w:val="20"/>
    </w:rPr>
  </w:style>
  <w:style w:type="character" w:customStyle="1" w:styleId="a5">
    <w:name w:val="頁首 字元"/>
    <w:basedOn w:val="a0"/>
    <w:link w:val="a4"/>
    <w:uiPriority w:val="99"/>
    <w:rsid w:val="005D1FAD"/>
    <w:rPr>
      <w:sz w:val="20"/>
      <w:szCs w:val="20"/>
    </w:rPr>
  </w:style>
  <w:style w:type="paragraph" w:styleId="a6">
    <w:name w:val="footer"/>
    <w:basedOn w:val="a"/>
    <w:link w:val="a7"/>
    <w:uiPriority w:val="99"/>
    <w:unhideWhenUsed/>
    <w:rsid w:val="005D1FAD"/>
    <w:pPr>
      <w:tabs>
        <w:tab w:val="center" w:pos="4153"/>
        <w:tab w:val="right" w:pos="8306"/>
      </w:tabs>
      <w:snapToGrid w:val="0"/>
    </w:pPr>
    <w:rPr>
      <w:sz w:val="20"/>
      <w:szCs w:val="20"/>
    </w:rPr>
  </w:style>
  <w:style w:type="character" w:customStyle="1" w:styleId="a7">
    <w:name w:val="頁尾 字元"/>
    <w:basedOn w:val="a0"/>
    <w:link w:val="a6"/>
    <w:uiPriority w:val="99"/>
    <w:rsid w:val="005D1FAD"/>
    <w:rPr>
      <w:sz w:val="20"/>
      <w:szCs w:val="20"/>
    </w:rPr>
  </w:style>
  <w:style w:type="character" w:styleId="a8">
    <w:name w:val="annotation reference"/>
    <w:basedOn w:val="a0"/>
    <w:uiPriority w:val="99"/>
    <w:semiHidden/>
    <w:unhideWhenUsed/>
    <w:rsid w:val="00D260F9"/>
    <w:rPr>
      <w:sz w:val="18"/>
      <w:szCs w:val="18"/>
    </w:rPr>
  </w:style>
  <w:style w:type="paragraph" w:styleId="a9">
    <w:name w:val="annotation text"/>
    <w:basedOn w:val="a"/>
    <w:link w:val="aa"/>
    <w:uiPriority w:val="99"/>
    <w:unhideWhenUsed/>
    <w:rsid w:val="00D260F9"/>
  </w:style>
  <w:style w:type="character" w:customStyle="1" w:styleId="aa">
    <w:name w:val="註解文字 字元"/>
    <w:basedOn w:val="a0"/>
    <w:link w:val="a9"/>
    <w:uiPriority w:val="99"/>
    <w:rsid w:val="00D260F9"/>
  </w:style>
  <w:style w:type="paragraph" w:styleId="ab">
    <w:name w:val="annotation subject"/>
    <w:basedOn w:val="a9"/>
    <w:next w:val="a9"/>
    <w:link w:val="ac"/>
    <w:uiPriority w:val="99"/>
    <w:semiHidden/>
    <w:unhideWhenUsed/>
    <w:rsid w:val="00D260F9"/>
    <w:rPr>
      <w:b/>
      <w:bCs/>
    </w:rPr>
  </w:style>
  <w:style w:type="character" w:customStyle="1" w:styleId="ac">
    <w:name w:val="註解主旨 字元"/>
    <w:basedOn w:val="aa"/>
    <w:link w:val="ab"/>
    <w:uiPriority w:val="99"/>
    <w:semiHidden/>
    <w:rsid w:val="00D260F9"/>
    <w:rPr>
      <w:b/>
      <w:bCs/>
    </w:rPr>
  </w:style>
  <w:style w:type="paragraph" w:styleId="ad">
    <w:name w:val="Balloon Text"/>
    <w:basedOn w:val="a"/>
    <w:link w:val="ae"/>
    <w:uiPriority w:val="99"/>
    <w:semiHidden/>
    <w:unhideWhenUsed/>
    <w:rsid w:val="00D260F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260F9"/>
    <w:rPr>
      <w:rFonts w:asciiTheme="majorHAnsi" w:eastAsiaTheme="majorEastAsia" w:hAnsiTheme="majorHAnsi" w:cstheme="majorBidi"/>
      <w:sz w:val="18"/>
      <w:szCs w:val="18"/>
    </w:rPr>
  </w:style>
  <w:style w:type="paragraph" w:styleId="af">
    <w:name w:val="List Paragraph"/>
    <w:basedOn w:val="a"/>
    <w:uiPriority w:val="34"/>
    <w:qFormat/>
    <w:rsid w:val="000A7706"/>
    <w:pPr>
      <w:ind w:leftChars="200" w:left="480"/>
    </w:pPr>
  </w:style>
  <w:style w:type="paragraph" w:styleId="af0">
    <w:name w:val="footnote text"/>
    <w:basedOn w:val="a"/>
    <w:link w:val="af1"/>
    <w:uiPriority w:val="99"/>
    <w:semiHidden/>
    <w:unhideWhenUsed/>
    <w:rsid w:val="0083149B"/>
    <w:pPr>
      <w:snapToGrid w:val="0"/>
    </w:pPr>
    <w:rPr>
      <w:sz w:val="20"/>
      <w:szCs w:val="20"/>
    </w:rPr>
  </w:style>
  <w:style w:type="character" w:customStyle="1" w:styleId="af1">
    <w:name w:val="註腳文字 字元"/>
    <w:basedOn w:val="a0"/>
    <w:link w:val="af0"/>
    <w:uiPriority w:val="99"/>
    <w:semiHidden/>
    <w:rsid w:val="0083149B"/>
    <w:rPr>
      <w:sz w:val="20"/>
      <w:szCs w:val="20"/>
    </w:rPr>
  </w:style>
  <w:style w:type="character" w:styleId="af2">
    <w:name w:val="footnote reference"/>
    <w:basedOn w:val="a0"/>
    <w:uiPriority w:val="99"/>
    <w:semiHidden/>
    <w:unhideWhenUsed/>
    <w:rsid w:val="0083149B"/>
    <w:rPr>
      <w:vertAlign w:val="superscript"/>
    </w:rPr>
  </w:style>
  <w:style w:type="paragraph" w:styleId="HTML">
    <w:name w:val="HTML Preformatted"/>
    <w:basedOn w:val="a"/>
    <w:link w:val="HTML0"/>
    <w:uiPriority w:val="99"/>
    <w:unhideWhenUsed/>
    <w:rsid w:val="00E909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E909C0"/>
    <w:rPr>
      <w:rFonts w:ascii="細明體" w:eastAsia="細明體" w:hAnsi="細明體" w:cs="細明體"/>
      <w:kern w:val="0"/>
      <w:szCs w:val="24"/>
    </w:rPr>
  </w:style>
  <w:style w:type="character" w:customStyle="1" w:styleId="txt-keyword1">
    <w:name w:val="txt-keyword1"/>
    <w:basedOn w:val="a0"/>
    <w:rsid w:val="00585E5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0359">
      <w:bodyDiv w:val="1"/>
      <w:marLeft w:val="0"/>
      <w:marRight w:val="0"/>
      <w:marTop w:val="0"/>
      <w:marBottom w:val="0"/>
      <w:divBdr>
        <w:top w:val="none" w:sz="0" w:space="0" w:color="auto"/>
        <w:left w:val="none" w:sz="0" w:space="0" w:color="auto"/>
        <w:bottom w:val="none" w:sz="0" w:space="0" w:color="auto"/>
        <w:right w:val="none" w:sz="0" w:space="0" w:color="auto"/>
      </w:divBdr>
      <w:divsChild>
        <w:div w:id="731973589">
          <w:marLeft w:val="0"/>
          <w:marRight w:val="0"/>
          <w:marTop w:val="120"/>
          <w:marBottom w:val="0"/>
          <w:divBdr>
            <w:top w:val="none" w:sz="0" w:space="0" w:color="auto"/>
            <w:left w:val="none" w:sz="0" w:space="0" w:color="auto"/>
            <w:bottom w:val="none" w:sz="0" w:space="0" w:color="auto"/>
            <w:right w:val="none" w:sz="0" w:space="0" w:color="auto"/>
          </w:divBdr>
          <w:divsChild>
            <w:div w:id="1336418491">
              <w:marLeft w:val="0"/>
              <w:marRight w:val="0"/>
              <w:marTop w:val="0"/>
              <w:marBottom w:val="0"/>
              <w:divBdr>
                <w:top w:val="none" w:sz="0" w:space="0" w:color="auto"/>
                <w:left w:val="none" w:sz="0" w:space="0" w:color="auto"/>
                <w:bottom w:val="none" w:sz="0" w:space="0" w:color="auto"/>
                <w:right w:val="none" w:sz="0" w:space="0" w:color="auto"/>
              </w:divBdr>
              <w:divsChild>
                <w:div w:id="1685740506">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sChild>
                        <w:div w:id="1916623795">
                          <w:marLeft w:val="0"/>
                          <w:marRight w:val="0"/>
                          <w:marTop w:val="0"/>
                          <w:marBottom w:val="0"/>
                          <w:divBdr>
                            <w:top w:val="none" w:sz="0" w:space="0" w:color="auto"/>
                            <w:left w:val="none" w:sz="0" w:space="0" w:color="auto"/>
                            <w:bottom w:val="none" w:sz="0" w:space="0" w:color="auto"/>
                            <w:right w:val="none" w:sz="0" w:space="0" w:color="auto"/>
                          </w:divBdr>
                          <w:divsChild>
                            <w:div w:id="29914767">
                              <w:marLeft w:val="0"/>
                              <w:marRight w:val="0"/>
                              <w:marTop w:val="0"/>
                              <w:marBottom w:val="0"/>
                              <w:divBdr>
                                <w:top w:val="none" w:sz="0" w:space="0" w:color="auto"/>
                                <w:left w:val="none" w:sz="0" w:space="0" w:color="auto"/>
                                <w:bottom w:val="none" w:sz="0" w:space="0" w:color="auto"/>
                                <w:right w:val="none" w:sz="0" w:space="0" w:color="auto"/>
                              </w:divBdr>
                              <w:divsChild>
                                <w:div w:id="1632788156">
                                  <w:marLeft w:val="0"/>
                                  <w:marRight w:val="0"/>
                                  <w:marTop w:val="0"/>
                                  <w:marBottom w:val="0"/>
                                  <w:divBdr>
                                    <w:top w:val="none" w:sz="0" w:space="0" w:color="auto"/>
                                    <w:left w:val="none" w:sz="0" w:space="0" w:color="auto"/>
                                    <w:bottom w:val="none" w:sz="0" w:space="0" w:color="auto"/>
                                    <w:right w:val="none" w:sz="0" w:space="0" w:color="auto"/>
                                  </w:divBdr>
                                  <w:divsChild>
                                    <w:div w:id="11031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348341">
      <w:bodyDiv w:val="1"/>
      <w:marLeft w:val="0"/>
      <w:marRight w:val="0"/>
      <w:marTop w:val="0"/>
      <w:marBottom w:val="0"/>
      <w:divBdr>
        <w:top w:val="none" w:sz="0" w:space="0" w:color="auto"/>
        <w:left w:val="none" w:sz="0" w:space="0" w:color="auto"/>
        <w:bottom w:val="none" w:sz="0" w:space="0" w:color="auto"/>
        <w:right w:val="none" w:sz="0" w:space="0" w:color="auto"/>
      </w:divBdr>
    </w:div>
    <w:div w:id="474488862">
      <w:bodyDiv w:val="1"/>
      <w:marLeft w:val="0"/>
      <w:marRight w:val="0"/>
      <w:marTop w:val="0"/>
      <w:marBottom w:val="0"/>
      <w:divBdr>
        <w:top w:val="none" w:sz="0" w:space="0" w:color="auto"/>
        <w:left w:val="none" w:sz="0" w:space="0" w:color="auto"/>
        <w:bottom w:val="none" w:sz="0" w:space="0" w:color="auto"/>
        <w:right w:val="none" w:sz="0" w:space="0" w:color="auto"/>
      </w:divBdr>
      <w:divsChild>
        <w:div w:id="1827284788">
          <w:marLeft w:val="0"/>
          <w:marRight w:val="0"/>
          <w:marTop w:val="120"/>
          <w:marBottom w:val="0"/>
          <w:divBdr>
            <w:top w:val="none" w:sz="0" w:space="0" w:color="auto"/>
            <w:left w:val="none" w:sz="0" w:space="0" w:color="auto"/>
            <w:bottom w:val="none" w:sz="0" w:space="0" w:color="auto"/>
            <w:right w:val="none" w:sz="0" w:space="0" w:color="auto"/>
          </w:divBdr>
          <w:divsChild>
            <w:div w:id="1711761595">
              <w:marLeft w:val="0"/>
              <w:marRight w:val="0"/>
              <w:marTop w:val="0"/>
              <w:marBottom w:val="0"/>
              <w:divBdr>
                <w:top w:val="none" w:sz="0" w:space="0" w:color="auto"/>
                <w:left w:val="none" w:sz="0" w:space="0" w:color="auto"/>
                <w:bottom w:val="none" w:sz="0" w:space="0" w:color="auto"/>
                <w:right w:val="none" w:sz="0" w:space="0" w:color="auto"/>
              </w:divBdr>
              <w:divsChild>
                <w:div w:id="696320590">
                  <w:marLeft w:val="0"/>
                  <w:marRight w:val="0"/>
                  <w:marTop w:val="0"/>
                  <w:marBottom w:val="0"/>
                  <w:divBdr>
                    <w:top w:val="none" w:sz="0" w:space="0" w:color="auto"/>
                    <w:left w:val="none" w:sz="0" w:space="0" w:color="auto"/>
                    <w:bottom w:val="none" w:sz="0" w:space="0" w:color="auto"/>
                    <w:right w:val="none" w:sz="0" w:space="0" w:color="auto"/>
                  </w:divBdr>
                  <w:divsChild>
                    <w:div w:id="353574431">
                      <w:marLeft w:val="0"/>
                      <w:marRight w:val="0"/>
                      <w:marTop w:val="0"/>
                      <w:marBottom w:val="0"/>
                      <w:divBdr>
                        <w:top w:val="none" w:sz="0" w:space="0" w:color="auto"/>
                        <w:left w:val="none" w:sz="0" w:space="0" w:color="auto"/>
                        <w:bottom w:val="none" w:sz="0" w:space="0" w:color="auto"/>
                        <w:right w:val="none" w:sz="0" w:space="0" w:color="auto"/>
                      </w:divBdr>
                      <w:divsChild>
                        <w:div w:id="854996556">
                          <w:marLeft w:val="0"/>
                          <w:marRight w:val="0"/>
                          <w:marTop w:val="0"/>
                          <w:marBottom w:val="0"/>
                          <w:divBdr>
                            <w:top w:val="none" w:sz="0" w:space="0" w:color="auto"/>
                            <w:left w:val="none" w:sz="0" w:space="0" w:color="auto"/>
                            <w:bottom w:val="none" w:sz="0" w:space="0" w:color="auto"/>
                            <w:right w:val="none" w:sz="0" w:space="0" w:color="auto"/>
                          </w:divBdr>
                          <w:divsChild>
                            <w:div w:id="17450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8116">
      <w:bodyDiv w:val="1"/>
      <w:marLeft w:val="0"/>
      <w:marRight w:val="0"/>
      <w:marTop w:val="0"/>
      <w:marBottom w:val="0"/>
      <w:divBdr>
        <w:top w:val="none" w:sz="0" w:space="0" w:color="auto"/>
        <w:left w:val="none" w:sz="0" w:space="0" w:color="auto"/>
        <w:bottom w:val="none" w:sz="0" w:space="0" w:color="auto"/>
        <w:right w:val="none" w:sz="0" w:space="0" w:color="auto"/>
      </w:divBdr>
      <w:divsChild>
        <w:div w:id="778261023">
          <w:marLeft w:val="0"/>
          <w:marRight w:val="0"/>
          <w:marTop w:val="120"/>
          <w:marBottom w:val="0"/>
          <w:divBdr>
            <w:top w:val="none" w:sz="0" w:space="0" w:color="auto"/>
            <w:left w:val="none" w:sz="0" w:space="0" w:color="auto"/>
            <w:bottom w:val="none" w:sz="0" w:space="0" w:color="auto"/>
            <w:right w:val="none" w:sz="0" w:space="0" w:color="auto"/>
          </w:divBdr>
          <w:divsChild>
            <w:div w:id="1532769572">
              <w:marLeft w:val="0"/>
              <w:marRight w:val="0"/>
              <w:marTop w:val="0"/>
              <w:marBottom w:val="0"/>
              <w:divBdr>
                <w:top w:val="none" w:sz="0" w:space="0" w:color="auto"/>
                <w:left w:val="none" w:sz="0" w:space="0" w:color="auto"/>
                <w:bottom w:val="none" w:sz="0" w:space="0" w:color="auto"/>
                <w:right w:val="none" w:sz="0" w:space="0" w:color="auto"/>
              </w:divBdr>
              <w:divsChild>
                <w:div w:id="1070351564">
                  <w:marLeft w:val="0"/>
                  <w:marRight w:val="0"/>
                  <w:marTop w:val="0"/>
                  <w:marBottom w:val="0"/>
                  <w:divBdr>
                    <w:top w:val="none" w:sz="0" w:space="0" w:color="auto"/>
                    <w:left w:val="none" w:sz="0" w:space="0" w:color="auto"/>
                    <w:bottom w:val="none" w:sz="0" w:space="0" w:color="auto"/>
                    <w:right w:val="none" w:sz="0" w:space="0" w:color="auto"/>
                  </w:divBdr>
                  <w:divsChild>
                    <w:div w:id="1902713619">
                      <w:marLeft w:val="0"/>
                      <w:marRight w:val="0"/>
                      <w:marTop w:val="0"/>
                      <w:marBottom w:val="0"/>
                      <w:divBdr>
                        <w:top w:val="none" w:sz="0" w:space="0" w:color="auto"/>
                        <w:left w:val="none" w:sz="0" w:space="0" w:color="auto"/>
                        <w:bottom w:val="none" w:sz="0" w:space="0" w:color="auto"/>
                        <w:right w:val="none" w:sz="0" w:space="0" w:color="auto"/>
                      </w:divBdr>
                      <w:divsChild>
                        <w:div w:id="819729075">
                          <w:marLeft w:val="0"/>
                          <w:marRight w:val="0"/>
                          <w:marTop w:val="0"/>
                          <w:marBottom w:val="0"/>
                          <w:divBdr>
                            <w:top w:val="none" w:sz="0" w:space="0" w:color="auto"/>
                            <w:left w:val="none" w:sz="0" w:space="0" w:color="auto"/>
                            <w:bottom w:val="none" w:sz="0" w:space="0" w:color="auto"/>
                            <w:right w:val="none" w:sz="0" w:space="0" w:color="auto"/>
                          </w:divBdr>
                          <w:divsChild>
                            <w:div w:id="993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746378">
      <w:bodyDiv w:val="1"/>
      <w:marLeft w:val="0"/>
      <w:marRight w:val="0"/>
      <w:marTop w:val="0"/>
      <w:marBottom w:val="0"/>
      <w:divBdr>
        <w:top w:val="none" w:sz="0" w:space="0" w:color="auto"/>
        <w:left w:val="none" w:sz="0" w:space="0" w:color="auto"/>
        <w:bottom w:val="none" w:sz="0" w:space="0" w:color="auto"/>
        <w:right w:val="none" w:sz="0" w:space="0" w:color="auto"/>
      </w:divBdr>
    </w:div>
    <w:div w:id="1158182364">
      <w:bodyDiv w:val="1"/>
      <w:marLeft w:val="0"/>
      <w:marRight w:val="0"/>
      <w:marTop w:val="0"/>
      <w:marBottom w:val="0"/>
      <w:divBdr>
        <w:top w:val="none" w:sz="0" w:space="0" w:color="auto"/>
        <w:left w:val="none" w:sz="0" w:space="0" w:color="auto"/>
        <w:bottom w:val="none" w:sz="0" w:space="0" w:color="auto"/>
        <w:right w:val="none" w:sz="0" w:space="0" w:color="auto"/>
      </w:divBdr>
    </w:div>
    <w:div w:id="1168982316">
      <w:bodyDiv w:val="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120"/>
          <w:marBottom w:val="0"/>
          <w:divBdr>
            <w:top w:val="none" w:sz="0" w:space="0" w:color="auto"/>
            <w:left w:val="none" w:sz="0" w:space="0" w:color="auto"/>
            <w:bottom w:val="none" w:sz="0" w:space="0" w:color="auto"/>
            <w:right w:val="none" w:sz="0" w:space="0" w:color="auto"/>
          </w:divBdr>
          <w:divsChild>
            <w:div w:id="350650212">
              <w:marLeft w:val="0"/>
              <w:marRight w:val="0"/>
              <w:marTop w:val="0"/>
              <w:marBottom w:val="0"/>
              <w:divBdr>
                <w:top w:val="none" w:sz="0" w:space="0" w:color="auto"/>
                <w:left w:val="none" w:sz="0" w:space="0" w:color="auto"/>
                <w:bottom w:val="none" w:sz="0" w:space="0" w:color="auto"/>
                <w:right w:val="none" w:sz="0" w:space="0" w:color="auto"/>
              </w:divBdr>
              <w:divsChild>
                <w:div w:id="1989162645">
                  <w:marLeft w:val="0"/>
                  <w:marRight w:val="0"/>
                  <w:marTop w:val="0"/>
                  <w:marBottom w:val="0"/>
                  <w:divBdr>
                    <w:top w:val="none" w:sz="0" w:space="0" w:color="auto"/>
                    <w:left w:val="none" w:sz="0" w:space="0" w:color="auto"/>
                    <w:bottom w:val="none" w:sz="0" w:space="0" w:color="auto"/>
                    <w:right w:val="none" w:sz="0" w:space="0" w:color="auto"/>
                  </w:divBdr>
                  <w:divsChild>
                    <w:div w:id="1557666324">
                      <w:marLeft w:val="0"/>
                      <w:marRight w:val="0"/>
                      <w:marTop w:val="0"/>
                      <w:marBottom w:val="0"/>
                      <w:divBdr>
                        <w:top w:val="none" w:sz="0" w:space="0" w:color="auto"/>
                        <w:left w:val="none" w:sz="0" w:space="0" w:color="auto"/>
                        <w:bottom w:val="none" w:sz="0" w:space="0" w:color="auto"/>
                        <w:right w:val="none" w:sz="0" w:space="0" w:color="auto"/>
                      </w:divBdr>
                      <w:divsChild>
                        <w:div w:id="480997780">
                          <w:marLeft w:val="0"/>
                          <w:marRight w:val="0"/>
                          <w:marTop w:val="0"/>
                          <w:marBottom w:val="0"/>
                          <w:divBdr>
                            <w:top w:val="none" w:sz="0" w:space="0" w:color="auto"/>
                            <w:left w:val="none" w:sz="0" w:space="0" w:color="auto"/>
                            <w:bottom w:val="none" w:sz="0" w:space="0" w:color="auto"/>
                            <w:right w:val="none" w:sz="0" w:space="0" w:color="auto"/>
                          </w:divBdr>
                          <w:divsChild>
                            <w:div w:id="12249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11616">
      <w:bodyDiv w:val="1"/>
      <w:marLeft w:val="0"/>
      <w:marRight w:val="0"/>
      <w:marTop w:val="0"/>
      <w:marBottom w:val="0"/>
      <w:divBdr>
        <w:top w:val="none" w:sz="0" w:space="0" w:color="auto"/>
        <w:left w:val="none" w:sz="0" w:space="0" w:color="auto"/>
        <w:bottom w:val="none" w:sz="0" w:space="0" w:color="auto"/>
        <w:right w:val="none" w:sz="0" w:space="0" w:color="auto"/>
      </w:divBdr>
    </w:div>
    <w:div w:id="1737434689">
      <w:bodyDiv w:val="1"/>
      <w:marLeft w:val="0"/>
      <w:marRight w:val="0"/>
      <w:marTop w:val="0"/>
      <w:marBottom w:val="0"/>
      <w:divBdr>
        <w:top w:val="none" w:sz="0" w:space="0" w:color="auto"/>
        <w:left w:val="none" w:sz="0" w:space="0" w:color="auto"/>
        <w:bottom w:val="none" w:sz="0" w:space="0" w:color="auto"/>
        <w:right w:val="none" w:sz="0" w:space="0" w:color="auto"/>
      </w:divBdr>
      <w:divsChild>
        <w:div w:id="822503314">
          <w:marLeft w:val="0"/>
          <w:marRight w:val="0"/>
          <w:marTop w:val="120"/>
          <w:marBottom w:val="0"/>
          <w:divBdr>
            <w:top w:val="none" w:sz="0" w:space="0" w:color="auto"/>
            <w:left w:val="none" w:sz="0" w:space="0" w:color="auto"/>
            <w:bottom w:val="none" w:sz="0" w:space="0" w:color="auto"/>
            <w:right w:val="none" w:sz="0" w:space="0" w:color="auto"/>
          </w:divBdr>
          <w:divsChild>
            <w:div w:id="1761367381">
              <w:marLeft w:val="0"/>
              <w:marRight w:val="0"/>
              <w:marTop w:val="0"/>
              <w:marBottom w:val="0"/>
              <w:divBdr>
                <w:top w:val="none" w:sz="0" w:space="0" w:color="auto"/>
                <w:left w:val="none" w:sz="0" w:space="0" w:color="auto"/>
                <w:bottom w:val="none" w:sz="0" w:space="0" w:color="auto"/>
                <w:right w:val="none" w:sz="0" w:space="0" w:color="auto"/>
              </w:divBdr>
              <w:divsChild>
                <w:div w:id="703599406">
                  <w:marLeft w:val="0"/>
                  <w:marRight w:val="0"/>
                  <w:marTop w:val="0"/>
                  <w:marBottom w:val="0"/>
                  <w:divBdr>
                    <w:top w:val="none" w:sz="0" w:space="0" w:color="auto"/>
                    <w:left w:val="none" w:sz="0" w:space="0" w:color="auto"/>
                    <w:bottom w:val="none" w:sz="0" w:space="0" w:color="auto"/>
                    <w:right w:val="none" w:sz="0" w:space="0" w:color="auto"/>
                  </w:divBdr>
                  <w:divsChild>
                    <w:div w:id="761804471">
                      <w:marLeft w:val="0"/>
                      <w:marRight w:val="0"/>
                      <w:marTop w:val="0"/>
                      <w:marBottom w:val="0"/>
                      <w:divBdr>
                        <w:top w:val="none" w:sz="0" w:space="0" w:color="auto"/>
                        <w:left w:val="none" w:sz="0" w:space="0" w:color="auto"/>
                        <w:bottom w:val="none" w:sz="0" w:space="0" w:color="auto"/>
                        <w:right w:val="none" w:sz="0" w:space="0" w:color="auto"/>
                      </w:divBdr>
                      <w:divsChild>
                        <w:div w:id="1289701489">
                          <w:marLeft w:val="0"/>
                          <w:marRight w:val="0"/>
                          <w:marTop w:val="0"/>
                          <w:marBottom w:val="120"/>
                          <w:divBdr>
                            <w:top w:val="none" w:sz="0" w:space="0" w:color="auto"/>
                            <w:left w:val="none" w:sz="0" w:space="0" w:color="auto"/>
                            <w:bottom w:val="none" w:sz="0" w:space="0" w:color="auto"/>
                            <w:right w:val="none" w:sz="0" w:space="0" w:color="auto"/>
                          </w:divBdr>
                          <w:divsChild>
                            <w:div w:id="1581059308">
                              <w:marLeft w:val="0"/>
                              <w:marRight w:val="0"/>
                              <w:marTop w:val="0"/>
                              <w:marBottom w:val="0"/>
                              <w:divBdr>
                                <w:top w:val="none" w:sz="0" w:space="0" w:color="auto"/>
                                <w:left w:val="none" w:sz="0" w:space="0" w:color="auto"/>
                                <w:bottom w:val="none" w:sz="0" w:space="0" w:color="auto"/>
                                <w:right w:val="none" w:sz="0" w:space="0" w:color="auto"/>
                              </w:divBdr>
                              <w:divsChild>
                                <w:div w:id="6345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403064">
      <w:bodyDiv w:val="1"/>
      <w:marLeft w:val="0"/>
      <w:marRight w:val="0"/>
      <w:marTop w:val="0"/>
      <w:marBottom w:val="0"/>
      <w:divBdr>
        <w:top w:val="none" w:sz="0" w:space="0" w:color="auto"/>
        <w:left w:val="none" w:sz="0" w:space="0" w:color="auto"/>
        <w:bottom w:val="none" w:sz="0" w:space="0" w:color="auto"/>
        <w:right w:val="none" w:sz="0" w:space="0" w:color="auto"/>
      </w:divBdr>
      <w:divsChild>
        <w:div w:id="176385454">
          <w:marLeft w:val="0"/>
          <w:marRight w:val="0"/>
          <w:marTop w:val="120"/>
          <w:marBottom w:val="0"/>
          <w:divBdr>
            <w:top w:val="none" w:sz="0" w:space="0" w:color="auto"/>
            <w:left w:val="none" w:sz="0" w:space="0" w:color="auto"/>
            <w:bottom w:val="none" w:sz="0" w:space="0" w:color="auto"/>
            <w:right w:val="none" w:sz="0" w:space="0" w:color="auto"/>
          </w:divBdr>
          <w:divsChild>
            <w:div w:id="1347975407">
              <w:marLeft w:val="0"/>
              <w:marRight w:val="0"/>
              <w:marTop w:val="0"/>
              <w:marBottom w:val="0"/>
              <w:divBdr>
                <w:top w:val="none" w:sz="0" w:space="0" w:color="auto"/>
                <w:left w:val="none" w:sz="0" w:space="0" w:color="auto"/>
                <w:bottom w:val="none" w:sz="0" w:space="0" w:color="auto"/>
                <w:right w:val="none" w:sz="0" w:space="0" w:color="auto"/>
              </w:divBdr>
              <w:divsChild>
                <w:div w:id="1067917983">
                  <w:marLeft w:val="0"/>
                  <w:marRight w:val="0"/>
                  <w:marTop w:val="0"/>
                  <w:marBottom w:val="0"/>
                  <w:divBdr>
                    <w:top w:val="none" w:sz="0" w:space="0" w:color="auto"/>
                    <w:left w:val="none" w:sz="0" w:space="0" w:color="auto"/>
                    <w:bottom w:val="none" w:sz="0" w:space="0" w:color="auto"/>
                    <w:right w:val="none" w:sz="0" w:space="0" w:color="auto"/>
                  </w:divBdr>
                  <w:divsChild>
                    <w:div w:id="1293708300">
                      <w:marLeft w:val="0"/>
                      <w:marRight w:val="0"/>
                      <w:marTop w:val="0"/>
                      <w:marBottom w:val="0"/>
                      <w:divBdr>
                        <w:top w:val="none" w:sz="0" w:space="0" w:color="auto"/>
                        <w:left w:val="none" w:sz="0" w:space="0" w:color="auto"/>
                        <w:bottom w:val="none" w:sz="0" w:space="0" w:color="auto"/>
                        <w:right w:val="none" w:sz="0" w:space="0" w:color="auto"/>
                      </w:divBdr>
                      <w:divsChild>
                        <w:div w:id="823936073">
                          <w:marLeft w:val="0"/>
                          <w:marRight w:val="0"/>
                          <w:marTop w:val="0"/>
                          <w:marBottom w:val="0"/>
                          <w:divBdr>
                            <w:top w:val="none" w:sz="0" w:space="0" w:color="auto"/>
                            <w:left w:val="none" w:sz="0" w:space="0" w:color="auto"/>
                            <w:bottom w:val="none" w:sz="0" w:space="0" w:color="auto"/>
                            <w:right w:val="none" w:sz="0" w:space="0" w:color="auto"/>
                          </w:divBdr>
                          <w:divsChild>
                            <w:div w:id="745764119">
                              <w:marLeft w:val="0"/>
                              <w:marRight w:val="0"/>
                              <w:marTop w:val="0"/>
                              <w:marBottom w:val="0"/>
                              <w:divBdr>
                                <w:top w:val="none" w:sz="0" w:space="0" w:color="auto"/>
                                <w:left w:val="none" w:sz="0" w:space="0" w:color="auto"/>
                                <w:bottom w:val="none" w:sz="0" w:space="0" w:color="auto"/>
                                <w:right w:val="none" w:sz="0" w:space="0" w:color="auto"/>
                              </w:divBdr>
                              <w:divsChild>
                                <w:div w:id="787428186">
                                  <w:marLeft w:val="0"/>
                                  <w:marRight w:val="0"/>
                                  <w:marTop w:val="0"/>
                                  <w:marBottom w:val="0"/>
                                  <w:divBdr>
                                    <w:top w:val="none" w:sz="0" w:space="0" w:color="auto"/>
                                    <w:left w:val="none" w:sz="0" w:space="0" w:color="auto"/>
                                    <w:bottom w:val="none" w:sz="0" w:space="0" w:color="auto"/>
                                    <w:right w:val="none" w:sz="0" w:space="0" w:color="auto"/>
                                  </w:divBdr>
                                  <w:divsChild>
                                    <w:div w:id="12882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2A7DA-4B3F-4D23-97CE-EE305978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1399</Characters>
  <Application>Microsoft Office Word</Application>
  <DocSecurity>4</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dc:creator>
  <cp:lastModifiedBy>林崇英</cp:lastModifiedBy>
  <cp:revision>2</cp:revision>
  <cp:lastPrinted>2017-06-27T10:33:00Z</cp:lastPrinted>
  <dcterms:created xsi:type="dcterms:W3CDTF">2017-08-04T08:20:00Z</dcterms:created>
  <dcterms:modified xsi:type="dcterms:W3CDTF">2017-08-04T08:20:00Z</dcterms:modified>
</cp:coreProperties>
</file>