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426" w:rsidRPr="00F0366F" w:rsidRDefault="00F0366F" w:rsidP="008F0925">
      <w:pPr>
        <w:rPr>
          <w:rFonts w:ascii="標楷體" w:eastAsia="標楷體" w:hAnsi="標楷體"/>
          <w:sz w:val="32"/>
          <w:szCs w:val="40"/>
        </w:rPr>
      </w:pPr>
      <w:r w:rsidRPr="00F0366F">
        <w:rPr>
          <w:rFonts w:ascii="標楷體" w:eastAsia="標楷體" w:hAnsi="標楷體" w:hint="eastAsia"/>
          <w:sz w:val="32"/>
          <w:szCs w:val="40"/>
        </w:rPr>
        <w:t>臺灣證券交易所股份有限公司有價證券借貸辦法</w:t>
      </w:r>
      <w:r w:rsidR="000F04F0">
        <w:rPr>
          <w:rFonts w:ascii="標楷體" w:eastAsia="標楷體" w:hAnsi="標楷體" w:hint="eastAsia"/>
          <w:sz w:val="32"/>
          <w:szCs w:val="40"/>
        </w:rPr>
        <w:t>部分條文修正</w:t>
      </w:r>
      <w:r w:rsidRPr="00F0366F">
        <w:rPr>
          <w:rFonts w:ascii="標楷體" w:eastAsia="標楷體" w:hAnsi="標楷體" w:hint="eastAsia"/>
          <w:sz w:val="32"/>
          <w:szCs w:val="40"/>
        </w:rPr>
        <w:t>對照表</w:t>
      </w:r>
    </w:p>
    <w:tbl>
      <w:tblPr>
        <w:tblStyle w:val="a3"/>
        <w:tblW w:w="0" w:type="auto"/>
        <w:tblLook w:val="04A0"/>
      </w:tblPr>
      <w:tblGrid>
        <w:gridCol w:w="2787"/>
        <w:gridCol w:w="2787"/>
        <w:gridCol w:w="2788"/>
      </w:tblGrid>
      <w:tr w:rsidR="00F0366F" w:rsidRPr="00F0366F" w:rsidTr="00B75282">
        <w:tc>
          <w:tcPr>
            <w:tcW w:w="2787" w:type="dxa"/>
          </w:tcPr>
          <w:p w:rsidR="00A66C48" w:rsidRDefault="00F0366F" w:rsidP="00A66C48">
            <w:pPr>
              <w:jc w:val="center"/>
              <w:rPr>
                <w:rFonts w:ascii="標楷體" w:eastAsia="標楷體" w:hAnsi="標楷體"/>
              </w:rPr>
            </w:pPr>
            <w:r w:rsidRPr="00F0366F">
              <w:rPr>
                <w:rFonts w:ascii="標楷體" w:eastAsia="標楷體" w:hAnsi="標楷體" w:hint="eastAsia"/>
              </w:rPr>
              <w:t>修正條文</w:t>
            </w:r>
          </w:p>
        </w:tc>
        <w:tc>
          <w:tcPr>
            <w:tcW w:w="2787" w:type="dxa"/>
          </w:tcPr>
          <w:p w:rsidR="00A66C48" w:rsidRDefault="00F0366F" w:rsidP="00A66C48">
            <w:pPr>
              <w:jc w:val="center"/>
              <w:rPr>
                <w:rFonts w:ascii="標楷體" w:eastAsia="標楷體" w:hAnsi="標楷體"/>
                <w:sz w:val="20"/>
                <w:szCs w:val="20"/>
              </w:rPr>
            </w:pPr>
            <w:r w:rsidRPr="00F0366F">
              <w:rPr>
                <w:rFonts w:ascii="標楷體" w:eastAsia="標楷體" w:hAnsi="標楷體" w:hint="eastAsia"/>
              </w:rPr>
              <w:t>現行條文</w:t>
            </w:r>
          </w:p>
        </w:tc>
        <w:tc>
          <w:tcPr>
            <w:tcW w:w="2788" w:type="dxa"/>
          </w:tcPr>
          <w:p w:rsidR="00A66C48" w:rsidRDefault="00F0366F" w:rsidP="00A66C48">
            <w:pPr>
              <w:jc w:val="center"/>
              <w:rPr>
                <w:rFonts w:ascii="標楷體" w:eastAsia="標楷體" w:hAnsi="標楷體"/>
                <w:sz w:val="20"/>
                <w:szCs w:val="20"/>
              </w:rPr>
            </w:pPr>
            <w:r w:rsidRPr="00F0366F">
              <w:rPr>
                <w:rFonts w:ascii="標楷體" w:eastAsia="標楷體" w:hAnsi="標楷體" w:hint="eastAsia"/>
              </w:rPr>
              <w:t>說明</w:t>
            </w:r>
          </w:p>
        </w:tc>
      </w:tr>
      <w:tr w:rsidR="00F0366F" w:rsidRPr="00F0366F" w:rsidTr="00B75282">
        <w:tc>
          <w:tcPr>
            <w:tcW w:w="2787" w:type="dxa"/>
          </w:tcPr>
          <w:p w:rsidR="00F0366F" w:rsidRPr="00F0366F" w:rsidRDefault="00F0366F" w:rsidP="00B75282">
            <w:pPr>
              <w:jc w:val="both"/>
              <w:rPr>
                <w:rFonts w:ascii="標楷體" w:eastAsia="標楷體" w:hAnsi="標楷體"/>
              </w:rPr>
            </w:pPr>
            <w:r w:rsidRPr="00F0366F">
              <w:rPr>
                <w:rFonts w:ascii="標楷體" w:eastAsia="標楷體" w:hAnsi="標楷體" w:hint="eastAsia"/>
              </w:rPr>
              <w:t>第十條</w:t>
            </w:r>
            <w:r w:rsidR="005624C0">
              <w:rPr>
                <w:rFonts w:ascii="標楷體" w:eastAsia="標楷體" w:hAnsi="標楷體" w:hint="eastAsia"/>
              </w:rPr>
              <w:t xml:space="preserve"> </w:t>
            </w:r>
            <w:r w:rsidR="0041753A">
              <w:rPr>
                <w:rFonts w:ascii="標楷體" w:eastAsia="標楷體" w:hAnsi="標楷體" w:hint="eastAsia"/>
              </w:rPr>
              <w:t>借貸交易人以</w:t>
            </w:r>
            <w:r w:rsidR="00AC2AB2">
              <w:rPr>
                <w:rFonts w:ascii="標楷體" w:eastAsia="標楷體" w:hAnsi="標楷體" w:hint="eastAsia"/>
                <w:u w:val="single"/>
              </w:rPr>
              <w:t>法人或</w:t>
            </w:r>
            <w:r w:rsidR="0041753A" w:rsidRPr="0041753A">
              <w:rPr>
                <w:rFonts w:ascii="標楷體" w:eastAsia="標楷體" w:hAnsi="標楷體" w:hint="eastAsia"/>
                <w:u w:val="single"/>
              </w:rPr>
              <w:t>基金</w:t>
            </w:r>
            <w:r w:rsidRPr="00F0366F">
              <w:rPr>
                <w:rFonts w:ascii="標楷體" w:eastAsia="標楷體" w:hAnsi="標楷體" w:hint="eastAsia"/>
              </w:rPr>
              <w:t>為限，得委託證券商代為向本公司申請開立有價證券借貸帳戶，取得借貸交易人資格，從事有價證券借貸之定價、競價交易，及</w:t>
            </w:r>
            <w:proofErr w:type="gramStart"/>
            <w:r w:rsidRPr="00F0366F">
              <w:rPr>
                <w:rFonts w:ascii="標楷體" w:eastAsia="標楷體" w:hAnsi="標楷體" w:hint="eastAsia"/>
              </w:rPr>
              <w:t>辦理議借交易</w:t>
            </w:r>
            <w:proofErr w:type="gramEnd"/>
            <w:r w:rsidRPr="00F0366F">
              <w:rPr>
                <w:rFonts w:ascii="標楷體" w:eastAsia="標楷體" w:hAnsi="標楷體" w:hint="eastAsia"/>
              </w:rPr>
              <w:t>之成交申報</w:t>
            </w:r>
            <w:r w:rsidRPr="00F0366F">
              <w:rPr>
                <w:rFonts w:ascii="標楷體" w:eastAsia="標楷體" w:hAnsi="標楷體" w:hint="eastAsia"/>
                <w:u w:val="single"/>
              </w:rPr>
              <w:t>。</w:t>
            </w:r>
          </w:p>
        </w:tc>
        <w:tc>
          <w:tcPr>
            <w:tcW w:w="2787" w:type="dxa"/>
          </w:tcPr>
          <w:p w:rsidR="00F0366F" w:rsidRPr="00F0366F" w:rsidRDefault="00F0366F" w:rsidP="00B75282">
            <w:pPr>
              <w:jc w:val="both"/>
              <w:rPr>
                <w:rFonts w:ascii="標楷體" w:eastAsia="標楷體" w:hAnsi="標楷體" w:cs="Times New Roman"/>
                <w:szCs w:val="24"/>
              </w:rPr>
            </w:pPr>
            <w:r w:rsidRPr="00F0366F">
              <w:rPr>
                <w:rFonts w:ascii="標楷體" w:eastAsia="標楷體" w:hAnsi="標楷體" w:cs="Times New Roman" w:hint="eastAsia"/>
                <w:szCs w:val="24"/>
              </w:rPr>
              <w:t>第十條借貸交易人以</w:t>
            </w:r>
            <w:r w:rsidRPr="00F0366F">
              <w:rPr>
                <w:rFonts w:ascii="標楷體" w:eastAsia="標楷體" w:hAnsi="標楷體" w:cs="Times New Roman" w:hint="eastAsia"/>
                <w:szCs w:val="24"/>
                <w:u w:val="single"/>
              </w:rPr>
              <w:t>下列之</w:t>
            </w:r>
            <w:r w:rsidRPr="0041753A">
              <w:rPr>
                <w:rFonts w:ascii="標楷體" w:eastAsia="標楷體" w:hAnsi="標楷體" w:cs="Times New Roman" w:hint="eastAsia"/>
                <w:szCs w:val="24"/>
                <w:u w:val="single"/>
              </w:rPr>
              <w:t>特定法人機構</w:t>
            </w:r>
            <w:r w:rsidRPr="00F0366F">
              <w:rPr>
                <w:rFonts w:ascii="標楷體" w:eastAsia="標楷體" w:hAnsi="標楷體" w:cs="Times New Roman" w:hint="eastAsia"/>
                <w:szCs w:val="24"/>
              </w:rPr>
              <w:t>為限，得委託證券商代為向本公司申請開立有價證券借貸帳戶，取得借貸交易人資格，從事有價證券借貸之定價、競價交易，及</w:t>
            </w:r>
            <w:proofErr w:type="gramStart"/>
            <w:r w:rsidRPr="00F0366F">
              <w:rPr>
                <w:rFonts w:ascii="標楷體" w:eastAsia="標楷體" w:hAnsi="標楷體" w:cs="Times New Roman" w:hint="eastAsia"/>
                <w:szCs w:val="24"/>
              </w:rPr>
              <w:t>辦理議借交易</w:t>
            </w:r>
            <w:proofErr w:type="gramEnd"/>
            <w:r w:rsidRPr="00F0366F">
              <w:rPr>
                <w:rFonts w:ascii="標楷體" w:eastAsia="標楷體" w:hAnsi="標楷體" w:cs="Times New Roman" w:hint="eastAsia"/>
                <w:szCs w:val="24"/>
              </w:rPr>
              <w:t>之成交申報：</w:t>
            </w:r>
          </w:p>
          <w:p w:rsidR="00A66C48" w:rsidRDefault="00F0366F" w:rsidP="00A66C48">
            <w:pPr>
              <w:ind w:leftChars="100" w:left="720" w:hangingChars="200" w:hanging="480"/>
              <w:rPr>
                <w:rFonts w:ascii="標楷體" w:eastAsia="標楷體" w:hAnsi="標楷體" w:cs="Times New Roman"/>
                <w:sz w:val="20"/>
                <w:szCs w:val="24"/>
                <w:u w:val="single"/>
              </w:rPr>
            </w:pPr>
            <w:r w:rsidRPr="00F0366F">
              <w:rPr>
                <w:rFonts w:ascii="標楷體" w:eastAsia="標楷體" w:hAnsi="標楷體" w:cs="Times New Roman" w:hint="eastAsia"/>
                <w:szCs w:val="24"/>
                <w:u w:val="single"/>
              </w:rPr>
              <w:t>一、出借人：保險公司、銀行、信託投資公司、證券商、期貨商、證券投資信託基金、期貨信託基金、證券金融事業、特定境外外國機構投資人、政府基金、員工持股信託契約、客戶有價證券信託契約及其他經主管機關核准者。</w:t>
            </w:r>
          </w:p>
          <w:p w:rsidR="00A66C48" w:rsidRDefault="00F0366F" w:rsidP="00A66C48">
            <w:pPr>
              <w:ind w:leftChars="100" w:left="720" w:hangingChars="200" w:hanging="480"/>
              <w:rPr>
                <w:rFonts w:ascii="標楷體" w:eastAsia="標楷體" w:hAnsi="標楷體" w:cs="Times New Roman"/>
                <w:sz w:val="20"/>
                <w:szCs w:val="24"/>
              </w:rPr>
            </w:pPr>
            <w:r w:rsidRPr="00F0366F">
              <w:rPr>
                <w:rFonts w:ascii="標楷體" w:eastAsia="標楷體" w:hAnsi="標楷體" w:cs="Times New Roman" w:hint="eastAsia"/>
                <w:szCs w:val="24"/>
                <w:u w:val="single"/>
              </w:rPr>
              <w:t>二、借</w:t>
            </w:r>
            <w:proofErr w:type="gramStart"/>
            <w:r w:rsidRPr="00F0366F">
              <w:rPr>
                <w:rFonts w:ascii="標楷體" w:eastAsia="標楷體" w:hAnsi="標楷體" w:cs="Times New Roman" w:hint="eastAsia"/>
                <w:szCs w:val="24"/>
                <w:u w:val="single"/>
              </w:rPr>
              <w:t>券</w:t>
            </w:r>
            <w:proofErr w:type="gramEnd"/>
            <w:r w:rsidRPr="00F0366F">
              <w:rPr>
                <w:rFonts w:ascii="標楷體" w:eastAsia="標楷體" w:hAnsi="標楷體" w:cs="Times New Roman" w:hint="eastAsia"/>
                <w:szCs w:val="24"/>
                <w:u w:val="single"/>
              </w:rPr>
              <w:t>人：銀行、證券商、期貨商、證券投資信託基金、證券金融事業、特定境外外國機構投資人及其他經主管機關核准者。</w:t>
            </w:r>
          </w:p>
        </w:tc>
        <w:tc>
          <w:tcPr>
            <w:tcW w:w="2788" w:type="dxa"/>
          </w:tcPr>
          <w:p w:rsidR="00F0366F" w:rsidRPr="00F0366F" w:rsidRDefault="00625B9D" w:rsidP="00B75282">
            <w:pPr>
              <w:jc w:val="both"/>
              <w:rPr>
                <w:rFonts w:ascii="標楷體" w:eastAsia="標楷體" w:hAnsi="標楷體"/>
              </w:rPr>
            </w:pPr>
            <w:r w:rsidRPr="00625B9D">
              <w:rPr>
                <w:rFonts w:ascii="標楷體" w:eastAsia="標楷體" w:hAnsi="標楷體" w:hint="eastAsia"/>
              </w:rPr>
              <w:t>考量證券商辦理有價證券借貸業務</w:t>
            </w:r>
            <w:r w:rsidR="005908DE">
              <w:rPr>
                <w:rFonts w:ascii="標楷體" w:eastAsia="標楷體" w:hAnsi="標楷體" w:hint="eastAsia"/>
              </w:rPr>
              <w:t>已可向其客戶</w:t>
            </w:r>
            <w:r>
              <w:rPr>
                <w:rFonts w:ascii="標楷體" w:eastAsia="標楷體" w:hAnsi="標楷體" w:hint="eastAsia"/>
              </w:rPr>
              <w:t>出借</w:t>
            </w:r>
            <w:r w:rsidR="005908DE">
              <w:rPr>
                <w:rFonts w:ascii="標楷體" w:eastAsia="標楷體" w:hAnsi="標楷體" w:hint="eastAsia"/>
              </w:rPr>
              <w:t>及</w:t>
            </w:r>
            <w:r>
              <w:rPr>
                <w:rFonts w:ascii="標楷體" w:eastAsia="標楷體" w:hAnsi="標楷體" w:hint="eastAsia"/>
              </w:rPr>
              <w:t>借</w:t>
            </w:r>
            <w:r w:rsidR="005908DE">
              <w:rPr>
                <w:rFonts w:ascii="標楷體" w:eastAsia="標楷體" w:hAnsi="標楷體" w:hint="eastAsia"/>
              </w:rPr>
              <w:t>入有價證</w:t>
            </w:r>
            <w:r>
              <w:rPr>
                <w:rFonts w:ascii="標楷體" w:eastAsia="標楷體" w:hAnsi="標楷體" w:hint="eastAsia"/>
              </w:rPr>
              <w:t>券</w:t>
            </w:r>
            <w:r w:rsidR="005908DE">
              <w:rPr>
                <w:rFonts w:ascii="標楷體" w:eastAsia="標楷體" w:hAnsi="標楷體" w:hint="eastAsia"/>
              </w:rPr>
              <w:t>、並</w:t>
            </w:r>
            <w:r w:rsidRPr="00625B9D">
              <w:rPr>
                <w:rFonts w:ascii="標楷體" w:eastAsia="標楷體" w:hAnsi="標楷體" w:hint="eastAsia"/>
              </w:rPr>
              <w:t>未限制</w:t>
            </w:r>
            <w:r w:rsidR="005908DE">
              <w:rPr>
                <w:rFonts w:ascii="標楷體" w:eastAsia="標楷體" w:hAnsi="標楷體" w:hint="eastAsia"/>
              </w:rPr>
              <w:t>投資人</w:t>
            </w:r>
            <w:r w:rsidRPr="00625B9D">
              <w:rPr>
                <w:rFonts w:ascii="標楷體" w:eastAsia="標楷體" w:hAnsi="標楷體" w:hint="eastAsia"/>
              </w:rPr>
              <w:t>參與資格</w:t>
            </w:r>
            <w:r>
              <w:rPr>
                <w:rFonts w:ascii="標楷體" w:eastAsia="標楷體" w:hAnsi="標楷體" w:hint="eastAsia"/>
              </w:rPr>
              <w:t>，且</w:t>
            </w:r>
            <w:r w:rsidRPr="00625B9D">
              <w:rPr>
                <w:rFonts w:ascii="標楷體" w:eastAsia="標楷體" w:hAnsi="標楷體" w:hint="eastAsia"/>
              </w:rPr>
              <w:t>華僑及外國人投資證券管理辦法</w:t>
            </w:r>
            <w:r>
              <w:rPr>
                <w:rFonts w:ascii="標楷體" w:eastAsia="標楷體" w:hAnsi="標楷體" w:hint="eastAsia"/>
              </w:rPr>
              <w:t>已取消</w:t>
            </w:r>
            <w:r w:rsidRPr="00625B9D">
              <w:rPr>
                <w:rFonts w:ascii="標楷體" w:eastAsia="標楷體" w:hAnsi="標楷體" w:hint="eastAsia"/>
              </w:rPr>
              <w:t>合格境外外國機構投資人(</w:t>
            </w:r>
            <w:r>
              <w:rPr>
                <w:rFonts w:ascii="標楷體" w:eastAsia="標楷體" w:hAnsi="標楷體" w:hint="eastAsia"/>
              </w:rPr>
              <w:t>簡稱</w:t>
            </w:r>
            <w:r w:rsidRPr="00625B9D">
              <w:rPr>
                <w:rFonts w:ascii="標楷體" w:eastAsia="標楷體" w:hAnsi="標楷體" w:hint="eastAsia"/>
              </w:rPr>
              <w:t>QFII)</w:t>
            </w:r>
            <w:r>
              <w:rPr>
                <w:rFonts w:ascii="標楷體" w:eastAsia="標楷體" w:hAnsi="標楷體" w:hint="eastAsia"/>
              </w:rPr>
              <w:t>制度</w:t>
            </w:r>
            <w:r w:rsidRPr="00625B9D">
              <w:rPr>
                <w:rFonts w:ascii="標楷體" w:eastAsia="標楷體" w:hAnsi="標楷體" w:hint="eastAsia"/>
              </w:rPr>
              <w:t>，</w:t>
            </w:r>
            <w:proofErr w:type="gramStart"/>
            <w:r>
              <w:rPr>
                <w:rFonts w:ascii="標楷體" w:eastAsia="標楷體" w:hAnsi="標楷體" w:hint="eastAsia"/>
              </w:rPr>
              <w:t>爰</w:t>
            </w:r>
            <w:proofErr w:type="gramEnd"/>
            <w:r w:rsidR="00AC2AB2">
              <w:rPr>
                <w:rFonts w:ascii="標楷體" w:eastAsia="標楷體" w:hAnsi="標楷體" w:hint="eastAsia"/>
              </w:rPr>
              <w:t>修正</w:t>
            </w:r>
            <w:r w:rsidR="005908DE">
              <w:rPr>
                <w:rFonts w:ascii="標楷體" w:eastAsia="標楷體" w:hAnsi="標楷體" w:hint="eastAsia"/>
              </w:rPr>
              <w:t>本條所列之參與資格限制，開放國內</w:t>
            </w:r>
            <w:r w:rsidR="005908DE" w:rsidRPr="00625B9D">
              <w:rPr>
                <w:rFonts w:ascii="標楷體" w:eastAsia="標楷體" w:hAnsi="標楷體" w:hint="eastAsia"/>
              </w:rPr>
              <w:t>法人</w:t>
            </w:r>
            <w:r w:rsidR="00AC2AB2">
              <w:rPr>
                <w:rFonts w:ascii="標楷體" w:eastAsia="標楷體" w:hAnsi="標楷體" w:hint="eastAsia"/>
              </w:rPr>
              <w:t>、基金</w:t>
            </w:r>
            <w:r w:rsidR="005908DE" w:rsidRPr="00625B9D">
              <w:rPr>
                <w:rFonts w:ascii="標楷體" w:eastAsia="標楷體" w:hAnsi="標楷體" w:hint="eastAsia"/>
              </w:rPr>
              <w:t>及</w:t>
            </w:r>
            <w:r w:rsidR="00B473CF">
              <w:rPr>
                <w:rFonts w:ascii="標楷體" w:eastAsia="標楷體" w:hAnsi="標楷體" w:hint="eastAsia"/>
              </w:rPr>
              <w:t>境外</w:t>
            </w:r>
            <w:r w:rsidR="005908DE" w:rsidRPr="00625B9D">
              <w:rPr>
                <w:rFonts w:ascii="標楷體" w:eastAsia="標楷體" w:hAnsi="標楷體" w:hint="eastAsia"/>
              </w:rPr>
              <w:t>外國機構投資人(FINI)</w:t>
            </w:r>
            <w:proofErr w:type="gramStart"/>
            <w:r w:rsidR="005908DE" w:rsidRPr="00625B9D">
              <w:rPr>
                <w:rFonts w:ascii="標楷體" w:eastAsia="標楷體" w:hAnsi="標楷體" w:hint="eastAsia"/>
              </w:rPr>
              <w:t>均</w:t>
            </w:r>
            <w:r w:rsidR="005908DE">
              <w:rPr>
                <w:rFonts w:ascii="標楷體" w:eastAsia="標楷體" w:hAnsi="標楷體" w:hint="eastAsia"/>
              </w:rPr>
              <w:t>得為</w:t>
            </w:r>
            <w:proofErr w:type="gramEnd"/>
            <w:r w:rsidR="005908DE" w:rsidRPr="00625B9D">
              <w:rPr>
                <w:rFonts w:ascii="標楷體" w:eastAsia="標楷體" w:hAnsi="標楷體" w:hint="eastAsia"/>
              </w:rPr>
              <w:t>證</w:t>
            </w:r>
            <w:r w:rsidR="005908DE">
              <w:rPr>
                <w:rFonts w:ascii="標楷體" w:eastAsia="標楷體" w:hAnsi="標楷體" w:hint="eastAsia"/>
              </w:rPr>
              <w:t>券</w:t>
            </w:r>
            <w:r w:rsidR="005908DE" w:rsidRPr="00625B9D">
              <w:rPr>
                <w:rFonts w:ascii="標楷體" w:eastAsia="標楷體" w:hAnsi="標楷體" w:hint="eastAsia"/>
              </w:rPr>
              <w:t>交</w:t>
            </w:r>
            <w:r w:rsidR="005908DE">
              <w:rPr>
                <w:rFonts w:ascii="標楷體" w:eastAsia="標楷體" w:hAnsi="標楷體" w:hint="eastAsia"/>
              </w:rPr>
              <w:t>易</w:t>
            </w:r>
            <w:r w:rsidR="005908DE" w:rsidRPr="00625B9D">
              <w:rPr>
                <w:rFonts w:ascii="標楷體" w:eastAsia="標楷體" w:hAnsi="標楷體" w:hint="eastAsia"/>
              </w:rPr>
              <w:t>所借</w:t>
            </w:r>
            <w:proofErr w:type="gramStart"/>
            <w:r w:rsidR="005908DE" w:rsidRPr="00625B9D">
              <w:rPr>
                <w:rFonts w:ascii="標楷體" w:eastAsia="標楷體" w:hAnsi="標楷體" w:hint="eastAsia"/>
              </w:rPr>
              <w:t>券</w:t>
            </w:r>
            <w:proofErr w:type="gramEnd"/>
            <w:r w:rsidR="005908DE" w:rsidRPr="00625B9D">
              <w:rPr>
                <w:rFonts w:ascii="標楷體" w:eastAsia="標楷體" w:hAnsi="標楷體" w:hint="eastAsia"/>
              </w:rPr>
              <w:t>系統</w:t>
            </w:r>
            <w:r w:rsidR="005908DE">
              <w:rPr>
                <w:rFonts w:ascii="標楷體" w:eastAsia="標楷體" w:hAnsi="標楷體" w:hint="eastAsia"/>
              </w:rPr>
              <w:t>之借貸交易人</w:t>
            </w:r>
            <w:r w:rsidR="005908DE" w:rsidRPr="00625B9D">
              <w:rPr>
                <w:rFonts w:ascii="標楷體" w:eastAsia="標楷體" w:hAnsi="標楷體" w:hint="eastAsia"/>
              </w:rPr>
              <w:t>，不限於</w:t>
            </w:r>
            <w:r w:rsidR="005908DE">
              <w:rPr>
                <w:rFonts w:ascii="標楷體" w:eastAsia="標楷體" w:hAnsi="標楷體" w:hint="eastAsia"/>
              </w:rPr>
              <w:t>特定法人機構</w:t>
            </w:r>
            <w:r w:rsidR="005908DE" w:rsidRPr="00625B9D">
              <w:rPr>
                <w:rFonts w:ascii="標楷體" w:eastAsia="標楷體" w:hAnsi="標楷體" w:hint="eastAsia"/>
              </w:rPr>
              <w:t>之身分</w:t>
            </w:r>
            <w:r w:rsidR="005908DE">
              <w:rPr>
                <w:rFonts w:ascii="標楷體" w:eastAsia="標楷體" w:hAnsi="標楷體" w:hint="eastAsia"/>
              </w:rPr>
              <w:t>，以提昇借</w:t>
            </w:r>
            <w:proofErr w:type="gramStart"/>
            <w:r w:rsidR="005908DE">
              <w:rPr>
                <w:rFonts w:ascii="標楷體" w:eastAsia="標楷體" w:hAnsi="標楷體" w:hint="eastAsia"/>
              </w:rPr>
              <w:t>券</w:t>
            </w:r>
            <w:proofErr w:type="gramEnd"/>
            <w:r w:rsidR="005908DE">
              <w:rPr>
                <w:rFonts w:ascii="標楷體" w:eastAsia="標楷體" w:hAnsi="標楷體" w:hint="eastAsia"/>
              </w:rPr>
              <w:t>管道一致性。</w:t>
            </w:r>
          </w:p>
        </w:tc>
      </w:tr>
      <w:tr w:rsidR="00B75282" w:rsidRPr="00F0366F" w:rsidTr="00B75282">
        <w:tc>
          <w:tcPr>
            <w:tcW w:w="2787" w:type="dxa"/>
          </w:tcPr>
          <w:p w:rsidR="008B3D0A" w:rsidRDefault="00B75282" w:rsidP="00296A45">
            <w:pPr>
              <w:jc w:val="both"/>
              <w:rPr>
                <w:rFonts w:ascii="標楷體" w:eastAsia="標楷體" w:hAnsi="標楷體"/>
              </w:rPr>
            </w:pPr>
            <w:r>
              <w:rPr>
                <w:rFonts w:ascii="標楷體" w:eastAsia="標楷體" w:hAnsi="標楷體" w:hint="eastAsia"/>
              </w:rPr>
              <w:t>第十</w:t>
            </w:r>
            <w:r w:rsidR="00296A45">
              <w:rPr>
                <w:rFonts w:ascii="標楷體" w:eastAsia="標楷體" w:hAnsi="標楷體" w:hint="eastAsia"/>
              </w:rPr>
              <w:t>二</w:t>
            </w:r>
            <w:r>
              <w:rPr>
                <w:rFonts w:ascii="標楷體" w:eastAsia="標楷體" w:hAnsi="標楷體" w:hint="eastAsia"/>
              </w:rPr>
              <w:t>條之</w:t>
            </w:r>
            <w:proofErr w:type="gramStart"/>
            <w:r>
              <w:rPr>
                <w:rFonts w:ascii="標楷體" w:eastAsia="標楷體" w:hAnsi="標楷體" w:hint="eastAsia"/>
              </w:rPr>
              <w:t>一</w:t>
            </w:r>
            <w:proofErr w:type="gramEnd"/>
            <w:r w:rsidR="005624C0">
              <w:rPr>
                <w:rFonts w:ascii="標楷體" w:eastAsia="標楷體" w:hAnsi="標楷體" w:hint="eastAsia"/>
              </w:rPr>
              <w:t xml:space="preserve"> </w:t>
            </w:r>
            <w:r w:rsidR="008B3D0A" w:rsidRPr="008B3D0A">
              <w:rPr>
                <w:rFonts w:ascii="標楷體" w:eastAsia="標楷體" w:hAnsi="標楷體" w:hint="eastAsia"/>
              </w:rPr>
              <w:t>借貸標的證券發行公司之董事、監察人、經理人及持有公司</w:t>
            </w:r>
            <w:r w:rsidR="008B3D0A" w:rsidRPr="008B3D0A">
              <w:rPr>
                <w:rFonts w:ascii="標楷體" w:eastAsia="標楷體" w:hAnsi="標楷體" w:hint="eastAsia"/>
              </w:rPr>
              <w:lastRenderedPageBreak/>
              <w:t>股份超過股份總額百分之十之股東，不得自行或利用直接間接設立之境內外公司等他人名義，從事該標的證券之借貸交易及借</w:t>
            </w:r>
            <w:proofErr w:type="gramStart"/>
            <w:r w:rsidR="008B3D0A" w:rsidRPr="008B3D0A">
              <w:rPr>
                <w:rFonts w:ascii="標楷體" w:eastAsia="標楷體" w:hAnsi="標楷體" w:hint="eastAsia"/>
              </w:rPr>
              <w:t>券</w:t>
            </w:r>
            <w:proofErr w:type="gramEnd"/>
            <w:r w:rsidR="008B3D0A" w:rsidRPr="008B3D0A">
              <w:rPr>
                <w:rFonts w:ascii="標楷體" w:eastAsia="標楷體" w:hAnsi="標楷體" w:hint="eastAsia"/>
              </w:rPr>
              <w:t>賣出。</w:t>
            </w:r>
          </w:p>
          <w:p w:rsidR="00296A45" w:rsidRDefault="00C95F3E" w:rsidP="008B3D0A">
            <w:pPr>
              <w:ind w:firstLineChars="200" w:firstLine="480"/>
              <w:jc w:val="both"/>
              <w:rPr>
                <w:rFonts w:ascii="標楷體" w:eastAsia="標楷體" w:hAnsi="標楷體"/>
              </w:rPr>
            </w:pPr>
            <w:r>
              <w:rPr>
                <w:rFonts w:ascii="標楷體" w:eastAsia="標楷體" w:hAnsi="標楷體" w:hint="eastAsia"/>
              </w:rPr>
              <w:t>借貸交易人除</w:t>
            </w:r>
            <w:r w:rsidR="00B75282">
              <w:rPr>
                <w:rFonts w:ascii="標楷體" w:eastAsia="標楷體" w:hAnsi="標楷體" w:hint="eastAsia"/>
              </w:rPr>
              <w:t>下列</w:t>
            </w:r>
            <w:r>
              <w:rPr>
                <w:rFonts w:ascii="標楷體" w:eastAsia="標楷體" w:hAnsi="標楷體" w:hint="eastAsia"/>
              </w:rPr>
              <w:t>特定機構投資</w:t>
            </w:r>
            <w:r w:rsidR="00B75282" w:rsidRPr="00B75282">
              <w:rPr>
                <w:rFonts w:ascii="標楷體" w:eastAsia="標楷體" w:hAnsi="標楷體" w:hint="eastAsia"/>
              </w:rPr>
              <w:t>人外，應</w:t>
            </w:r>
            <w:r w:rsidR="00296A45">
              <w:rPr>
                <w:rFonts w:ascii="標楷體" w:eastAsia="標楷體" w:hAnsi="標楷體" w:hint="eastAsia"/>
              </w:rPr>
              <w:t>依第十二條規定方式</w:t>
            </w:r>
            <w:r w:rsidR="00B75282">
              <w:rPr>
                <w:rFonts w:ascii="標楷體" w:eastAsia="標楷體" w:hAnsi="標楷體" w:hint="eastAsia"/>
              </w:rPr>
              <w:t>向本公司</w:t>
            </w:r>
            <w:r w:rsidR="00B75282" w:rsidRPr="00B75282">
              <w:rPr>
                <w:rFonts w:ascii="標楷體" w:eastAsia="標楷體" w:hAnsi="標楷體" w:hint="eastAsia"/>
              </w:rPr>
              <w:t>申報</w:t>
            </w:r>
            <w:r w:rsidR="00B75282">
              <w:rPr>
                <w:rFonts w:ascii="標楷體" w:eastAsia="標楷體" w:hAnsi="標楷體" w:hint="eastAsia"/>
              </w:rPr>
              <w:t>其</w:t>
            </w:r>
            <w:r w:rsidR="006B5DE0">
              <w:rPr>
                <w:rFonts w:ascii="標楷體" w:eastAsia="標楷體" w:hAnsi="標楷體" w:hint="eastAsia"/>
              </w:rPr>
              <w:t>持股</w:t>
            </w:r>
            <w:proofErr w:type="gramStart"/>
            <w:r w:rsidR="006B5DE0">
              <w:rPr>
                <w:rFonts w:ascii="標楷體" w:eastAsia="標楷體" w:hAnsi="標楷體" w:hint="eastAsia"/>
              </w:rPr>
              <w:t>前三名</w:t>
            </w:r>
            <w:r w:rsidR="00B75282" w:rsidRPr="00B75282">
              <w:rPr>
                <w:rFonts w:ascii="標楷體" w:eastAsia="標楷體" w:hAnsi="標楷體" w:hint="eastAsia"/>
              </w:rPr>
              <w:t>且持有</w:t>
            </w:r>
            <w:proofErr w:type="gramEnd"/>
            <w:r w:rsidR="00B75282" w:rsidRPr="00B75282">
              <w:rPr>
                <w:rFonts w:ascii="標楷體" w:eastAsia="標楷體" w:hAnsi="標楷體" w:hint="eastAsia"/>
              </w:rPr>
              <w:t>股份達</w:t>
            </w:r>
            <w:r w:rsidR="00E52F35">
              <w:rPr>
                <w:rFonts w:ascii="標楷體" w:eastAsia="標楷體" w:hAnsi="標楷體" w:hint="eastAsia"/>
              </w:rPr>
              <w:t>百分之三十</w:t>
            </w:r>
            <w:r w:rsidR="00B75282" w:rsidRPr="00B75282">
              <w:rPr>
                <w:rFonts w:ascii="標楷體" w:eastAsia="標楷體" w:hAnsi="標楷體" w:hint="eastAsia"/>
              </w:rPr>
              <w:t>以上之股東名稱與國籍，法人</w:t>
            </w:r>
            <w:r w:rsidR="005624C0">
              <w:rPr>
                <w:rFonts w:ascii="標楷體" w:eastAsia="標楷體" w:hAnsi="標楷體" w:hint="eastAsia"/>
              </w:rPr>
              <w:t>股東</w:t>
            </w:r>
            <w:r w:rsidR="00B75282" w:rsidRPr="00B75282">
              <w:rPr>
                <w:rFonts w:ascii="標楷體" w:eastAsia="標楷體" w:hAnsi="標楷體" w:hint="eastAsia"/>
              </w:rPr>
              <w:t>應一併申報至其</w:t>
            </w:r>
            <w:r w:rsidR="006B5DE0" w:rsidRPr="006B5DE0">
              <w:rPr>
                <w:rFonts w:ascii="標楷體" w:eastAsia="標楷體" w:hAnsi="標楷體" w:hint="eastAsia"/>
              </w:rPr>
              <w:t>持股</w:t>
            </w:r>
            <w:proofErr w:type="gramStart"/>
            <w:r w:rsidR="006B5DE0" w:rsidRPr="006B5DE0">
              <w:rPr>
                <w:rFonts w:ascii="標楷體" w:eastAsia="標楷體" w:hAnsi="標楷體" w:hint="eastAsia"/>
              </w:rPr>
              <w:t>前三名且持有</w:t>
            </w:r>
            <w:proofErr w:type="gramEnd"/>
            <w:r w:rsidR="006B5DE0" w:rsidRPr="006B5DE0">
              <w:rPr>
                <w:rFonts w:ascii="標楷體" w:eastAsia="標楷體" w:hAnsi="標楷體" w:hint="eastAsia"/>
              </w:rPr>
              <w:t>股份達</w:t>
            </w:r>
            <w:r w:rsidR="005624C0">
              <w:rPr>
                <w:rFonts w:ascii="標楷體" w:eastAsia="標楷體" w:hAnsi="標楷體" w:hint="eastAsia"/>
              </w:rPr>
              <w:t>百分之三十</w:t>
            </w:r>
            <w:r w:rsidR="006B5DE0" w:rsidRPr="006B5DE0">
              <w:rPr>
                <w:rFonts w:ascii="標楷體" w:eastAsia="標楷體" w:hAnsi="標楷體" w:hint="eastAsia"/>
              </w:rPr>
              <w:t>以上</w:t>
            </w:r>
            <w:r w:rsidR="00B75282" w:rsidRPr="00B75282">
              <w:rPr>
                <w:rFonts w:ascii="標楷體" w:eastAsia="標楷體" w:hAnsi="標楷體" w:hint="eastAsia"/>
              </w:rPr>
              <w:t>自然人股東為止。上述股東屬中華民國籍者，並應填</w:t>
            </w:r>
            <w:proofErr w:type="gramStart"/>
            <w:r w:rsidR="00B75282" w:rsidRPr="00B75282">
              <w:rPr>
                <w:rFonts w:ascii="標楷體" w:eastAsia="標楷體" w:hAnsi="標楷體" w:hint="eastAsia"/>
              </w:rPr>
              <w:t>註</w:t>
            </w:r>
            <w:proofErr w:type="gramEnd"/>
            <w:r w:rsidR="00B75282" w:rsidRPr="00B75282">
              <w:rPr>
                <w:rFonts w:ascii="標楷體" w:eastAsia="標楷體" w:hAnsi="標楷體" w:hint="eastAsia"/>
              </w:rPr>
              <w:t>營利事業統一編號或身分證號碼</w:t>
            </w:r>
            <w:r w:rsidR="00296A45">
              <w:rPr>
                <w:rFonts w:ascii="標楷體" w:eastAsia="標楷體" w:hAnsi="標楷體" w:hint="eastAsia"/>
              </w:rPr>
              <w:t>；境外華僑及外國人完成登記者，應填</w:t>
            </w:r>
            <w:proofErr w:type="gramStart"/>
            <w:r w:rsidR="00296A45">
              <w:rPr>
                <w:rFonts w:ascii="標楷體" w:eastAsia="標楷體" w:hAnsi="標楷體" w:hint="eastAsia"/>
              </w:rPr>
              <w:t>註</w:t>
            </w:r>
            <w:proofErr w:type="gramEnd"/>
            <w:r w:rsidR="00296A45">
              <w:rPr>
                <w:rFonts w:ascii="標楷體" w:eastAsia="標楷體" w:hAnsi="標楷體" w:hint="eastAsia"/>
              </w:rPr>
              <w:t>身分編號及扣繳單位統一編號：</w:t>
            </w:r>
          </w:p>
          <w:p w:rsidR="00296A45" w:rsidRDefault="00296A45" w:rsidP="00296A45">
            <w:pPr>
              <w:ind w:leftChars="100" w:left="720" w:hangingChars="200" w:hanging="480"/>
              <w:jc w:val="both"/>
              <w:rPr>
                <w:rFonts w:ascii="標楷體" w:eastAsia="標楷體" w:hAnsi="標楷體"/>
              </w:rPr>
            </w:pPr>
            <w:r w:rsidRPr="00296A45">
              <w:rPr>
                <w:rFonts w:ascii="標楷體" w:eastAsia="標楷體" w:hAnsi="標楷體" w:hint="eastAsia"/>
              </w:rPr>
              <w:t>一、出借人：保險公司、銀行、信託投資公司、證券商、期貨商、證券投資信託基金、期貨信託基金、證券金融事業、特定境外外國機構投資人、政府基金、</w:t>
            </w:r>
            <w:r>
              <w:rPr>
                <w:rFonts w:ascii="標楷體" w:eastAsia="標楷體" w:hAnsi="標楷體" w:hint="eastAsia"/>
              </w:rPr>
              <w:t>信託業</w:t>
            </w:r>
            <w:r w:rsidRPr="00296A45">
              <w:rPr>
                <w:rFonts w:ascii="標楷體" w:eastAsia="標楷體" w:hAnsi="標楷體" w:hint="eastAsia"/>
              </w:rPr>
              <w:t>及其他經主管機關核准者。</w:t>
            </w:r>
          </w:p>
          <w:p w:rsidR="00B75282" w:rsidRDefault="00296A45" w:rsidP="00296A45">
            <w:pPr>
              <w:ind w:leftChars="100" w:left="720" w:hangingChars="200" w:hanging="480"/>
              <w:jc w:val="both"/>
              <w:rPr>
                <w:rFonts w:ascii="標楷體" w:eastAsia="標楷體" w:hAnsi="標楷體"/>
              </w:rPr>
            </w:pPr>
            <w:r w:rsidRPr="00296A45">
              <w:rPr>
                <w:rFonts w:ascii="標楷體" w:eastAsia="標楷體" w:hAnsi="標楷體" w:hint="eastAsia"/>
              </w:rPr>
              <w:t>二、借</w:t>
            </w:r>
            <w:proofErr w:type="gramStart"/>
            <w:r w:rsidRPr="00296A45">
              <w:rPr>
                <w:rFonts w:ascii="標楷體" w:eastAsia="標楷體" w:hAnsi="標楷體" w:hint="eastAsia"/>
              </w:rPr>
              <w:t>券</w:t>
            </w:r>
            <w:proofErr w:type="gramEnd"/>
            <w:r w:rsidRPr="00296A45">
              <w:rPr>
                <w:rFonts w:ascii="標楷體" w:eastAsia="標楷體" w:hAnsi="標楷體" w:hint="eastAsia"/>
              </w:rPr>
              <w:t>人：銀行、證券商、期貨商、證券投資信託基金、證券金融事業、特定境外外國</w:t>
            </w:r>
            <w:r w:rsidRPr="00296A45">
              <w:rPr>
                <w:rFonts w:ascii="標楷體" w:eastAsia="標楷體" w:hAnsi="標楷體" w:hint="eastAsia"/>
              </w:rPr>
              <w:lastRenderedPageBreak/>
              <w:t>機構投資人及其他經主管機關核准者。</w:t>
            </w:r>
          </w:p>
          <w:p w:rsidR="00B75282" w:rsidRDefault="00B75282" w:rsidP="00B75282">
            <w:pPr>
              <w:ind w:firstLineChars="200" w:firstLine="480"/>
              <w:jc w:val="both"/>
              <w:rPr>
                <w:rFonts w:ascii="標楷體" w:eastAsia="標楷體" w:hAnsi="標楷體"/>
              </w:rPr>
            </w:pPr>
            <w:r w:rsidRPr="00B75282">
              <w:rPr>
                <w:rFonts w:ascii="標楷體" w:eastAsia="標楷體" w:hAnsi="標楷體" w:hint="eastAsia"/>
              </w:rPr>
              <w:t>前項特定境外外國機構投資人，係指具外國銀行、保險公司、證券商、基金管理機構、外國政府投資機構、退休基金、共同基金、單位信託、投資信託、信託公司、學術或慈善機構身分及私募型態之共同基金及單位信託之境外外國機構投資人。</w:t>
            </w:r>
          </w:p>
          <w:p w:rsidR="002177EE" w:rsidRPr="008B3D0A" w:rsidRDefault="008B3D0A" w:rsidP="000059E8">
            <w:pPr>
              <w:ind w:firstLineChars="200" w:firstLine="480"/>
              <w:jc w:val="both"/>
              <w:rPr>
                <w:rFonts w:ascii="標楷體" w:eastAsia="標楷體" w:hAnsi="標楷體"/>
                <w:color w:val="000000" w:themeColor="text1"/>
              </w:rPr>
            </w:pPr>
            <w:r>
              <w:rPr>
                <w:rFonts w:ascii="標楷體" w:eastAsia="標楷體" w:hAnsi="標楷體" w:hint="eastAsia"/>
                <w:color w:val="000000" w:themeColor="text1"/>
              </w:rPr>
              <w:t>第二</w:t>
            </w:r>
            <w:r w:rsidR="00A61A77" w:rsidRPr="008B3D0A">
              <w:rPr>
                <w:rFonts w:ascii="標楷體" w:eastAsia="標楷體" w:hAnsi="標楷體" w:hint="eastAsia"/>
                <w:color w:val="000000" w:themeColor="text1"/>
              </w:rPr>
              <w:t>項</w:t>
            </w:r>
            <w:r w:rsidR="009B5E9D" w:rsidRPr="008B3D0A">
              <w:rPr>
                <w:rFonts w:ascii="標楷體" w:eastAsia="標楷體" w:hAnsi="標楷體" w:hint="eastAsia"/>
                <w:color w:val="000000" w:themeColor="text1"/>
              </w:rPr>
              <w:t>所</w:t>
            </w:r>
            <w:r w:rsidR="00A61A77" w:rsidRPr="008B3D0A">
              <w:rPr>
                <w:rFonts w:ascii="標楷體" w:eastAsia="標楷體" w:hAnsi="標楷體" w:hint="eastAsia"/>
                <w:color w:val="000000" w:themeColor="text1"/>
              </w:rPr>
              <w:t>定股東持</w:t>
            </w:r>
            <w:r w:rsidR="000059E8" w:rsidRPr="008B3D0A">
              <w:rPr>
                <w:rFonts w:ascii="標楷體" w:eastAsia="標楷體" w:hAnsi="標楷體" w:hint="eastAsia"/>
                <w:color w:val="000000" w:themeColor="text1"/>
              </w:rPr>
              <w:t>有</w:t>
            </w:r>
            <w:r w:rsidR="00763D6B" w:rsidRPr="008B3D0A">
              <w:rPr>
                <w:rFonts w:ascii="標楷體" w:eastAsia="標楷體" w:hAnsi="標楷體" w:hint="eastAsia"/>
                <w:color w:val="000000" w:themeColor="text1"/>
              </w:rPr>
              <w:t>之</w:t>
            </w:r>
            <w:r w:rsidR="000059E8" w:rsidRPr="008B3D0A">
              <w:rPr>
                <w:rFonts w:ascii="標楷體" w:eastAsia="標楷體" w:hAnsi="標楷體" w:hint="eastAsia"/>
                <w:color w:val="000000" w:themeColor="text1"/>
              </w:rPr>
              <w:t>股份</w:t>
            </w:r>
            <w:r w:rsidR="00A61A77" w:rsidRPr="008B3D0A">
              <w:rPr>
                <w:rFonts w:ascii="標楷體" w:eastAsia="標楷體" w:hAnsi="標楷體" w:hint="eastAsia"/>
                <w:color w:val="000000" w:themeColor="text1"/>
              </w:rPr>
              <w:t>，應</w:t>
            </w:r>
            <w:r w:rsidR="00763D6B" w:rsidRPr="008B3D0A">
              <w:rPr>
                <w:rFonts w:ascii="標楷體" w:eastAsia="標楷體" w:hAnsi="標楷體" w:hint="eastAsia"/>
                <w:color w:val="000000" w:themeColor="text1"/>
              </w:rPr>
              <w:t>包括</w:t>
            </w:r>
            <w:r w:rsidR="000059E8" w:rsidRPr="008B3D0A">
              <w:rPr>
                <w:rFonts w:ascii="標楷體" w:eastAsia="標楷體" w:hAnsi="標楷體" w:hint="eastAsia"/>
                <w:color w:val="000000" w:themeColor="text1"/>
              </w:rPr>
              <w:t>其配偶、未成年子女及利用他人名義持有者</w:t>
            </w:r>
            <w:r w:rsidR="00763D6B" w:rsidRPr="008B3D0A">
              <w:rPr>
                <w:rFonts w:ascii="標楷體" w:eastAsia="標楷體" w:hAnsi="標楷體" w:hint="eastAsia"/>
                <w:color w:val="000000" w:themeColor="text1"/>
              </w:rPr>
              <w:t>，合併</w:t>
            </w:r>
            <w:r w:rsidR="000059E8" w:rsidRPr="008B3D0A">
              <w:rPr>
                <w:rFonts w:ascii="標楷體" w:eastAsia="標楷體" w:hAnsi="標楷體" w:hint="eastAsia"/>
                <w:color w:val="000000" w:themeColor="text1"/>
              </w:rPr>
              <w:t>計算。</w:t>
            </w:r>
          </w:p>
        </w:tc>
        <w:tc>
          <w:tcPr>
            <w:tcW w:w="2787" w:type="dxa"/>
          </w:tcPr>
          <w:p w:rsidR="00B75282" w:rsidRPr="00A61A77" w:rsidRDefault="00B75282" w:rsidP="00F0366F">
            <w:pPr>
              <w:rPr>
                <w:rFonts w:ascii="標楷體" w:eastAsia="標楷體" w:hAnsi="標楷體" w:cs="Times New Roman"/>
                <w:szCs w:val="24"/>
              </w:rPr>
            </w:pPr>
          </w:p>
        </w:tc>
        <w:tc>
          <w:tcPr>
            <w:tcW w:w="2788" w:type="dxa"/>
          </w:tcPr>
          <w:p w:rsidR="008B3D0A" w:rsidRDefault="00B75282" w:rsidP="008B3D0A">
            <w:pPr>
              <w:pStyle w:val="aa"/>
              <w:numPr>
                <w:ilvl w:val="0"/>
                <w:numId w:val="1"/>
              </w:numPr>
              <w:ind w:leftChars="0"/>
              <w:jc w:val="both"/>
              <w:rPr>
                <w:rFonts w:ascii="標楷體" w:eastAsia="標楷體" w:hAnsi="標楷體"/>
                <w:u w:val="single"/>
              </w:rPr>
            </w:pPr>
            <w:r w:rsidRPr="00B75282">
              <w:rPr>
                <w:rFonts w:ascii="標楷體" w:eastAsia="標楷體" w:hAnsi="標楷體" w:hint="eastAsia"/>
                <w:u w:val="single"/>
              </w:rPr>
              <w:t>本條新增。</w:t>
            </w:r>
          </w:p>
          <w:p w:rsidR="008B3D0A" w:rsidRPr="008B3D0A" w:rsidRDefault="00197A7C" w:rsidP="008B3D0A">
            <w:pPr>
              <w:pStyle w:val="aa"/>
              <w:numPr>
                <w:ilvl w:val="0"/>
                <w:numId w:val="1"/>
              </w:numPr>
              <w:ind w:leftChars="0"/>
              <w:jc w:val="both"/>
              <w:rPr>
                <w:rFonts w:ascii="標楷體" w:eastAsia="標楷體" w:hAnsi="標楷體"/>
                <w:u w:val="single"/>
              </w:rPr>
            </w:pPr>
            <w:r w:rsidRPr="00197A7C">
              <w:rPr>
                <w:rFonts w:ascii="標楷體" w:eastAsia="標楷體" w:hAnsi="標楷體" w:hint="eastAsia"/>
              </w:rPr>
              <w:t>金融監督管理委員會95年8月23日</w:t>
            </w:r>
            <w:proofErr w:type="gramStart"/>
            <w:r w:rsidR="008B3D0A" w:rsidRPr="008B3D0A">
              <w:rPr>
                <w:rFonts w:ascii="標楷體" w:eastAsia="標楷體" w:hAnsi="標楷體" w:hint="eastAsia"/>
              </w:rPr>
              <w:t>金</w:t>
            </w:r>
            <w:r w:rsidR="008B3D0A" w:rsidRPr="008B3D0A">
              <w:rPr>
                <w:rFonts w:ascii="標楷體" w:eastAsia="標楷體" w:hAnsi="標楷體" w:hint="eastAsia"/>
              </w:rPr>
              <w:lastRenderedPageBreak/>
              <w:t>管證</w:t>
            </w:r>
            <w:proofErr w:type="gramEnd"/>
            <w:r w:rsidR="008B3D0A" w:rsidRPr="008B3D0A">
              <w:rPr>
                <w:rFonts w:ascii="標楷體" w:eastAsia="標楷體" w:hAnsi="標楷體" w:hint="eastAsia"/>
              </w:rPr>
              <w:t>三字第0950003988號令規定公開發行公司內部人不得進行有價證券借貸交易；另</w:t>
            </w:r>
            <w:r w:rsidRPr="00197A7C">
              <w:rPr>
                <w:rFonts w:ascii="標楷體" w:eastAsia="標楷體" w:hAnsi="標楷體" w:hint="eastAsia"/>
              </w:rPr>
              <w:t>金融監督管理委員會</w:t>
            </w:r>
            <w:r w:rsidR="00C70AB1">
              <w:rPr>
                <w:rFonts w:ascii="標楷體" w:eastAsia="標楷體" w:hAnsi="標楷體" w:hint="eastAsia"/>
              </w:rPr>
              <w:t>105</w:t>
            </w:r>
            <w:r w:rsidRPr="00197A7C">
              <w:rPr>
                <w:rFonts w:ascii="標楷體" w:eastAsia="標楷體" w:hAnsi="標楷體" w:hint="eastAsia"/>
              </w:rPr>
              <w:t>年</w:t>
            </w:r>
            <w:r w:rsidR="00C70AB1">
              <w:rPr>
                <w:rFonts w:ascii="標楷體" w:eastAsia="標楷體" w:hAnsi="標楷體" w:hint="eastAsia"/>
              </w:rPr>
              <w:t>8</w:t>
            </w:r>
            <w:r w:rsidRPr="00197A7C">
              <w:rPr>
                <w:rFonts w:ascii="標楷體" w:eastAsia="標楷體" w:hAnsi="標楷體" w:hint="eastAsia"/>
              </w:rPr>
              <w:t>月</w:t>
            </w:r>
            <w:r w:rsidR="00C70AB1">
              <w:rPr>
                <w:rFonts w:ascii="標楷體" w:eastAsia="標楷體" w:hAnsi="標楷體" w:hint="eastAsia"/>
              </w:rPr>
              <w:t>29</w:t>
            </w:r>
            <w:r w:rsidRPr="00197A7C">
              <w:rPr>
                <w:rFonts w:ascii="標楷體" w:eastAsia="標楷體" w:hAnsi="標楷體" w:hint="eastAsia"/>
              </w:rPr>
              <w:t>日</w:t>
            </w:r>
            <w:r w:rsidR="008B3D0A" w:rsidRPr="008B3D0A">
              <w:rPr>
                <w:rFonts w:ascii="標楷體" w:eastAsia="標楷體" w:hAnsi="標楷體" w:hint="eastAsia"/>
              </w:rPr>
              <w:t>金管證券字第1050029404號函示，發行公司內部人迂迴設立境內外公司者，不得進行有價證券借貸交易及借</w:t>
            </w:r>
            <w:proofErr w:type="gramStart"/>
            <w:r w:rsidR="008B3D0A" w:rsidRPr="008B3D0A">
              <w:rPr>
                <w:rFonts w:ascii="標楷體" w:eastAsia="標楷體" w:hAnsi="標楷體" w:hint="eastAsia"/>
              </w:rPr>
              <w:t>券</w:t>
            </w:r>
            <w:proofErr w:type="gramEnd"/>
            <w:r w:rsidR="008B3D0A" w:rsidRPr="008B3D0A">
              <w:rPr>
                <w:rFonts w:ascii="標楷體" w:eastAsia="標楷體" w:hAnsi="標楷體" w:hint="eastAsia"/>
              </w:rPr>
              <w:t>賣出。</w:t>
            </w:r>
          </w:p>
          <w:p w:rsidR="008B3D0A" w:rsidRDefault="008B3D0A" w:rsidP="008B3D0A">
            <w:pPr>
              <w:pStyle w:val="aa"/>
              <w:numPr>
                <w:ilvl w:val="0"/>
                <w:numId w:val="1"/>
              </w:numPr>
              <w:ind w:leftChars="0"/>
              <w:jc w:val="both"/>
              <w:rPr>
                <w:rFonts w:ascii="標楷體" w:eastAsia="標楷體" w:hAnsi="標楷體"/>
              </w:rPr>
            </w:pPr>
            <w:r w:rsidRPr="008B3D0A">
              <w:rPr>
                <w:rFonts w:ascii="標楷體" w:eastAsia="標楷體" w:hAnsi="標楷體" w:hint="eastAsia"/>
              </w:rPr>
              <w:t>依主管機關函釋意旨，明定借貸標的證券發行公司之內部人，不得自行或利用直接間接設立之境內外公司等他人名義，從事該標的證券之借貸交易及借</w:t>
            </w:r>
            <w:proofErr w:type="gramStart"/>
            <w:r w:rsidRPr="008B3D0A">
              <w:rPr>
                <w:rFonts w:ascii="標楷體" w:eastAsia="標楷體" w:hAnsi="標楷體" w:hint="eastAsia"/>
              </w:rPr>
              <w:t>券</w:t>
            </w:r>
            <w:proofErr w:type="gramEnd"/>
            <w:r w:rsidRPr="008B3D0A">
              <w:rPr>
                <w:rFonts w:ascii="標楷體" w:eastAsia="標楷體" w:hAnsi="標楷體" w:hint="eastAsia"/>
              </w:rPr>
              <w:t>賣出，以資明確。</w:t>
            </w:r>
          </w:p>
          <w:p w:rsidR="00B75282" w:rsidRPr="00B75282" w:rsidRDefault="00B75282" w:rsidP="00B75282">
            <w:pPr>
              <w:pStyle w:val="aa"/>
              <w:numPr>
                <w:ilvl w:val="0"/>
                <w:numId w:val="1"/>
              </w:numPr>
              <w:ind w:leftChars="0"/>
              <w:jc w:val="both"/>
              <w:rPr>
                <w:rFonts w:ascii="標楷體" w:eastAsia="標楷體" w:hAnsi="標楷體"/>
              </w:rPr>
            </w:pPr>
            <w:r w:rsidRPr="00B75282">
              <w:rPr>
                <w:rFonts w:ascii="標楷體" w:eastAsia="標楷體" w:hAnsi="標楷體" w:hint="eastAsia"/>
              </w:rPr>
              <w:t>配合第十條</w:t>
            </w:r>
            <w:r>
              <w:rPr>
                <w:rFonts w:ascii="標楷體" w:eastAsia="標楷體" w:hAnsi="標楷體" w:hint="eastAsia"/>
              </w:rPr>
              <w:t>修正</w:t>
            </w:r>
            <w:r w:rsidRPr="00B75282">
              <w:rPr>
                <w:rFonts w:ascii="標楷體" w:eastAsia="標楷體" w:hAnsi="標楷體" w:hint="eastAsia"/>
              </w:rPr>
              <w:t>放寬本公司借</w:t>
            </w:r>
            <w:proofErr w:type="gramStart"/>
            <w:r w:rsidRPr="00B75282">
              <w:rPr>
                <w:rFonts w:ascii="標楷體" w:eastAsia="標楷體" w:hAnsi="標楷體" w:hint="eastAsia"/>
              </w:rPr>
              <w:t>券</w:t>
            </w:r>
            <w:proofErr w:type="gramEnd"/>
            <w:r w:rsidRPr="00B75282">
              <w:rPr>
                <w:rFonts w:ascii="標楷體" w:eastAsia="標楷體" w:hAnsi="標楷體" w:hint="eastAsia"/>
              </w:rPr>
              <w:t>系統參與資格，為控管發行公司內部人迂迴設立境內外公司進行借</w:t>
            </w:r>
            <w:proofErr w:type="gramStart"/>
            <w:r w:rsidRPr="00B75282">
              <w:rPr>
                <w:rFonts w:ascii="標楷體" w:eastAsia="標楷體" w:hAnsi="標楷體" w:hint="eastAsia"/>
              </w:rPr>
              <w:t>券</w:t>
            </w:r>
            <w:proofErr w:type="gramEnd"/>
            <w:r w:rsidRPr="00B75282">
              <w:rPr>
                <w:rFonts w:ascii="標楷體" w:eastAsia="標楷體" w:hAnsi="標楷體" w:hint="eastAsia"/>
              </w:rPr>
              <w:t>賣出，</w:t>
            </w:r>
            <w:proofErr w:type="gramStart"/>
            <w:r w:rsidRPr="00B75282">
              <w:rPr>
                <w:rFonts w:ascii="標楷體" w:eastAsia="標楷體" w:hAnsi="標楷體" w:hint="eastAsia"/>
              </w:rPr>
              <w:t>增列非特定</w:t>
            </w:r>
            <w:proofErr w:type="gramEnd"/>
            <w:r w:rsidRPr="00B75282">
              <w:rPr>
                <w:rFonts w:ascii="標楷體" w:eastAsia="標楷體" w:hAnsi="標楷體" w:hint="eastAsia"/>
              </w:rPr>
              <w:t>機構法人及</w:t>
            </w:r>
            <w:r w:rsidR="007B58C8" w:rsidRPr="007B58C8">
              <w:rPr>
                <w:rFonts w:ascii="標楷體" w:eastAsia="標楷體" w:hAnsi="標楷體" w:hint="eastAsia"/>
              </w:rPr>
              <w:t>非</w:t>
            </w:r>
            <w:r w:rsidRPr="00B75282">
              <w:rPr>
                <w:rFonts w:ascii="標楷體" w:eastAsia="標楷體" w:hAnsi="標楷體" w:hint="eastAsia"/>
              </w:rPr>
              <w:t>特定境外外國機構投資人之借貸交易人應申報其股東之規範。</w:t>
            </w:r>
            <w:r w:rsidRPr="000F04F0">
              <w:rPr>
                <w:rFonts w:ascii="標楷體" w:eastAsia="標楷體" w:hAnsi="標楷體" w:hint="eastAsia"/>
              </w:rPr>
              <w:t>並將</w:t>
            </w:r>
            <w:r w:rsidR="00D64000" w:rsidRPr="000F04F0">
              <w:rPr>
                <w:rFonts w:ascii="標楷體" w:eastAsia="標楷體" w:hAnsi="標楷體" w:hint="eastAsia"/>
              </w:rPr>
              <w:t>原</w:t>
            </w:r>
            <w:r w:rsidR="002655BA" w:rsidRPr="000F04F0">
              <w:rPr>
                <w:rFonts w:ascii="標楷體" w:eastAsia="標楷體" w:hAnsi="標楷體" w:hint="eastAsia"/>
              </w:rPr>
              <w:t>金融監督管理委員會96年3月21日</w:t>
            </w:r>
            <w:proofErr w:type="gramStart"/>
            <w:r w:rsidRPr="000F04F0">
              <w:rPr>
                <w:rFonts w:ascii="標楷體" w:eastAsia="標楷體" w:hAnsi="標楷體" w:hint="eastAsia"/>
              </w:rPr>
              <w:t>金管證八字</w:t>
            </w:r>
            <w:proofErr w:type="gramEnd"/>
            <w:r w:rsidRPr="000F04F0">
              <w:rPr>
                <w:rFonts w:ascii="標楷體" w:eastAsia="標楷體" w:hAnsi="標楷體" w:hint="eastAsia"/>
              </w:rPr>
              <w:t>第09600008090號令</w:t>
            </w:r>
            <w:r w:rsidR="00C3223D" w:rsidRPr="000F04F0">
              <w:rPr>
                <w:rFonts w:ascii="標楷體" w:eastAsia="標楷體" w:hAnsi="標楷體" w:hint="eastAsia"/>
              </w:rPr>
              <w:t>(業於106年3</w:t>
            </w:r>
            <w:r w:rsidR="00C3223D" w:rsidRPr="000F04F0">
              <w:rPr>
                <w:rFonts w:ascii="標楷體" w:eastAsia="標楷體" w:hAnsi="標楷體" w:hint="eastAsia"/>
              </w:rPr>
              <w:lastRenderedPageBreak/>
              <w:t>月15日廢止)</w:t>
            </w:r>
            <w:r w:rsidRPr="000F04F0">
              <w:rPr>
                <w:rFonts w:ascii="標楷體" w:eastAsia="標楷體" w:hAnsi="標楷體" w:hint="eastAsia"/>
              </w:rPr>
              <w:t>所</w:t>
            </w:r>
            <w:r w:rsidRPr="00B75282">
              <w:rPr>
                <w:rFonts w:ascii="標楷體" w:eastAsia="標楷體" w:hAnsi="標楷體" w:hint="eastAsia"/>
              </w:rPr>
              <w:t>稱特定境外外國機構投資人增列於第二項。</w:t>
            </w:r>
          </w:p>
        </w:tc>
      </w:tr>
      <w:tr w:rsidR="00F0366F" w:rsidRPr="00F0366F" w:rsidTr="00B75282">
        <w:tc>
          <w:tcPr>
            <w:tcW w:w="2787" w:type="dxa"/>
          </w:tcPr>
          <w:p w:rsidR="004C73A1" w:rsidRPr="004C73A1" w:rsidRDefault="004C73A1" w:rsidP="00B75282">
            <w:pPr>
              <w:jc w:val="both"/>
              <w:rPr>
                <w:rFonts w:ascii="標楷體" w:eastAsia="標楷體" w:hAnsi="標楷體"/>
              </w:rPr>
            </w:pPr>
            <w:r w:rsidRPr="004C73A1">
              <w:rPr>
                <w:rFonts w:ascii="標楷體" w:eastAsia="標楷體" w:hAnsi="標楷體" w:hint="eastAsia"/>
              </w:rPr>
              <w:lastRenderedPageBreak/>
              <w:t>第二十五條</w:t>
            </w:r>
            <w:r w:rsidR="005624C0">
              <w:rPr>
                <w:rFonts w:ascii="標楷體" w:eastAsia="標楷體" w:hAnsi="標楷體" w:hint="eastAsia"/>
              </w:rPr>
              <w:t xml:space="preserve"> </w:t>
            </w:r>
            <w:r w:rsidRPr="004C73A1">
              <w:rPr>
                <w:rFonts w:ascii="標楷體" w:eastAsia="標楷體" w:hAnsi="標楷體" w:hint="eastAsia"/>
              </w:rPr>
              <w:t>有價證券借貸</w:t>
            </w:r>
            <w:proofErr w:type="gramStart"/>
            <w:r w:rsidRPr="004C73A1">
              <w:rPr>
                <w:rFonts w:ascii="標楷體" w:eastAsia="標楷體" w:hAnsi="標楷體" w:hint="eastAsia"/>
              </w:rPr>
              <w:t>期間，</w:t>
            </w:r>
            <w:proofErr w:type="gramEnd"/>
            <w:r w:rsidRPr="004C73A1">
              <w:rPr>
                <w:rFonts w:ascii="標楷體" w:eastAsia="標楷體" w:hAnsi="標楷體" w:hint="eastAsia"/>
              </w:rPr>
              <w:t>自借貸交易成交日起算，最長不得超過六個月。</w:t>
            </w:r>
          </w:p>
          <w:p w:rsidR="00A66C48" w:rsidRDefault="004C73A1" w:rsidP="00A66C48">
            <w:pPr>
              <w:ind w:firstLineChars="200" w:firstLine="480"/>
              <w:rPr>
                <w:rFonts w:ascii="標楷體" w:eastAsia="標楷體" w:hAnsi="標楷體"/>
                <w:sz w:val="20"/>
                <w:szCs w:val="20"/>
              </w:rPr>
            </w:pPr>
            <w:r w:rsidRPr="004C73A1">
              <w:rPr>
                <w:rFonts w:ascii="標楷體" w:eastAsia="標楷體" w:hAnsi="標楷體" w:hint="eastAsia"/>
              </w:rPr>
              <w:t>借</w:t>
            </w:r>
            <w:proofErr w:type="gramStart"/>
            <w:r w:rsidRPr="004C73A1">
              <w:rPr>
                <w:rFonts w:ascii="標楷體" w:eastAsia="標楷體" w:hAnsi="標楷體" w:hint="eastAsia"/>
              </w:rPr>
              <w:t>券</w:t>
            </w:r>
            <w:proofErr w:type="gramEnd"/>
            <w:r w:rsidRPr="004C73A1">
              <w:rPr>
                <w:rFonts w:ascii="標楷體" w:eastAsia="標楷體" w:hAnsi="標楷體" w:hint="eastAsia"/>
              </w:rPr>
              <w:t>人得於約定期限內隨時返還借</w:t>
            </w:r>
            <w:proofErr w:type="gramStart"/>
            <w:r w:rsidRPr="004C73A1">
              <w:rPr>
                <w:rFonts w:ascii="標楷體" w:eastAsia="標楷體" w:hAnsi="標楷體" w:hint="eastAsia"/>
              </w:rPr>
              <w:t>券</w:t>
            </w:r>
            <w:proofErr w:type="gramEnd"/>
            <w:r w:rsidRPr="004C73A1">
              <w:rPr>
                <w:rFonts w:ascii="標楷體" w:eastAsia="標楷體" w:hAnsi="標楷體" w:hint="eastAsia"/>
              </w:rPr>
              <w:t>。</w:t>
            </w:r>
          </w:p>
          <w:p w:rsidR="00A66C48" w:rsidRDefault="004C73A1" w:rsidP="00296A45">
            <w:pPr>
              <w:ind w:firstLineChars="200" w:firstLine="480"/>
              <w:jc w:val="both"/>
              <w:rPr>
                <w:rFonts w:ascii="標楷體" w:eastAsia="標楷體" w:hAnsi="標楷體"/>
                <w:sz w:val="20"/>
                <w:szCs w:val="20"/>
              </w:rPr>
            </w:pPr>
            <w:r w:rsidRPr="004C73A1">
              <w:rPr>
                <w:rFonts w:ascii="標楷體" w:eastAsia="標楷體" w:hAnsi="標楷體" w:hint="eastAsia"/>
              </w:rPr>
              <w:t>出借人無提前還</w:t>
            </w:r>
            <w:proofErr w:type="gramStart"/>
            <w:r w:rsidRPr="004C73A1">
              <w:rPr>
                <w:rFonts w:ascii="標楷體" w:eastAsia="標楷體" w:hAnsi="標楷體" w:hint="eastAsia"/>
              </w:rPr>
              <w:t>券</w:t>
            </w:r>
            <w:proofErr w:type="gramEnd"/>
            <w:r w:rsidRPr="004C73A1">
              <w:rPr>
                <w:rFonts w:ascii="標楷體" w:eastAsia="標楷體" w:hAnsi="標楷體" w:hint="eastAsia"/>
              </w:rPr>
              <w:t>要求時，借</w:t>
            </w:r>
            <w:proofErr w:type="gramStart"/>
            <w:r w:rsidRPr="004C73A1">
              <w:rPr>
                <w:rFonts w:ascii="標楷體" w:eastAsia="標楷體" w:hAnsi="標楷體" w:hint="eastAsia"/>
              </w:rPr>
              <w:t>券</w:t>
            </w:r>
            <w:proofErr w:type="gramEnd"/>
            <w:r w:rsidRPr="004C73A1">
              <w:rPr>
                <w:rFonts w:ascii="標楷體" w:eastAsia="標楷體" w:hAnsi="標楷體" w:hint="eastAsia"/>
              </w:rPr>
              <w:t>人得於借貸期限屆滿前第十</w:t>
            </w:r>
            <w:proofErr w:type="gramStart"/>
            <w:r w:rsidRPr="004C73A1">
              <w:rPr>
                <w:rFonts w:ascii="標楷體" w:eastAsia="標楷體" w:hAnsi="標楷體" w:hint="eastAsia"/>
              </w:rPr>
              <w:t>個</w:t>
            </w:r>
            <w:proofErr w:type="gramEnd"/>
            <w:r w:rsidRPr="004C73A1">
              <w:rPr>
                <w:rFonts w:ascii="標楷體" w:eastAsia="標楷體" w:hAnsi="標楷體" w:hint="eastAsia"/>
              </w:rPr>
              <w:t>營業日起至到期日止，經由本公司向出借人提出續借申請，出借人接到通知後未同意者視為拒絕。</w:t>
            </w:r>
          </w:p>
          <w:p w:rsidR="008C2509" w:rsidRDefault="004C73A1" w:rsidP="008C2509">
            <w:pPr>
              <w:ind w:firstLineChars="200" w:firstLine="480"/>
              <w:jc w:val="both"/>
              <w:rPr>
                <w:rFonts w:ascii="標楷體" w:eastAsia="標楷體" w:hAnsi="標楷體"/>
                <w:sz w:val="20"/>
                <w:szCs w:val="20"/>
              </w:rPr>
            </w:pPr>
            <w:r w:rsidRPr="004C73A1">
              <w:rPr>
                <w:rFonts w:ascii="標楷體" w:eastAsia="標楷體" w:hAnsi="標楷體" w:hint="eastAsia"/>
              </w:rPr>
              <w:t>前項續借申請除</w:t>
            </w:r>
            <w:r>
              <w:rPr>
                <w:rFonts w:ascii="標楷體" w:eastAsia="標楷體" w:hAnsi="標楷體" w:hint="eastAsia"/>
              </w:rPr>
              <w:t>借貸期間外，不得變更其他借貸條件，延長以</w:t>
            </w:r>
            <w:r w:rsidRPr="004C73A1">
              <w:rPr>
                <w:rFonts w:ascii="標楷體" w:eastAsia="標楷體" w:hAnsi="標楷體" w:hint="eastAsia"/>
                <w:u w:val="single"/>
              </w:rPr>
              <w:t>二</w:t>
            </w:r>
            <w:r w:rsidRPr="004C73A1">
              <w:rPr>
                <w:rFonts w:ascii="標楷體" w:eastAsia="標楷體" w:hAnsi="標楷體" w:hint="eastAsia"/>
              </w:rPr>
              <w:t>次為限</w:t>
            </w:r>
            <w:r w:rsidR="00763D6B" w:rsidRPr="00AB3BC0">
              <w:rPr>
                <w:rFonts w:ascii="標楷體" w:eastAsia="標楷體" w:hAnsi="標楷體" w:hint="eastAsia"/>
                <w:u w:val="single"/>
              </w:rPr>
              <w:t>，每次不</w:t>
            </w:r>
            <w:r w:rsidR="00D679DE">
              <w:rPr>
                <w:rFonts w:ascii="標楷體" w:eastAsia="標楷體" w:hAnsi="標楷體" w:hint="eastAsia"/>
                <w:u w:val="single"/>
              </w:rPr>
              <w:t>得</w:t>
            </w:r>
            <w:r w:rsidR="00763D6B" w:rsidRPr="00AB3BC0">
              <w:rPr>
                <w:rFonts w:ascii="標楷體" w:eastAsia="標楷體" w:hAnsi="標楷體" w:hint="eastAsia"/>
                <w:u w:val="single"/>
              </w:rPr>
              <w:t>超過六個月</w:t>
            </w:r>
            <w:r w:rsidRPr="004C73A1">
              <w:rPr>
                <w:rFonts w:ascii="標楷體" w:eastAsia="標楷體" w:hAnsi="標楷體" w:hint="eastAsia"/>
              </w:rPr>
              <w:t>。</w:t>
            </w:r>
          </w:p>
        </w:tc>
        <w:tc>
          <w:tcPr>
            <w:tcW w:w="2787" w:type="dxa"/>
          </w:tcPr>
          <w:p w:rsidR="004C73A1" w:rsidRPr="004C73A1" w:rsidRDefault="004C73A1" w:rsidP="00B75282">
            <w:pPr>
              <w:jc w:val="both"/>
              <w:rPr>
                <w:rFonts w:ascii="標楷體" w:eastAsia="標楷體" w:hAnsi="標楷體" w:cs="Times New Roman"/>
                <w:szCs w:val="24"/>
              </w:rPr>
            </w:pPr>
            <w:r w:rsidRPr="004C73A1">
              <w:rPr>
                <w:rFonts w:ascii="標楷體" w:eastAsia="標楷體" w:hAnsi="標楷體" w:cs="Times New Roman" w:hint="eastAsia"/>
                <w:szCs w:val="24"/>
              </w:rPr>
              <w:t>第二十五條有價證券借貸</w:t>
            </w:r>
            <w:proofErr w:type="gramStart"/>
            <w:r w:rsidRPr="004C73A1">
              <w:rPr>
                <w:rFonts w:ascii="標楷體" w:eastAsia="標楷體" w:hAnsi="標楷體" w:cs="Times New Roman" w:hint="eastAsia"/>
                <w:szCs w:val="24"/>
              </w:rPr>
              <w:t>期間，</w:t>
            </w:r>
            <w:proofErr w:type="gramEnd"/>
            <w:r w:rsidRPr="004C73A1">
              <w:rPr>
                <w:rFonts w:ascii="標楷體" w:eastAsia="標楷體" w:hAnsi="標楷體" w:cs="Times New Roman" w:hint="eastAsia"/>
                <w:szCs w:val="24"/>
              </w:rPr>
              <w:t>自借貸交易成交日起算，最長不得超過六個月。</w:t>
            </w:r>
          </w:p>
          <w:p w:rsidR="00A66C48" w:rsidRDefault="004C73A1" w:rsidP="00296A45">
            <w:pPr>
              <w:ind w:firstLineChars="200" w:firstLine="480"/>
              <w:jc w:val="both"/>
              <w:rPr>
                <w:rFonts w:ascii="標楷體" w:eastAsia="標楷體" w:hAnsi="標楷體" w:cs="Times New Roman"/>
                <w:sz w:val="20"/>
                <w:szCs w:val="24"/>
              </w:rPr>
            </w:pPr>
            <w:r w:rsidRPr="004C73A1">
              <w:rPr>
                <w:rFonts w:ascii="標楷體" w:eastAsia="標楷體" w:hAnsi="標楷體" w:cs="Times New Roman" w:hint="eastAsia"/>
                <w:szCs w:val="24"/>
              </w:rPr>
              <w:t>借</w:t>
            </w:r>
            <w:proofErr w:type="gramStart"/>
            <w:r w:rsidRPr="004C73A1">
              <w:rPr>
                <w:rFonts w:ascii="標楷體" w:eastAsia="標楷體" w:hAnsi="標楷體" w:cs="Times New Roman" w:hint="eastAsia"/>
                <w:szCs w:val="24"/>
              </w:rPr>
              <w:t>券</w:t>
            </w:r>
            <w:proofErr w:type="gramEnd"/>
            <w:r w:rsidRPr="004C73A1">
              <w:rPr>
                <w:rFonts w:ascii="標楷體" w:eastAsia="標楷體" w:hAnsi="標楷體" w:cs="Times New Roman" w:hint="eastAsia"/>
                <w:szCs w:val="24"/>
              </w:rPr>
              <w:t>人得於約定期限內隨時返還借</w:t>
            </w:r>
            <w:proofErr w:type="gramStart"/>
            <w:r w:rsidRPr="004C73A1">
              <w:rPr>
                <w:rFonts w:ascii="標楷體" w:eastAsia="標楷體" w:hAnsi="標楷體" w:cs="Times New Roman" w:hint="eastAsia"/>
                <w:szCs w:val="24"/>
              </w:rPr>
              <w:t>券</w:t>
            </w:r>
            <w:proofErr w:type="gramEnd"/>
            <w:r w:rsidRPr="004C73A1">
              <w:rPr>
                <w:rFonts w:ascii="標楷體" w:eastAsia="標楷體" w:hAnsi="標楷體" w:cs="Times New Roman" w:hint="eastAsia"/>
                <w:szCs w:val="24"/>
              </w:rPr>
              <w:t>。</w:t>
            </w:r>
          </w:p>
          <w:p w:rsidR="00A66C48" w:rsidRDefault="004C73A1" w:rsidP="00296A45">
            <w:pPr>
              <w:ind w:firstLineChars="200" w:firstLine="480"/>
              <w:jc w:val="both"/>
              <w:rPr>
                <w:rFonts w:ascii="標楷體" w:eastAsia="標楷體" w:hAnsi="標楷體" w:cs="Times New Roman"/>
                <w:sz w:val="20"/>
                <w:szCs w:val="24"/>
              </w:rPr>
            </w:pPr>
            <w:r w:rsidRPr="004C73A1">
              <w:rPr>
                <w:rFonts w:ascii="標楷體" w:eastAsia="標楷體" w:hAnsi="標楷體" w:cs="Times New Roman" w:hint="eastAsia"/>
                <w:szCs w:val="24"/>
              </w:rPr>
              <w:t>出借人無提前還</w:t>
            </w:r>
            <w:proofErr w:type="gramStart"/>
            <w:r w:rsidRPr="004C73A1">
              <w:rPr>
                <w:rFonts w:ascii="標楷體" w:eastAsia="標楷體" w:hAnsi="標楷體" w:cs="Times New Roman" w:hint="eastAsia"/>
                <w:szCs w:val="24"/>
              </w:rPr>
              <w:t>券</w:t>
            </w:r>
            <w:proofErr w:type="gramEnd"/>
            <w:r w:rsidRPr="004C73A1">
              <w:rPr>
                <w:rFonts w:ascii="標楷體" w:eastAsia="標楷體" w:hAnsi="標楷體" w:cs="Times New Roman" w:hint="eastAsia"/>
                <w:szCs w:val="24"/>
              </w:rPr>
              <w:t>要求時，借</w:t>
            </w:r>
            <w:proofErr w:type="gramStart"/>
            <w:r w:rsidRPr="004C73A1">
              <w:rPr>
                <w:rFonts w:ascii="標楷體" w:eastAsia="標楷體" w:hAnsi="標楷體" w:cs="Times New Roman" w:hint="eastAsia"/>
                <w:szCs w:val="24"/>
              </w:rPr>
              <w:t>券</w:t>
            </w:r>
            <w:proofErr w:type="gramEnd"/>
            <w:r w:rsidRPr="004C73A1">
              <w:rPr>
                <w:rFonts w:ascii="標楷體" w:eastAsia="標楷體" w:hAnsi="標楷體" w:cs="Times New Roman" w:hint="eastAsia"/>
                <w:szCs w:val="24"/>
              </w:rPr>
              <w:t>人得於借貸期限屆滿前第十</w:t>
            </w:r>
            <w:proofErr w:type="gramStart"/>
            <w:r w:rsidRPr="004C73A1">
              <w:rPr>
                <w:rFonts w:ascii="標楷體" w:eastAsia="標楷體" w:hAnsi="標楷體" w:cs="Times New Roman" w:hint="eastAsia"/>
                <w:szCs w:val="24"/>
              </w:rPr>
              <w:t>個</w:t>
            </w:r>
            <w:proofErr w:type="gramEnd"/>
            <w:r w:rsidRPr="004C73A1">
              <w:rPr>
                <w:rFonts w:ascii="標楷體" w:eastAsia="標楷體" w:hAnsi="標楷體" w:cs="Times New Roman" w:hint="eastAsia"/>
                <w:szCs w:val="24"/>
              </w:rPr>
              <w:t>營業日起至到期日止，經由本公司向出借人提出續借申請，出借人接到通知後未同意者視為拒絕。</w:t>
            </w:r>
          </w:p>
          <w:p w:rsidR="00A66C48" w:rsidRDefault="004C73A1" w:rsidP="00B75282">
            <w:pPr>
              <w:ind w:firstLineChars="200" w:firstLine="480"/>
              <w:jc w:val="both"/>
              <w:rPr>
                <w:rFonts w:ascii="標楷體" w:eastAsia="標楷體" w:hAnsi="標楷體" w:cs="Times New Roman"/>
                <w:sz w:val="20"/>
                <w:szCs w:val="24"/>
              </w:rPr>
            </w:pPr>
            <w:r w:rsidRPr="004C73A1">
              <w:rPr>
                <w:rFonts w:ascii="標楷體" w:eastAsia="標楷體" w:hAnsi="標楷體" w:cs="Times New Roman" w:hint="eastAsia"/>
                <w:szCs w:val="24"/>
              </w:rPr>
              <w:t>前項續借申請除借貸期間外，不得變更其他借貸條件，延長期間不得超過六個月，並以</w:t>
            </w:r>
            <w:r w:rsidRPr="00F465F4">
              <w:rPr>
                <w:rFonts w:ascii="標楷體" w:eastAsia="標楷體" w:hAnsi="標楷體" w:cs="Times New Roman" w:hint="eastAsia"/>
                <w:szCs w:val="24"/>
                <w:u w:val="single"/>
              </w:rPr>
              <w:t>一</w:t>
            </w:r>
            <w:r w:rsidRPr="004C73A1">
              <w:rPr>
                <w:rFonts w:ascii="標楷體" w:eastAsia="標楷體" w:hAnsi="標楷體" w:cs="Times New Roman" w:hint="eastAsia"/>
                <w:szCs w:val="24"/>
              </w:rPr>
              <w:t>次為限。</w:t>
            </w:r>
          </w:p>
        </w:tc>
        <w:tc>
          <w:tcPr>
            <w:tcW w:w="2788" w:type="dxa"/>
          </w:tcPr>
          <w:p w:rsidR="00F0366F" w:rsidRPr="00F0366F" w:rsidRDefault="00373DF0" w:rsidP="00B75282">
            <w:pPr>
              <w:jc w:val="both"/>
              <w:rPr>
                <w:rFonts w:ascii="標楷體" w:eastAsia="標楷體" w:hAnsi="標楷體"/>
              </w:rPr>
            </w:pPr>
            <w:r>
              <w:rPr>
                <w:rFonts w:ascii="標楷體" w:eastAsia="標楷體" w:hAnsi="標楷體" w:hint="eastAsia"/>
              </w:rPr>
              <w:t>配合證券商辦理有價證券借貸操作辦法第三條規定證券借貸期限展延次數得為二次，爰修正本條第四項規定，以提升借券管道一致性。</w:t>
            </w:r>
          </w:p>
        </w:tc>
      </w:tr>
      <w:tr w:rsidR="004C73A1" w:rsidRPr="00F0366F" w:rsidTr="00B75282">
        <w:tc>
          <w:tcPr>
            <w:tcW w:w="2787" w:type="dxa"/>
          </w:tcPr>
          <w:p w:rsidR="004C73A1" w:rsidRPr="00F0366F" w:rsidRDefault="004C73A1" w:rsidP="00B733DE">
            <w:pPr>
              <w:rPr>
                <w:rFonts w:ascii="標楷體" w:eastAsia="標楷體" w:hAnsi="標楷體"/>
              </w:rPr>
            </w:pPr>
            <w:r w:rsidRPr="00F0366F">
              <w:rPr>
                <w:rFonts w:ascii="標楷體" w:eastAsia="標楷體" w:hAnsi="標楷體" w:hint="eastAsia"/>
              </w:rPr>
              <w:t>第三十三條</w:t>
            </w:r>
            <w:r w:rsidR="005624C0">
              <w:rPr>
                <w:rFonts w:ascii="標楷體" w:eastAsia="標楷體" w:hAnsi="標楷體" w:hint="eastAsia"/>
              </w:rPr>
              <w:t xml:space="preserve"> </w:t>
            </w:r>
            <w:r w:rsidRPr="00F0366F">
              <w:rPr>
                <w:rFonts w:ascii="標楷體" w:eastAsia="標楷體" w:hAnsi="標楷體" w:hint="eastAsia"/>
              </w:rPr>
              <w:t>借</w:t>
            </w:r>
            <w:proofErr w:type="gramStart"/>
            <w:r w:rsidRPr="00F0366F">
              <w:rPr>
                <w:rFonts w:ascii="標楷體" w:eastAsia="標楷體" w:hAnsi="標楷體" w:hint="eastAsia"/>
              </w:rPr>
              <w:t>券</w:t>
            </w:r>
            <w:proofErr w:type="gramEnd"/>
            <w:r w:rsidRPr="00F0366F">
              <w:rPr>
                <w:rFonts w:ascii="標楷體" w:eastAsia="標楷體" w:hAnsi="標楷體" w:hint="eastAsia"/>
              </w:rPr>
              <w:t>人委託</w:t>
            </w:r>
            <w:r w:rsidRPr="00F0366F">
              <w:rPr>
                <w:rFonts w:ascii="標楷體" w:eastAsia="標楷體" w:hAnsi="標楷體" w:hint="eastAsia"/>
              </w:rPr>
              <w:lastRenderedPageBreak/>
              <w:t>證券商為定價、競價交易之借</w:t>
            </w:r>
            <w:proofErr w:type="gramStart"/>
            <w:r w:rsidRPr="00F0366F">
              <w:rPr>
                <w:rFonts w:ascii="標楷體" w:eastAsia="標楷體" w:hAnsi="標楷體" w:hint="eastAsia"/>
              </w:rPr>
              <w:t>券</w:t>
            </w:r>
            <w:proofErr w:type="gramEnd"/>
            <w:r w:rsidRPr="00F0366F">
              <w:rPr>
                <w:rFonts w:ascii="標楷體" w:eastAsia="標楷體" w:hAnsi="標楷體" w:hint="eastAsia"/>
              </w:rPr>
              <w:t>申報時，應依規定提供足額適格擔保品，其種類以下列為限：</w:t>
            </w:r>
          </w:p>
          <w:p w:rsidR="00437A8D" w:rsidRDefault="00932515" w:rsidP="00296A45">
            <w:pPr>
              <w:ind w:leftChars="100" w:left="720" w:hangingChars="200" w:hanging="480"/>
              <w:jc w:val="both"/>
              <w:rPr>
                <w:rFonts w:ascii="標楷體" w:eastAsia="標楷體" w:hAnsi="標楷體"/>
              </w:rPr>
            </w:pPr>
            <w:r w:rsidRPr="00F0366F">
              <w:rPr>
                <w:rFonts w:ascii="標楷體" w:eastAsia="標楷體" w:hAnsi="標楷體" w:cs="Times New Roman" w:hint="eastAsia"/>
                <w:szCs w:val="24"/>
              </w:rPr>
              <w:t>一、現金：以新</w:t>
            </w:r>
            <w:r w:rsidR="007B4E91" w:rsidRPr="007B4E91">
              <w:rPr>
                <w:rFonts w:ascii="標楷體" w:eastAsia="標楷體" w:hAnsi="標楷體" w:cs="Times New Roman" w:hint="eastAsia"/>
                <w:szCs w:val="24"/>
                <w:u w:val="single"/>
              </w:rPr>
              <w:t>臺</w:t>
            </w:r>
            <w:r w:rsidRPr="00F0366F">
              <w:rPr>
                <w:rFonts w:ascii="標楷體" w:eastAsia="標楷體" w:hAnsi="標楷體" w:cs="Times New Roman" w:hint="eastAsia"/>
                <w:szCs w:val="24"/>
              </w:rPr>
              <w:t>幣為限。但</w:t>
            </w:r>
            <w:r w:rsidRPr="00B473CF">
              <w:rPr>
                <w:rFonts w:ascii="標楷體" w:eastAsia="標楷體" w:hAnsi="標楷體" w:cs="Times New Roman" w:hint="eastAsia"/>
                <w:szCs w:val="24"/>
              </w:rPr>
              <w:t>境外</w:t>
            </w:r>
            <w:r w:rsidRPr="00F0366F">
              <w:rPr>
                <w:rFonts w:ascii="標楷體" w:eastAsia="標楷體" w:hAnsi="標楷體" w:cs="Times New Roman" w:hint="eastAsia"/>
                <w:szCs w:val="24"/>
              </w:rPr>
              <w:t>外國機構投資人及證券商、證券金融事業之證券借貸專戶得以</w:t>
            </w:r>
            <w:r w:rsidR="00891F0F" w:rsidRPr="00891F0F">
              <w:rPr>
                <w:rFonts w:ascii="標楷體" w:eastAsia="標楷體" w:hAnsi="標楷體" w:cs="Times New Roman" w:hint="eastAsia"/>
                <w:szCs w:val="24"/>
              </w:rPr>
              <w:t>外幣為擔保品</w:t>
            </w:r>
            <w:r w:rsidR="0073799E">
              <w:rPr>
                <w:rFonts w:ascii="標楷體" w:eastAsia="標楷體" w:hAnsi="標楷體" w:cs="Times New Roman" w:hint="eastAsia"/>
                <w:szCs w:val="24"/>
                <w:u w:val="single"/>
              </w:rPr>
              <w:t>，</w:t>
            </w:r>
            <w:r w:rsidR="00891F0F" w:rsidRPr="00891F0F">
              <w:rPr>
                <w:rFonts w:ascii="標楷體" w:eastAsia="標楷體" w:hAnsi="標楷體" w:cs="Times New Roman" w:hint="eastAsia"/>
                <w:szCs w:val="24"/>
                <w:u w:val="single"/>
              </w:rPr>
              <w:t>外幣種類</w:t>
            </w:r>
            <w:r w:rsidR="00891F0F">
              <w:rPr>
                <w:rFonts w:ascii="標楷體" w:eastAsia="標楷體" w:hAnsi="標楷體" w:cs="Times New Roman" w:hint="eastAsia"/>
                <w:szCs w:val="24"/>
              </w:rPr>
              <w:t>以</w:t>
            </w:r>
            <w:r w:rsidRPr="00F0366F">
              <w:rPr>
                <w:rFonts w:ascii="標楷體" w:eastAsia="標楷體" w:hAnsi="標楷體" w:cs="Times New Roman" w:hint="eastAsia"/>
                <w:szCs w:val="24"/>
              </w:rPr>
              <w:t>美元、歐元、日幣、</w:t>
            </w:r>
            <w:proofErr w:type="gramStart"/>
            <w:r w:rsidRPr="00F0366F">
              <w:rPr>
                <w:rFonts w:ascii="標楷體" w:eastAsia="標楷體" w:hAnsi="標楷體" w:cs="Times New Roman" w:hint="eastAsia"/>
                <w:szCs w:val="24"/>
              </w:rPr>
              <w:t>英鎊、</w:t>
            </w:r>
            <w:proofErr w:type="gramEnd"/>
            <w:r w:rsidRPr="00F0366F">
              <w:rPr>
                <w:rFonts w:ascii="標楷體" w:eastAsia="標楷體" w:hAnsi="標楷體" w:cs="Times New Roman" w:hint="eastAsia"/>
                <w:szCs w:val="24"/>
              </w:rPr>
              <w:t>澳幣及港幣</w:t>
            </w:r>
            <w:r w:rsidRPr="00932515">
              <w:rPr>
                <w:rFonts w:ascii="標楷體" w:eastAsia="標楷體" w:hAnsi="標楷體" w:cs="Times New Roman" w:hint="eastAsia"/>
                <w:szCs w:val="24"/>
              </w:rPr>
              <w:t>為</w:t>
            </w:r>
            <w:r w:rsidR="00891F0F">
              <w:rPr>
                <w:rFonts w:ascii="標楷體" w:eastAsia="標楷體" w:hAnsi="標楷體" w:cs="Times New Roman" w:hint="eastAsia"/>
                <w:szCs w:val="24"/>
              </w:rPr>
              <w:t>限</w:t>
            </w:r>
            <w:r w:rsidRPr="00F0366F">
              <w:rPr>
                <w:rFonts w:ascii="標楷體" w:eastAsia="標楷體" w:hAnsi="標楷體" w:cs="Times New Roman" w:hint="eastAsia"/>
                <w:szCs w:val="24"/>
              </w:rPr>
              <w:t>。</w:t>
            </w:r>
          </w:p>
          <w:p w:rsidR="00B75282" w:rsidRDefault="004C73A1" w:rsidP="001F6BC3">
            <w:pPr>
              <w:ind w:leftChars="100" w:left="720" w:hangingChars="200" w:hanging="480"/>
              <w:jc w:val="both"/>
              <w:rPr>
                <w:rFonts w:ascii="標楷體" w:eastAsia="標楷體" w:hAnsi="標楷體"/>
                <w:u w:val="single"/>
              </w:rPr>
            </w:pPr>
            <w:r w:rsidRPr="00F0366F">
              <w:rPr>
                <w:rFonts w:ascii="標楷體" w:eastAsia="標楷體" w:hAnsi="標楷體" w:hint="eastAsia"/>
              </w:rPr>
              <w:t>二、</w:t>
            </w:r>
            <w:r w:rsidR="00B75282" w:rsidRPr="00B75282">
              <w:rPr>
                <w:rFonts w:ascii="標楷體" w:eastAsia="標楷體" w:hAnsi="標楷體" w:hint="eastAsia"/>
              </w:rPr>
              <w:t>擔保證券：</w:t>
            </w:r>
            <w:r w:rsidR="00891F0F" w:rsidRPr="00891F0F">
              <w:rPr>
                <w:rFonts w:ascii="標楷體" w:eastAsia="標楷體" w:hAnsi="標楷體" w:hint="eastAsia"/>
                <w:u w:val="single"/>
              </w:rPr>
              <w:t>以</w:t>
            </w:r>
            <w:r w:rsidR="00C95F3E" w:rsidRPr="00C95F3E">
              <w:rPr>
                <w:rFonts w:ascii="標楷體" w:eastAsia="標楷體" w:hAnsi="標楷體" w:hint="eastAsia"/>
              </w:rPr>
              <w:t>得為融資融券交易之有價證券</w:t>
            </w:r>
            <w:r w:rsidR="00891F0F" w:rsidRPr="00891F0F">
              <w:rPr>
                <w:rFonts w:ascii="標楷體" w:eastAsia="標楷體" w:hAnsi="標楷體" w:hint="eastAsia"/>
                <w:u w:val="single"/>
              </w:rPr>
              <w:t>為限</w:t>
            </w:r>
            <w:r w:rsidR="00C95F3E" w:rsidRPr="00C95F3E">
              <w:rPr>
                <w:rFonts w:ascii="標楷體" w:eastAsia="標楷體" w:hAnsi="標楷體" w:hint="eastAsia"/>
                <w:u w:val="single"/>
              </w:rPr>
              <w:t>，</w:t>
            </w:r>
            <w:r w:rsidR="00C95F3E">
              <w:rPr>
                <w:rFonts w:ascii="標楷體" w:eastAsia="標楷體" w:hAnsi="標楷體" w:hint="eastAsia"/>
                <w:u w:val="single"/>
              </w:rPr>
              <w:t>惟非屬</w:t>
            </w:r>
            <w:r w:rsidR="00B75282" w:rsidRPr="00B75282">
              <w:rPr>
                <w:rFonts w:ascii="標楷體" w:eastAsia="標楷體" w:hAnsi="標楷體" w:hint="eastAsia"/>
                <w:u w:val="single"/>
              </w:rPr>
              <w:t>第十</w:t>
            </w:r>
            <w:r w:rsidR="00296A45">
              <w:rPr>
                <w:rFonts w:ascii="標楷體" w:eastAsia="標楷體" w:hAnsi="標楷體" w:hint="eastAsia"/>
                <w:u w:val="single"/>
              </w:rPr>
              <w:t>二</w:t>
            </w:r>
            <w:r w:rsidR="00B75282" w:rsidRPr="00B75282">
              <w:rPr>
                <w:rFonts w:ascii="標楷體" w:eastAsia="標楷體" w:hAnsi="標楷體" w:hint="eastAsia"/>
                <w:u w:val="single"/>
              </w:rPr>
              <w:t>條</w:t>
            </w:r>
            <w:r w:rsidR="00B75282">
              <w:rPr>
                <w:rFonts w:ascii="標楷體" w:eastAsia="標楷體" w:hAnsi="標楷體" w:hint="eastAsia"/>
                <w:u w:val="single"/>
              </w:rPr>
              <w:t>之一</w:t>
            </w:r>
            <w:r w:rsidR="006B5DE0">
              <w:rPr>
                <w:rFonts w:ascii="標楷體" w:eastAsia="標楷體" w:hAnsi="標楷體" w:hint="eastAsia"/>
                <w:u w:val="single"/>
              </w:rPr>
              <w:t>所列特定機構投資</w:t>
            </w:r>
            <w:r w:rsidR="00B75282" w:rsidRPr="00B75282">
              <w:rPr>
                <w:rFonts w:ascii="標楷體" w:eastAsia="標楷體" w:hAnsi="標楷體" w:hint="eastAsia"/>
                <w:u w:val="single"/>
              </w:rPr>
              <w:t>人及特定境外外國機構投資人</w:t>
            </w:r>
            <w:r w:rsidR="00C95F3E">
              <w:rPr>
                <w:rFonts w:ascii="標楷體" w:eastAsia="標楷體" w:hAnsi="標楷體" w:hint="eastAsia"/>
                <w:u w:val="single"/>
              </w:rPr>
              <w:t>者</w:t>
            </w:r>
            <w:r w:rsidR="00B75282" w:rsidRPr="00B75282">
              <w:rPr>
                <w:rFonts w:ascii="標楷體" w:eastAsia="標楷體" w:hAnsi="標楷體" w:hint="eastAsia"/>
                <w:u w:val="single"/>
              </w:rPr>
              <w:t>，以</w:t>
            </w:r>
            <w:r w:rsidR="001B2E77">
              <w:rPr>
                <w:rFonts w:ascii="標楷體" w:eastAsia="標楷體" w:hAnsi="標楷體" w:hint="eastAsia"/>
                <w:u w:val="single"/>
              </w:rPr>
              <w:t>臺灣五十指數</w:t>
            </w:r>
            <w:r w:rsidR="00B75282" w:rsidRPr="00B75282">
              <w:rPr>
                <w:rFonts w:ascii="標楷體" w:eastAsia="標楷體" w:hAnsi="標楷體" w:hint="eastAsia"/>
                <w:u w:val="single"/>
              </w:rPr>
              <w:t>成分股</w:t>
            </w:r>
            <w:r w:rsidR="001F6BC3">
              <w:rPr>
                <w:rFonts w:ascii="標楷體" w:eastAsia="標楷體" w:hAnsi="標楷體" w:hint="eastAsia"/>
                <w:u w:val="single"/>
              </w:rPr>
              <w:t>及</w:t>
            </w:r>
            <w:r w:rsidR="001B2E77">
              <w:rPr>
                <w:rFonts w:ascii="標楷體" w:eastAsia="標楷體" w:hAnsi="標楷體" w:hint="eastAsia"/>
                <w:u w:val="single"/>
              </w:rPr>
              <w:t>該指數發行之</w:t>
            </w:r>
            <w:r w:rsidR="001F6BC3" w:rsidRPr="001F6BC3">
              <w:rPr>
                <w:rFonts w:ascii="標楷體" w:eastAsia="標楷體" w:hAnsi="標楷體" w:hint="eastAsia"/>
                <w:u w:val="single"/>
              </w:rPr>
              <w:t>證券投資信託基金受益憑證</w:t>
            </w:r>
            <w:r w:rsidR="00B75282" w:rsidRPr="00B75282">
              <w:rPr>
                <w:rFonts w:ascii="標楷體" w:eastAsia="標楷體" w:hAnsi="標楷體" w:hint="eastAsia"/>
                <w:u w:val="single"/>
              </w:rPr>
              <w:t>為限。</w:t>
            </w:r>
          </w:p>
          <w:p w:rsidR="00A66C48" w:rsidRDefault="004C73A1" w:rsidP="00A66C48">
            <w:pPr>
              <w:ind w:leftChars="100" w:left="720" w:hangingChars="200" w:hanging="480"/>
              <w:rPr>
                <w:rFonts w:ascii="標楷體" w:eastAsia="標楷體" w:hAnsi="標楷體"/>
                <w:sz w:val="20"/>
                <w:szCs w:val="20"/>
              </w:rPr>
            </w:pPr>
            <w:r w:rsidRPr="00F0366F">
              <w:rPr>
                <w:rFonts w:ascii="標楷體" w:eastAsia="標楷體" w:hAnsi="標楷體" w:hint="eastAsia"/>
              </w:rPr>
              <w:t>三、銀行保證</w:t>
            </w:r>
            <w:r w:rsidR="00A312BB" w:rsidRPr="00A312BB">
              <w:rPr>
                <w:rFonts w:ascii="標楷體" w:eastAsia="標楷體" w:hAnsi="標楷體" w:hint="eastAsia"/>
                <w:u w:val="single"/>
              </w:rPr>
              <w:t>：以本公司</w:t>
            </w:r>
            <w:r w:rsidR="005624C0">
              <w:rPr>
                <w:rFonts w:ascii="標楷體" w:eastAsia="標楷體" w:hAnsi="標楷體" w:hint="eastAsia"/>
                <w:u w:val="single"/>
              </w:rPr>
              <w:t>公告</w:t>
            </w:r>
            <w:r w:rsidR="00A312BB" w:rsidRPr="00A312BB">
              <w:rPr>
                <w:rFonts w:ascii="標楷體" w:eastAsia="標楷體" w:hAnsi="標楷體" w:hint="eastAsia"/>
                <w:u w:val="single"/>
              </w:rPr>
              <w:t>認可之本國銀行或外國銀行在台分</w:t>
            </w:r>
            <w:r w:rsidR="004A5902">
              <w:rPr>
                <w:rFonts w:ascii="標楷體" w:eastAsia="標楷體" w:hAnsi="標楷體" w:hint="eastAsia"/>
                <w:u w:val="single"/>
              </w:rPr>
              <w:t>行</w:t>
            </w:r>
            <w:r w:rsidR="00A312BB" w:rsidRPr="00A312BB">
              <w:rPr>
                <w:rFonts w:ascii="標楷體" w:eastAsia="標楷體" w:hAnsi="標楷體" w:hint="eastAsia"/>
                <w:u w:val="single"/>
              </w:rPr>
              <w:t>所</w:t>
            </w:r>
            <w:proofErr w:type="gramStart"/>
            <w:r w:rsidR="00A312BB" w:rsidRPr="00A312BB">
              <w:rPr>
                <w:rFonts w:ascii="標楷體" w:eastAsia="標楷體" w:hAnsi="標楷體" w:hint="eastAsia"/>
                <w:u w:val="single"/>
              </w:rPr>
              <w:t>開立者為限</w:t>
            </w:r>
            <w:proofErr w:type="gramEnd"/>
            <w:r w:rsidRPr="00F0366F">
              <w:rPr>
                <w:rFonts w:ascii="標楷體" w:eastAsia="標楷體" w:hAnsi="標楷體" w:hint="eastAsia"/>
              </w:rPr>
              <w:t>。</w:t>
            </w:r>
          </w:p>
          <w:p w:rsidR="00A66C48" w:rsidRDefault="004C73A1" w:rsidP="00A66C48">
            <w:pPr>
              <w:ind w:leftChars="100" w:left="720" w:hangingChars="200" w:hanging="480"/>
              <w:rPr>
                <w:rFonts w:ascii="標楷體" w:eastAsia="標楷體" w:hAnsi="標楷體"/>
                <w:sz w:val="20"/>
                <w:szCs w:val="20"/>
              </w:rPr>
            </w:pPr>
            <w:r w:rsidRPr="00F0366F">
              <w:rPr>
                <w:rFonts w:ascii="標楷體" w:eastAsia="標楷體" w:hAnsi="標楷體" w:hint="eastAsia"/>
              </w:rPr>
              <w:t>四、中央登錄公債。</w:t>
            </w:r>
          </w:p>
          <w:p w:rsidR="00A66C48" w:rsidRDefault="004C73A1" w:rsidP="00A66C48">
            <w:pPr>
              <w:jc w:val="center"/>
              <w:rPr>
                <w:rFonts w:ascii="標楷體" w:eastAsia="標楷體" w:hAnsi="標楷體"/>
                <w:sz w:val="20"/>
                <w:szCs w:val="20"/>
              </w:rPr>
            </w:pPr>
            <w:r w:rsidRPr="00F0366F">
              <w:rPr>
                <w:rFonts w:ascii="標楷體" w:eastAsia="標楷體" w:hAnsi="標楷體" w:hint="eastAsia"/>
              </w:rPr>
              <w:t>(以下略)</w:t>
            </w:r>
          </w:p>
        </w:tc>
        <w:tc>
          <w:tcPr>
            <w:tcW w:w="2787" w:type="dxa"/>
          </w:tcPr>
          <w:p w:rsidR="004C73A1" w:rsidRPr="00F0366F" w:rsidRDefault="004C73A1" w:rsidP="00B75282">
            <w:pPr>
              <w:jc w:val="both"/>
              <w:rPr>
                <w:rFonts w:ascii="標楷體" w:eastAsia="標楷體" w:hAnsi="標楷體" w:cs="Times New Roman"/>
                <w:szCs w:val="24"/>
              </w:rPr>
            </w:pPr>
            <w:r w:rsidRPr="00F0366F">
              <w:rPr>
                <w:rFonts w:ascii="標楷體" w:eastAsia="標楷體" w:hAnsi="標楷體" w:cs="Times New Roman" w:hint="eastAsia"/>
                <w:szCs w:val="24"/>
              </w:rPr>
              <w:lastRenderedPageBreak/>
              <w:t>第三十三條借</w:t>
            </w:r>
            <w:proofErr w:type="gramStart"/>
            <w:r w:rsidRPr="00F0366F">
              <w:rPr>
                <w:rFonts w:ascii="標楷體" w:eastAsia="標楷體" w:hAnsi="標楷體" w:cs="Times New Roman" w:hint="eastAsia"/>
                <w:szCs w:val="24"/>
              </w:rPr>
              <w:t>券</w:t>
            </w:r>
            <w:proofErr w:type="gramEnd"/>
            <w:r w:rsidRPr="00F0366F">
              <w:rPr>
                <w:rFonts w:ascii="標楷體" w:eastAsia="標楷體" w:hAnsi="標楷體" w:cs="Times New Roman" w:hint="eastAsia"/>
                <w:szCs w:val="24"/>
              </w:rPr>
              <w:t>人委託</w:t>
            </w:r>
            <w:r w:rsidRPr="00F0366F">
              <w:rPr>
                <w:rFonts w:ascii="標楷體" w:eastAsia="標楷體" w:hAnsi="標楷體" w:cs="Times New Roman" w:hint="eastAsia"/>
                <w:szCs w:val="24"/>
              </w:rPr>
              <w:lastRenderedPageBreak/>
              <w:t>證券商為定價、競價交易之借</w:t>
            </w:r>
            <w:proofErr w:type="gramStart"/>
            <w:r w:rsidRPr="00F0366F">
              <w:rPr>
                <w:rFonts w:ascii="標楷體" w:eastAsia="標楷體" w:hAnsi="標楷體" w:cs="Times New Roman" w:hint="eastAsia"/>
                <w:szCs w:val="24"/>
              </w:rPr>
              <w:t>券</w:t>
            </w:r>
            <w:proofErr w:type="gramEnd"/>
            <w:r w:rsidRPr="00F0366F">
              <w:rPr>
                <w:rFonts w:ascii="標楷體" w:eastAsia="標楷體" w:hAnsi="標楷體" w:cs="Times New Roman" w:hint="eastAsia"/>
                <w:szCs w:val="24"/>
              </w:rPr>
              <w:t>申報時，應依規定提供足額適格擔保品，其種類以下列為限：</w:t>
            </w:r>
          </w:p>
          <w:p w:rsidR="00A66C48" w:rsidRDefault="004C73A1" w:rsidP="00B75282">
            <w:pPr>
              <w:ind w:leftChars="100" w:left="720" w:hangingChars="200" w:hanging="480"/>
              <w:jc w:val="both"/>
              <w:rPr>
                <w:rFonts w:ascii="標楷體" w:eastAsia="標楷體" w:hAnsi="標楷體" w:cs="Times New Roman"/>
                <w:sz w:val="20"/>
                <w:szCs w:val="24"/>
              </w:rPr>
            </w:pPr>
            <w:r w:rsidRPr="00F0366F">
              <w:rPr>
                <w:rFonts w:ascii="標楷體" w:eastAsia="標楷體" w:hAnsi="標楷體" w:cs="Times New Roman" w:hint="eastAsia"/>
                <w:szCs w:val="24"/>
              </w:rPr>
              <w:t>一、現金：以新台幣為限。但</w:t>
            </w:r>
            <w:r w:rsidRPr="00F0366F">
              <w:rPr>
                <w:rFonts w:ascii="標楷體" w:eastAsia="標楷體" w:hAnsi="標楷體" w:cs="Times New Roman" w:hint="eastAsia"/>
                <w:szCs w:val="24"/>
                <w:u w:val="single"/>
              </w:rPr>
              <w:t>特定</w:t>
            </w:r>
            <w:r w:rsidRPr="00B473CF">
              <w:rPr>
                <w:rFonts w:ascii="標楷體" w:eastAsia="標楷體" w:hAnsi="標楷體" w:cs="Times New Roman" w:hint="eastAsia"/>
                <w:szCs w:val="24"/>
              </w:rPr>
              <w:t>境外</w:t>
            </w:r>
            <w:r w:rsidRPr="00F0366F">
              <w:rPr>
                <w:rFonts w:ascii="標楷體" w:eastAsia="標楷體" w:hAnsi="標楷體" w:cs="Times New Roman" w:hint="eastAsia"/>
                <w:szCs w:val="24"/>
              </w:rPr>
              <w:t>外國機構投資人及證券商、證券金融事業之證券借貸專戶得以</w:t>
            </w:r>
            <w:r w:rsidR="00A66C48" w:rsidRPr="00891F0F">
              <w:rPr>
                <w:rFonts w:ascii="標楷體" w:eastAsia="標楷體" w:hAnsi="標楷體" w:cs="Times New Roman" w:hint="eastAsia"/>
                <w:szCs w:val="24"/>
              </w:rPr>
              <w:t>外幣為擔保品</w:t>
            </w:r>
            <w:r w:rsidR="00A66C48" w:rsidRPr="00A66C48">
              <w:rPr>
                <w:rFonts w:ascii="標楷體" w:eastAsia="標楷體" w:hAnsi="標楷體" w:cs="Times New Roman" w:hint="eastAsia"/>
                <w:szCs w:val="24"/>
                <w:u w:val="single"/>
              </w:rPr>
              <w:t>，惟</w:t>
            </w:r>
            <w:r w:rsidR="00A66C48" w:rsidRPr="00891F0F">
              <w:rPr>
                <w:rFonts w:ascii="標楷體" w:eastAsia="標楷體" w:hAnsi="標楷體" w:cs="Times New Roman" w:hint="eastAsia"/>
                <w:szCs w:val="24"/>
              </w:rPr>
              <w:t>以</w:t>
            </w:r>
            <w:r w:rsidRPr="00F0366F">
              <w:rPr>
                <w:rFonts w:ascii="標楷體" w:eastAsia="標楷體" w:hAnsi="標楷體" w:cs="Times New Roman" w:hint="eastAsia"/>
                <w:szCs w:val="24"/>
              </w:rPr>
              <w:t>美元、歐元、日幣、</w:t>
            </w:r>
            <w:proofErr w:type="gramStart"/>
            <w:r w:rsidRPr="00F0366F">
              <w:rPr>
                <w:rFonts w:ascii="標楷體" w:eastAsia="標楷體" w:hAnsi="標楷體" w:cs="Times New Roman" w:hint="eastAsia"/>
                <w:szCs w:val="24"/>
              </w:rPr>
              <w:t>英鎊、</w:t>
            </w:r>
            <w:proofErr w:type="gramEnd"/>
            <w:r w:rsidRPr="00F0366F">
              <w:rPr>
                <w:rFonts w:ascii="標楷體" w:eastAsia="標楷體" w:hAnsi="標楷體" w:cs="Times New Roman" w:hint="eastAsia"/>
                <w:szCs w:val="24"/>
              </w:rPr>
              <w:t>澳幣及港幣</w:t>
            </w:r>
            <w:r w:rsidRPr="00891F0F">
              <w:rPr>
                <w:rFonts w:ascii="標楷體" w:eastAsia="標楷體" w:hAnsi="標楷體" w:cs="Times New Roman" w:hint="eastAsia"/>
                <w:szCs w:val="24"/>
                <w:u w:val="single"/>
              </w:rPr>
              <w:t>等六種外幣</w:t>
            </w:r>
            <w:r w:rsidRPr="00891F0F">
              <w:rPr>
                <w:rFonts w:ascii="標楷體" w:eastAsia="標楷體" w:hAnsi="標楷體" w:cs="Times New Roman" w:hint="eastAsia"/>
                <w:szCs w:val="24"/>
              </w:rPr>
              <w:t>為</w:t>
            </w:r>
            <w:r w:rsidR="00A66C48" w:rsidRPr="00891F0F">
              <w:rPr>
                <w:rFonts w:ascii="標楷體" w:eastAsia="標楷體" w:hAnsi="標楷體" w:cs="Times New Roman" w:hint="eastAsia"/>
                <w:szCs w:val="24"/>
              </w:rPr>
              <w:t>限</w:t>
            </w:r>
            <w:r w:rsidRPr="00F0366F">
              <w:rPr>
                <w:rFonts w:ascii="標楷體" w:eastAsia="標楷體" w:hAnsi="標楷體" w:cs="Times New Roman" w:hint="eastAsia"/>
                <w:szCs w:val="24"/>
              </w:rPr>
              <w:t>。</w:t>
            </w:r>
          </w:p>
          <w:p w:rsidR="00A66C48" w:rsidRDefault="004C73A1" w:rsidP="00A66C48">
            <w:pPr>
              <w:ind w:leftChars="100" w:left="720" w:hangingChars="200" w:hanging="480"/>
              <w:rPr>
                <w:rFonts w:ascii="標楷體" w:eastAsia="標楷體" w:hAnsi="標楷體" w:cs="Times New Roman"/>
                <w:sz w:val="20"/>
                <w:szCs w:val="24"/>
              </w:rPr>
            </w:pPr>
            <w:r w:rsidRPr="00F0366F">
              <w:rPr>
                <w:rFonts w:ascii="標楷體" w:eastAsia="標楷體" w:hAnsi="標楷體" w:cs="Times New Roman" w:hint="eastAsia"/>
                <w:szCs w:val="24"/>
              </w:rPr>
              <w:t>二、擔保證券：</w:t>
            </w:r>
            <w:r w:rsidRPr="00891F0F">
              <w:rPr>
                <w:rFonts w:ascii="標楷體" w:eastAsia="標楷體" w:hAnsi="標楷體" w:cs="Times New Roman" w:hint="eastAsia"/>
                <w:szCs w:val="24"/>
                <w:u w:val="single"/>
              </w:rPr>
              <w:t>限</w:t>
            </w:r>
            <w:r w:rsidRPr="00F0366F">
              <w:rPr>
                <w:rFonts w:ascii="標楷體" w:eastAsia="標楷體" w:hAnsi="標楷體" w:cs="Times New Roman" w:hint="eastAsia"/>
                <w:szCs w:val="24"/>
              </w:rPr>
              <w:t>得為融資融券交易之有價證券。</w:t>
            </w:r>
          </w:p>
          <w:p w:rsidR="00A66C48" w:rsidRDefault="004C73A1" w:rsidP="00A66C48">
            <w:pPr>
              <w:ind w:leftChars="100" w:left="720" w:hangingChars="200" w:hanging="480"/>
              <w:rPr>
                <w:rFonts w:ascii="標楷體" w:eastAsia="標楷體" w:hAnsi="標楷體" w:cs="Times New Roman"/>
                <w:sz w:val="20"/>
                <w:szCs w:val="24"/>
              </w:rPr>
            </w:pPr>
            <w:r w:rsidRPr="00F0366F">
              <w:rPr>
                <w:rFonts w:ascii="標楷體" w:eastAsia="標楷體" w:hAnsi="標楷體" w:cs="Times New Roman" w:hint="eastAsia"/>
                <w:szCs w:val="24"/>
              </w:rPr>
              <w:t>三、銀行保證。</w:t>
            </w:r>
          </w:p>
          <w:p w:rsidR="00A66C48" w:rsidRDefault="004C73A1" w:rsidP="00A66C48">
            <w:pPr>
              <w:ind w:leftChars="100" w:left="720" w:hangingChars="200" w:hanging="480"/>
              <w:rPr>
                <w:rFonts w:ascii="標楷體" w:eastAsia="標楷體" w:hAnsi="標楷體" w:cs="Times New Roman"/>
                <w:sz w:val="20"/>
                <w:szCs w:val="24"/>
              </w:rPr>
            </w:pPr>
            <w:r w:rsidRPr="00F0366F">
              <w:rPr>
                <w:rFonts w:ascii="標楷體" w:eastAsia="標楷體" w:hAnsi="標楷體" w:cs="Times New Roman" w:hint="eastAsia"/>
                <w:szCs w:val="24"/>
              </w:rPr>
              <w:t>四、中央登錄公債。</w:t>
            </w:r>
          </w:p>
          <w:p w:rsidR="00A66C48" w:rsidRDefault="004C73A1" w:rsidP="00A66C48">
            <w:pPr>
              <w:jc w:val="center"/>
              <w:rPr>
                <w:rFonts w:ascii="標楷體" w:eastAsia="標楷體" w:hAnsi="標楷體" w:cs="Times New Roman"/>
                <w:sz w:val="20"/>
                <w:szCs w:val="24"/>
              </w:rPr>
            </w:pPr>
            <w:r w:rsidRPr="00F0366F">
              <w:rPr>
                <w:rFonts w:ascii="標楷體" w:eastAsia="標楷體" w:hAnsi="標楷體" w:cs="Times New Roman" w:hint="eastAsia"/>
                <w:szCs w:val="24"/>
              </w:rPr>
              <w:t>(以下略)</w:t>
            </w:r>
          </w:p>
        </w:tc>
        <w:tc>
          <w:tcPr>
            <w:tcW w:w="2788" w:type="dxa"/>
          </w:tcPr>
          <w:p w:rsidR="00B75282" w:rsidRPr="00B75282" w:rsidRDefault="00B75282" w:rsidP="00B75282">
            <w:pPr>
              <w:numPr>
                <w:ilvl w:val="0"/>
                <w:numId w:val="2"/>
              </w:numPr>
              <w:jc w:val="both"/>
              <w:rPr>
                <w:rFonts w:ascii="標楷體" w:eastAsia="標楷體" w:hAnsi="標楷體"/>
              </w:rPr>
            </w:pPr>
            <w:r w:rsidRPr="00B75282">
              <w:rPr>
                <w:rFonts w:ascii="標楷體" w:eastAsia="標楷體" w:hAnsi="標楷體" w:hint="eastAsia"/>
              </w:rPr>
              <w:lastRenderedPageBreak/>
              <w:t>配合第十條修正借</w:t>
            </w:r>
            <w:r w:rsidRPr="00B75282">
              <w:rPr>
                <w:rFonts w:ascii="標楷體" w:eastAsia="標楷體" w:hAnsi="標楷體" w:hint="eastAsia"/>
              </w:rPr>
              <w:lastRenderedPageBreak/>
              <w:t>貸交易人參與資格，本條第一項第一款所稱「特定境外外國機構投資人」修正為「境外外國機構投資人」，</w:t>
            </w:r>
            <w:r w:rsidR="00891F0F">
              <w:rPr>
                <w:rFonts w:ascii="標楷體" w:eastAsia="標楷體" w:hAnsi="標楷體" w:hint="eastAsia"/>
              </w:rPr>
              <w:t>並配合規章整併，酌調部分文字。</w:t>
            </w:r>
          </w:p>
          <w:p w:rsidR="00B75282" w:rsidRDefault="00B75282" w:rsidP="00B75282">
            <w:pPr>
              <w:numPr>
                <w:ilvl w:val="0"/>
                <w:numId w:val="2"/>
              </w:numPr>
              <w:jc w:val="both"/>
              <w:rPr>
                <w:rFonts w:ascii="標楷體" w:eastAsia="標楷體" w:hAnsi="標楷體"/>
              </w:rPr>
            </w:pPr>
            <w:r w:rsidRPr="00B75282">
              <w:rPr>
                <w:rFonts w:ascii="標楷體" w:eastAsia="標楷體" w:hAnsi="標楷體" w:hint="eastAsia"/>
              </w:rPr>
              <w:t>為配合第十條放寬本公司借</w:t>
            </w:r>
            <w:proofErr w:type="gramStart"/>
            <w:r w:rsidRPr="00B75282">
              <w:rPr>
                <w:rFonts w:ascii="標楷體" w:eastAsia="標楷體" w:hAnsi="標楷體" w:hint="eastAsia"/>
              </w:rPr>
              <w:t>券</w:t>
            </w:r>
            <w:proofErr w:type="gramEnd"/>
            <w:r w:rsidRPr="00B75282">
              <w:rPr>
                <w:rFonts w:ascii="標楷體" w:eastAsia="標楷體" w:hAnsi="標楷體" w:hint="eastAsia"/>
              </w:rPr>
              <w:t>系統參與資格，增列第一項第二款不同身分之擔保證券限制，以強化</w:t>
            </w:r>
            <w:proofErr w:type="gramStart"/>
            <w:r w:rsidRPr="00B75282">
              <w:rPr>
                <w:rFonts w:ascii="標楷體" w:eastAsia="標楷體" w:hAnsi="標楷體" w:hint="eastAsia"/>
              </w:rPr>
              <w:t>本公司對定</w:t>
            </w:r>
            <w:proofErr w:type="gramEnd"/>
            <w:r w:rsidRPr="00B75282">
              <w:rPr>
                <w:rFonts w:ascii="標楷體" w:eastAsia="標楷體" w:hAnsi="標楷體" w:hint="eastAsia"/>
              </w:rPr>
              <w:t>、競價交易之履約保證風險控管。</w:t>
            </w:r>
          </w:p>
          <w:p w:rsidR="00A312BB" w:rsidRPr="00B75282" w:rsidRDefault="00490863" w:rsidP="00A312BB">
            <w:pPr>
              <w:numPr>
                <w:ilvl w:val="0"/>
                <w:numId w:val="2"/>
              </w:numPr>
              <w:jc w:val="both"/>
              <w:rPr>
                <w:rFonts w:ascii="標楷體" w:eastAsia="標楷體" w:hAnsi="標楷體"/>
              </w:rPr>
            </w:pPr>
            <w:r>
              <w:rPr>
                <w:rFonts w:ascii="標楷體" w:eastAsia="標楷體" w:hAnsi="標楷體" w:hint="eastAsia"/>
              </w:rPr>
              <w:t>第一項</w:t>
            </w:r>
            <w:r w:rsidR="00A312BB">
              <w:rPr>
                <w:rFonts w:ascii="標楷體" w:eastAsia="標楷體" w:hAnsi="標楷體" w:hint="eastAsia"/>
              </w:rPr>
              <w:t>第三款銀行保證說明納入</w:t>
            </w:r>
            <w:r w:rsidR="002655BA">
              <w:rPr>
                <w:rFonts w:ascii="標楷體" w:eastAsia="標楷體" w:hAnsi="標楷體" w:hint="eastAsia"/>
              </w:rPr>
              <w:t>本公司95年12月4日</w:t>
            </w:r>
            <w:proofErr w:type="gramStart"/>
            <w:r w:rsidR="00A312BB">
              <w:rPr>
                <w:rFonts w:ascii="標楷體" w:eastAsia="標楷體" w:hAnsi="標楷體" w:hint="eastAsia"/>
              </w:rPr>
              <w:t>臺證交字第0950204319號</w:t>
            </w:r>
            <w:proofErr w:type="gramEnd"/>
            <w:r w:rsidR="00A312BB">
              <w:rPr>
                <w:rFonts w:ascii="標楷體" w:eastAsia="標楷體" w:hAnsi="標楷體" w:hint="eastAsia"/>
              </w:rPr>
              <w:t>函規範。</w:t>
            </w:r>
          </w:p>
        </w:tc>
      </w:tr>
    </w:tbl>
    <w:p w:rsidR="00F0366F" w:rsidRDefault="00F0366F">
      <w:pPr>
        <w:rPr>
          <w:rFonts w:ascii="標楷體" w:eastAsia="標楷體" w:hAnsi="標楷體"/>
        </w:rPr>
      </w:pPr>
    </w:p>
    <w:p w:rsidR="00A335EF" w:rsidRPr="00A335EF" w:rsidRDefault="00A335EF" w:rsidP="00A335EF">
      <w:pPr>
        <w:widowControl/>
        <w:rPr>
          <w:rFonts w:ascii="標楷體" w:eastAsia="標楷體" w:hAnsi="標楷體"/>
        </w:rPr>
      </w:pPr>
    </w:p>
    <w:p w:rsidR="00A335EF" w:rsidRPr="00A335EF" w:rsidRDefault="00CD4F88" w:rsidP="00A335EF">
      <w:pPr>
        <w:widowControl/>
        <w:rPr>
          <w:rFonts w:ascii="標楷體" w:eastAsia="標楷體" w:hAnsi="標楷體"/>
        </w:rPr>
      </w:pPr>
      <w:r>
        <w:rPr>
          <w:rFonts w:ascii="標楷體" w:eastAsia="標楷體" w:hAnsi="標楷體"/>
        </w:rPr>
        <w:br w:type="page"/>
      </w:r>
    </w:p>
    <w:p w:rsidR="00F0366F" w:rsidRDefault="00CD4F88">
      <w:pPr>
        <w:rPr>
          <w:rFonts w:ascii="標楷體" w:eastAsia="標楷體" w:hAnsi="標楷體"/>
          <w:sz w:val="32"/>
          <w:szCs w:val="40"/>
        </w:rPr>
      </w:pPr>
      <w:r w:rsidRPr="00CD4F88">
        <w:rPr>
          <w:rFonts w:ascii="標楷體" w:eastAsia="標楷體" w:hAnsi="標楷體" w:hint="eastAsia"/>
          <w:sz w:val="32"/>
          <w:szCs w:val="40"/>
        </w:rPr>
        <w:lastRenderedPageBreak/>
        <w:t>證券商辦理有價證券借貸操作辦法</w:t>
      </w:r>
      <w:r w:rsidR="00DE4160">
        <w:rPr>
          <w:rFonts w:ascii="標楷體" w:eastAsia="標楷體" w:hAnsi="標楷體" w:hint="eastAsia"/>
          <w:sz w:val="32"/>
          <w:szCs w:val="40"/>
        </w:rPr>
        <w:t>第</w:t>
      </w:r>
      <w:r w:rsidR="00164ED8">
        <w:rPr>
          <w:rFonts w:ascii="標楷體" w:eastAsia="標楷體" w:hAnsi="標楷體" w:hint="eastAsia"/>
          <w:sz w:val="32"/>
          <w:szCs w:val="40"/>
        </w:rPr>
        <w:t>三十</w:t>
      </w:r>
      <w:r w:rsidRPr="00CD4F88">
        <w:rPr>
          <w:rFonts w:ascii="標楷體" w:eastAsia="標楷體" w:hAnsi="標楷體" w:hint="eastAsia"/>
          <w:sz w:val="32"/>
          <w:szCs w:val="40"/>
        </w:rPr>
        <w:t>七條之</w:t>
      </w:r>
      <w:r w:rsidR="00164ED8">
        <w:rPr>
          <w:rFonts w:ascii="標楷體" w:eastAsia="標楷體" w:hAnsi="標楷體" w:hint="eastAsia"/>
          <w:sz w:val="32"/>
          <w:szCs w:val="40"/>
        </w:rPr>
        <w:t>ㄧ</w:t>
      </w:r>
      <w:r w:rsidR="000F04F0">
        <w:rPr>
          <w:rFonts w:ascii="標楷體" w:eastAsia="標楷體" w:hAnsi="標楷體" w:hint="eastAsia"/>
          <w:sz w:val="32"/>
          <w:szCs w:val="40"/>
        </w:rPr>
        <w:t>修正</w:t>
      </w:r>
      <w:r w:rsidRPr="00CD4F88">
        <w:rPr>
          <w:rFonts w:ascii="標楷體" w:eastAsia="標楷體" w:hAnsi="標楷體" w:hint="eastAsia"/>
          <w:sz w:val="32"/>
          <w:szCs w:val="40"/>
        </w:rPr>
        <w:t>條文對照表</w:t>
      </w:r>
    </w:p>
    <w:tbl>
      <w:tblPr>
        <w:tblStyle w:val="a3"/>
        <w:tblW w:w="0" w:type="auto"/>
        <w:tblLook w:val="04A0"/>
      </w:tblPr>
      <w:tblGrid>
        <w:gridCol w:w="2787"/>
        <w:gridCol w:w="2787"/>
        <w:gridCol w:w="2788"/>
      </w:tblGrid>
      <w:tr w:rsidR="00164ED8" w:rsidTr="002A57DF">
        <w:tc>
          <w:tcPr>
            <w:tcW w:w="2787" w:type="dxa"/>
          </w:tcPr>
          <w:p w:rsidR="00164ED8" w:rsidRDefault="00164ED8" w:rsidP="002A57DF">
            <w:pPr>
              <w:jc w:val="center"/>
              <w:rPr>
                <w:rFonts w:ascii="標楷體" w:eastAsia="標楷體" w:hAnsi="標楷體"/>
              </w:rPr>
            </w:pPr>
            <w:r w:rsidRPr="00F0366F">
              <w:rPr>
                <w:rFonts w:ascii="標楷體" w:eastAsia="標楷體" w:hAnsi="標楷體" w:hint="eastAsia"/>
              </w:rPr>
              <w:t>修正條文</w:t>
            </w:r>
          </w:p>
        </w:tc>
        <w:tc>
          <w:tcPr>
            <w:tcW w:w="2787" w:type="dxa"/>
          </w:tcPr>
          <w:p w:rsidR="00164ED8" w:rsidRDefault="00164ED8" w:rsidP="002A57DF">
            <w:pPr>
              <w:jc w:val="center"/>
              <w:rPr>
                <w:rFonts w:ascii="標楷體" w:eastAsia="標楷體" w:hAnsi="標楷體"/>
                <w:sz w:val="20"/>
                <w:szCs w:val="20"/>
              </w:rPr>
            </w:pPr>
            <w:r w:rsidRPr="00F0366F">
              <w:rPr>
                <w:rFonts w:ascii="標楷體" w:eastAsia="標楷體" w:hAnsi="標楷體" w:hint="eastAsia"/>
              </w:rPr>
              <w:t>現行條文</w:t>
            </w:r>
          </w:p>
        </w:tc>
        <w:tc>
          <w:tcPr>
            <w:tcW w:w="2788" w:type="dxa"/>
          </w:tcPr>
          <w:p w:rsidR="00164ED8" w:rsidRDefault="00164ED8" w:rsidP="002A57DF">
            <w:pPr>
              <w:jc w:val="center"/>
              <w:rPr>
                <w:rFonts w:ascii="標楷體" w:eastAsia="標楷體" w:hAnsi="標楷體"/>
                <w:sz w:val="20"/>
                <w:szCs w:val="20"/>
              </w:rPr>
            </w:pPr>
            <w:r w:rsidRPr="00F0366F">
              <w:rPr>
                <w:rFonts w:ascii="標楷體" w:eastAsia="標楷體" w:hAnsi="標楷體" w:hint="eastAsia"/>
              </w:rPr>
              <w:t>說明</w:t>
            </w:r>
          </w:p>
        </w:tc>
      </w:tr>
      <w:tr w:rsidR="00951C43" w:rsidRPr="004828A5" w:rsidTr="002A57DF">
        <w:tc>
          <w:tcPr>
            <w:tcW w:w="2787" w:type="dxa"/>
          </w:tcPr>
          <w:p w:rsidR="00951C43" w:rsidRDefault="00951C43" w:rsidP="00164ED8">
            <w:pPr>
              <w:rPr>
                <w:rFonts w:ascii="標楷體" w:eastAsia="標楷體" w:hAnsi="標楷體"/>
                <w:color w:val="000000" w:themeColor="text1"/>
              </w:rPr>
            </w:pPr>
            <w:r w:rsidRPr="002A57DF">
              <w:rPr>
                <w:rFonts w:ascii="標楷體" w:eastAsia="標楷體" w:hAnsi="標楷體" w:hint="eastAsia"/>
                <w:color w:val="000000" w:themeColor="text1"/>
              </w:rPr>
              <w:t>第三十七條之ㄧ</w:t>
            </w:r>
            <w:r w:rsidR="00632256">
              <w:rPr>
                <w:rFonts w:ascii="標楷體" w:eastAsia="標楷體" w:hAnsi="標楷體" w:hint="eastAsia"/>
                <w:color w:val="000000" w:themeColor="text1"/>
              </w:rPr>
              <w:t xml:space="preserve"> </w:t>
            </w:r>
            <w:r>
              <w:rPr>
                <w:rFonts w:ascii="標楷體" w:eastAsia="標楷體" w:hAnsi="標楷體" w:hint="eastAsia"/>
                <w:color w:val="000000" w:themeColor="text1"/>
              </w:rPr>
              <w:t>借貸標的證券</w:t>
            </w:r>
            <w:r w:rsidRPr="002A57DF">
              <w:rPr>
                <w:rFonts w:ascii="標楷體" w:eastAsia="標楷體" w:hAnsi="標楷體" w:hint="eastAsia"/>
                <w:color w:val="000000" w:themeColor="text1"/>
              </w:rPr>
              <w:t>發行公司</w:t>
            </w:r>
            <w:r>
              <w:rPr>
                <w:rFonts w:ascii="標楷體" w:eastAsia="標楷體" w:hAnsi="標楷體" w:hint="eastAsia"/>
                <w:color w:val="000000" w:themeColor="text1"/>
              </w:rPr>
              <w:t>之</w:t>
            </w:r>
            <w:r w:rsidRPr="002A57DF">
              <w:rPr>
                <w:rFonts w:ascii="標楷體" w:eastAsia="標楷體" w:hAnsi="標楷體" w:hint="eastAsia"/>
                <w:color w:val="000000" w:themeColor="text1"/>
              </w:rPr>
              <w:t>董事、監察人、經理人及持有公司股份超過</w:t>
            </w:r>
            <w:r>
              <w:rPr>
                <w:rFonts w:ascii="標楷體" w:eastAsia="標楷體" w:hAnsi="標楷體" w:hint="eastAsia"/>
                <w:color w:val="000000" w:themeColor="text1"/>
              </w:rPr>
              <w:t>股份總額</w:t>
            </w:r>
            <w:r w:rsidRPr="002A57DF">
              <w:rPr>
                <w:rFonts w:ascii="標楷體" w:eastAsia="標楷體" w:hAnsi="標楷體" w:hint="eastAsia"/>
                <w:color w:val="000000" w:themeColor="text1"/>
              </w:rPr>
              <w:t>百分之十之股東，不得</w:t>
            </w:r>
            <w:r>
              <w:rPr>
                <w:rFonts w:ascii="標楷體" w:eastAsia="標楷體" w:hAnsi="標楷體" w:hint="eastAsia"/>
                <w:color w:val="000000" w:themeColor="text1"/>
              </w:rPr>
              <w:t>自行或利用直接間接設立之境內外公司等他人名義，從事該標的證券之</w:t>
            </w:r>
            <w:r w:rsidRPr="002A57DF">
              <w:rPr>
                <w:rFonts w:ascii="標楷體" w:eastAsia="標楷體" w:hAnsi="標楷體" w:hint="eastAsia"/>
                <w:color w:val="000000" w:themeColor="text1"/>
              </w:rPr>
              <w:t>借貸交易及借券賣出。</w:t>
            </w:r>
          </w:p>
          <w:p w:rsidR="00197A7C" w:rsidRDefault="00951C43" w:rsidP="00197A7C">
            <w:pPr>
              <w:ind w:firstLineChars="200" w:firstLine="480"/>
              <w:jc w:val="both"/>
              <w:rPr>
                <w:rFonts w:ascii="標楷體" w:eastAsia="標楷體" w:hAnsi="標楷體"/>
                <w:color w:val="000000" w:themeColor="text1"/>
              </w:rPr>
            </w:pPr>
            <w:r>
              <w:rPr>
                <w:rFonts w:ascii="標楷體" w:eastAsia="標楷體" w:hAnsi="標楷體" w:hint="eastAsia"/>
              </w:rPr>
              <w:t>借貸交易人</w:t>
            </w:r>
            <w:r w:rsidRPr="00AA2388">
              <w:rPr>
                <w:rFonts w:ascii="標楷體" w:eastAsia="標楷體" w:hAnsi="標楷體" w:hint="eastAsia"/>
              </w:rPr>
              <w:t>除</w:t>
            </w:r>
            <w:r w:rsidR="000739C5" w:rsidRPr="00AA2388">
              <w:rPr>
                <w:rFonts w:ascii="標楷體" w:eastAsia="標楷體" w:hAnsi="標楷體" w:hint="eastAsia"/>
              </w:rPr>
              <w:t>自然人及</w:t>
            </w:r>
            <w:r w:rsidRPr="00AA2388">
              <w:rPr>
                <w:rFonts w:ascii="標楷體" w:eastAsia="標楷體" w:hAnsi="標楷體" w:hint="eastAsia"/>
              </w:rPr>
              <w:t>證券交易所有</w:t>
            </w:r>
            <w:r>
              <w:rPr>
                <w:rFonts w:ascii="標楷體" w:eastAsia="標楷體" w:hAnsi="標楷體" w:hint="eastAsia"/>
              </w:rPr>
              <w:t>價證券借貸辦法第十二條之</w:t>
            </w:r>
            <w:proofErr w:type="gramStart"/>
            <w:r>
              <w:rPr>
                <w:rFonts w:ascii="標楷體" w:eastAsia="標楷體" w:hAnsi="標楷體" w:hint="eastAsia"/>
              </w:rPr>
              <w:t>一</w:t>
            </w:r>
            <w:proofErr w:type="gramEnd"/>
            <w:r w:rsidR="00AB3BC0">
              <w:rPr>
                <w:rFonts w:ascii="標楷體" w:eastAsia="標楷體" w:hAnsi="標楷體" w:hint="eastAsia"/>
              </w:rPr>
              <w:t>第二項</w:t>
            </w:r>
            <w:r>
              <w:rPr>
                <w:rFonts w:ascii="標楷體" w:eastAsia="標楷體" w:hAnsi="標楷體" w:hint="eastAsia"/>
              </w:rPr>
              <w:t>所稱特定機構投資人外，應</w:t>
            </w:r>
            <w:r w:rsidRPr="008B3D0A">
              <w:rPr>
                <w:rFonts w:ascii="標楷體" w:eastAsia="標楷體" w:hAnsi="標楷體" w:hint="eastAsia"/>
              </w:rPr>
              <w:t>向</w:t>
            </w:r>
            <w:r>
              <w:rPr>
                <w:rFonts w:ascii="標楷體" w:eastAsia="標楷體" w:hAnsi="標楷體" w:hint="eastAsia"/>
              </w:rPr>
              <w:t>證券商</w:t>
            </w:r>
            <w:r w:rsidRPr="008B3D0A">
              <w:rPr>
                <w:rFonts w:ascii="標楷體" w:eastAsia="標楷體" w:hAnsi="標楷體" w:hint="eastAsia"/>
              </w:rPr>
              <w:t>申報其持股</w:t>
            </w:r>
            <w:proofErr w:type="gramStart"/>
            <w:r w:rsidRPr="008B3D0A">
              <w:rPr>
                <w:rFonts w:ascii="標楷體" w:eastAsia="標楷體" w:hAnsi="標楷體" w:hint="eastAsia"/>
              </w:rPr>
              <w:t>前三名且持有</w:t>
            </w:r>
            <w:proofErr w:type="gramEnd"/>
            <w:r w:rsidRPr="008B3D0A">
              <w:rPr>
                <w:rFonts w:ascii="標楷體" w:eastAsia="標楷體" w:hAnsi="標楷體" w:hint="eastAsia"/>
              </w:rPr>
              <w:t>股份達</w:t>
            </w:r>
            <w:r w:rsidR="00E52F35">
              <w:rPr>
                <w:rFonts w:ascii="標楷體" w:eastAsia="標楷體" w:hAnsi="標楷體" w:hint="eastAsia"/>
              </w:rPr>
              <w:t>百分之三十</w:t>
            </w:r>
            <w:r w:rsidRPr="008B3D0A">
              <w:rPr>
                <w:rFonts w:ascii="標楷體" w:eastAsia="標楷體" w:hAnsi="標楷體" w:hint="eastAsia"/>
              </w:rPr>
              <w:t>以上之股東名稱與國籍，法人</w:t>
            </w:r>
            <w:r w:rsidR="005624C0">
              <w:rPr>
                <w:rFonts w:ascii="標楷體" w:eastAsia="標楷體" w:hAnsi="標楷體" w:hint="eastAsia"/>
              </w:rPr>
              <w:t>股東</w:t>
            </w:r>
            <w:r w:rsidRPr="008B3D0A">
              <w:rPr>
                <w:rFonts w:ascii="標楷體" w:eastAsia="標楷體" w:hAnsi="標楷體" w:hint="eastAsia"/>
              </w:rPr>
              <w:t>應一併申報至其持股</w:t>
            </w:r>
            <w:proofErr w:type="gramStart"/>
            <w:r w:rsidRPr="008B3D0A">
              <w:rPr>
                <w:rFonts w:ascii="標楷體" w:eastAsia="標楷體" w:hAnsi="標楷體" w:hint="eastAsia"/>
              </w:rPr>
              <w:t>前三名且持有</w:t>
            </w:r>
            <w:proofErr w:type="gramEnd"/>
            <w:r w:rsidRPr="008B3D0A">
              <w:rPr>
                <w:rFonts w:ascii="標楷體" w:eastAsia="標楷體" w:hAnsi="標楷體" w:hint="eastAsia"/>
              </w:rPr>
              <w:t>股份達</w:t>
            </w:r>
            <w:r w:rsidR="005624C0">
              <w:rPr>
                <w:rFonts w:ascii="標楷體" w:eastAsia="標楷體" w:hAnsi="標楷體" w:hint="eastAsia"/>
              </w:rPr>
              <w:t>百分之三十</w:t>
            </w:r>
            <w:r w:rsidRPr="008B3D0A">
              <w:rPr>
                <w:rFonts w:ascii="標楷體" w:eastAsia="標楷體" w:hAnsi="標楷體" w:hint="eastAsia"/>
              </w:rPr>
              <w:t>以上自然人股東為止。上述股東屬中華民國籍者，並應填</w:t>
            </w:r>
            <w:proofErr w:type="gramStart"/>
            <w:r w:rsidRPr="008B3D0A">
              <w:rPr>
                <w:rFonts w:ascii="標楷體" w:eastAsia="標楷體" w:hAnsi="標楷體" w:hint="eastAsia"/>
              </w:rPr>
              <w:t>註</w:t>
            </w:r>
            <w:proofErr w:type="gramEnd"/>
            <w:r w:rsidRPr="008B3D0A">
              <w:rPr>
                <w:rFonts w:ascii="標楷體" w:eastAsia="標楷體" w:hAnsi="標楷體" w:hint="eastAsia"/>
              </w:rPr>
              <w:t>營利事業統一編號或身分證號碼；境外華僑及外國人完成登記者，應填</w:t>
            </w:r>
            <w:proofErr w:type="gramStart"/>
            <w:r w:rsidRPr="008B3D0A">
              <w:rPr>
                <w:rFonts w:ascii="標楷體" w:eastAsia="標楷體" w:hAnsi="標楷體" w:hint="eastAsia"/>
              </w:rPr>
              <w:t>註</w:t>
            </w:r>
            <w:proofErr w:type="gramEnd"/>
            <w:r w:rsidRPr="008B3D0A">
              <w:rPr>
                <w:rFonts w:ascii="標楷體" w:eastAsia="標楷體" w:hAnsi="標楷體" w:hint="eastAsia"/>
              </w:rPr>
              <w:t>身分編號及扣繳單位統一編號</w:t>
            </w:r>
            <w:r>
              <w:rPr>
                <w:rFonts w:ascii="標楷體" w:eastAsia="標楷體" w:hAnsi="標楷體" w:hint="eastAsia"/>
              </w:rPr>
              <w:t>。</w:t>
            </w:r>
          </w:p>
          <w:p w:rsidR="00951C43" w:rsidRPr="00197A7C" w:rsidRDefault="00197A7C" w:rsidP="00197A7C">
            <w:pPr>
              <w:ind w:firstLineChars="200" w:firstLine="480"/>
              <w:jc w:val="both"/>
              <w:rPr>
                <w:rFonts w:ascii="標楷體" w:eastAsia="標楷體" w:hAnsi="標楷體"/>
                <w:color w:val="000000" w:themeColor="text1"/>
              </w:rPr>
            </w:pPr>
            <w:r>
              <w:rPr>
                <w:rFonts w:ascii="標楷體" w:eastAsia="標楷體" w:hAnsi="標楷體" w:hint="eastAsia"/>
              </w:rPr>
              <w:t>前</w:t>
            </w:r>
            <w:r w:rsidRPr="00197A7C">
              <w:rPr>
                <w:rFonts w:ascii="標楷體" w:eastAsia="標楷體" w:hAnsi="標楷體" w:hint="eastAsia"/>
              </w:rPr>
              <w:t>項所定股東持有之股份，應包括其配偶、未成年子女及利用他人名義持有者，合併計算。</w:t>
            </w:r>
          </w:p>
        </w:tc>
        <w:tc>
          <w:tcPr>
            <w:tcW w:w="2787" w:type="dxa"/>
          </w:tcPr>
          <w:p w:rsidR="00951C43" w:rsidRPr="00F0366F" w:rsidRDefault="00951C43" w:rsidP="002A57DF">
            <w:pPr>
              <w:jc w:val="center"/>
              <w:rPr>
                <w:rFonts w:ascii="標楷體" w:eastAsia="標楷體" w:hAnsi="標楷體"/>
              </w:rPr>
            </w:pPr>
          </w:p>
        </w:tc>
        <w:tc>
          <w:tcPr>
            <w:tcW w:w="2788" w:type="dxa"/>
          </w:tcPr>
          <w:p w:rsidR="00951C43" w:rsidRDefault="00951C43" w:rsidP="00403C4F">
            <w:pPr>
              <w:pStyle w:val="aa"/>
              <w:numPr>
                <w:ilvl w:val="0"/>
                <w:numId w:val="3"/>
              </w:numPr>
              <w:ind w:leftChars="0"/>
              <w:rPr>
                <w:rFonts w:ascii="標楷體" w:eastAsia="標楷體" w:hAnsi="標楷體"/>
                <w:color w:val="000000" w:themeColor="text1"/>
                <w:u w:val="single"/>
              </w:rPr>
            </w:pPr>
            <w:r w:rsidRPr="002A57DF">
              <w:rPr>
                <w:rFonts w:ascii="標楷體" w:eastAsia="標楷體" w:hAnsi="標楷體" w:hint="eastAsia"/>
                <w:color w:val="000000" w:themeColor="text1"/>
                <w:u w:val="single"/>
              </w:rPr>
              <w:t>本條新增。</w:t>
            </w:r>
          </w:p>
          <w:p w:rsidR="00951C43" w:rsidRPr="008C2509" w:rsidRDefault="00197A7C">
            <w:pPr>
              <w:pStyle w:val="aa"/>
              <w:numPr>
                <w:ilvl w:val="0"/>
                <w:numId w:val="3"/>
              </w:numPr>
              <w:tabs>
                <w:tab w:val="center" w:pos="4153"/>
                <w:tab w:val="right" w:pos="8306"/>
              </w:tabs>
              <w:snapToGrid w:val="0"/>
              <w:ind w:leftChars="0"/>
              <w:rPr>
                <w:rFonts w:ascii="標楷體" w:eastAsia="標楷體" w:hAnsi="標楷體"/>
                <w:color w:val="000000" w:themeColor="text1"/>
                <w:u w:val="single"/>
              </w:rPr>
            </w:pPr>
            <w:r>
              <w:rPr>
                <w:rFonts w:ascii="標楷體" w:eastAsia="標楷體" w:hAnsi="標楷體" w:hint="eastAsia"/>
                <w:color w:val="000000" w:themeColor="text1"/>
              </w:rPr>
              <w:t>金融監督管理委員會</w:t>
            </w:r>
            <w:r w:rsidRPr="00197A7C">
              <w:rPr>
                <w:rFonts w:ascii="標楷體" w:eastAsia="標楷體" w:hAnsi="標楷體" w:hint="eastAsia"/>
                <w:color w:val="000000" w:themeColor="text1"/>
              </w:rPr>
              <w:t>95年8月23日</w:t>
            </w:r>
            <w:proofErr w:type="gramStart"/>
            <w:r w:rsidR="00951C43" w:rsidRPr="00403C4F">
              <w:rPr>
                <w:rFonts w:ascii="標楷體" w:eastAsia="標楷體" w:hAnsi="標楷體" w:hint="eastAsia"/>
                <w:color w:val="000000" w:themeColor="text1"/>
              </w:rPr>
              <w:t>金管證</w:t>
            </w:r>
            <w:proofErr w:type="gramEnd"/>
            <w:r w:rsidR="00951C43" w:rsidRPr="00403C4F">
              <w:rPr>
                <w:rFonts w:ascii="標楷體" w:eastAsia="標楷體" w:hAnsi="標楷體" w:hint="eastAsia"/>
                <w:color w:val="000000" w:themeColor="text1"/>
              </w:rPr>
              <w:t>三字第0950003988號令規定公開發行公司內部人不得進行有價證券借貸交易</w:t>
            </w:r>
            <w:r w:rsidR="00951C43">
              <w:rPr>
                <w:rFonts w:ascii="標楷體" w:eastAsia="標楷體" w:hAnsi="標楷體" w:hint="eastAsia"/>
                <w:color w:val="000000" w:themeColor="text1"/>
              </w:rPr>
              <w:t>；</w:t>
            </w:r>
            <w:r w:rsidR="00951C43" w:rsidRPr="00403C4F">
              <w:rPr>
                <w:rFonts w:ascii="標楷體" w:eastAsia="標楷體" w:hAnsi="標楷體" w:hint="eastAsia"/>
                <w:color w:val="000000" w:themeColor="text1"/>
              </w:rPr>
              <w:t>另</w:t>
            </w:r>
            <w:r>
              <w:rPr>
                <w:rFonts w:ascii="標楷體" w:eastAsia="標楷體" w:hAnsi="標楷體" w:hint="eastAsia"/>
                <w:color w:val="000000" w:themeColor="text1"/>
              </w:rPr>
              <w:t>金</w:t>
            </w:r>
            <w:r w:rsidRPr="00197A7C">
              <w:rPr>
                <w:rFonts w:ascii="標楷體" w:eastAsia="標楷體" w:hAnsi="標楷體" w:hint="eastAsia"/>
                <w:color w:val="000000" w:themeColor="text1"/>
              </w:rPr>
              <w:t>融監督管理委員會</w:t>
            </w:r>
            <w:r w:rsidR="00C70AB1">
              <w:rPr>
                <w:rFonts w:ascii="標楷體" w:eastAsia="標楷體" w:hAnsi="標楷體" w:hint="eastAsia"/>
                <w:color w:val="000000" w:themeColor="text1"/>
              </w:rPr>
              <w:t>105</w:t>
            </w:r>
            <w:r w:rsidRPr="00197A7C">
              <w:rPr>
                <w:rFonts w:ascii="標楷體" w:eastAsia="標楷體" w:hAnsi="標楷體" w:hint="eastAsia"/>
                <w:color w:val="000000" w:themeColor="text1"/>
              </w:rPr>
              <w:t>年</w:t>
            </w:r>
            <w:r w:rsidR="00C70AB1">
              <w:rPr>
                <w:rFonts w:ascii="標楷體" w:eastAsia="標楷體" w:hAnsi="標楷體" w:hint="eastAsia"/>
                <w:color w:val="000000" w:themeColor="text1"/>
              </w:rPr>
              <w:t>8</w:t>
            </w:r>
            <w:r w:rsidRPr="00197A7C">
              <w:rPr>
                <w:rFonts w:ascii="標楷體" w:eastAsia="標楷體" w:hAnsi="標楷體" w:hint="eastAsia"/>
                <w:color w:val="000000" w:themeColor="text1"/>
              </w:rPr>
              <w:t>月</w:t>
            </w:r>
            <w:r w:rsidR="00C70AB1">
              <w:rPr>
                <w:rFonts w:ascii="標楷體" w:eastAsia="標楷體" w:hAnsi="標楷體" w:hint="eastAsia"/>
                <w:color w:val="000000" w:themeColor="text1"/>
              </w:rPr>
              <w:t>29</w:t>
            </w:r>
            <w:r w:rsidRPr="00197A7C">
              <w:rPr>
                <w:rFonts w:ascii="標楷體" w:eastAsia="標楷體" w:hAnsi="標楷體" w:hint="eastAsia"/>
                <w:color w:val="000000" w:themeColor="text1"/>
              </w:rPr>
              <w:t>日</w:t>
            </w:r>
            <w:r w:rsidR="00951C43" w:rsidRPr="00403C4F">
              <w:rPr>
                <w:rFonts w:ascii="標楷體" w:eastAsia="標楷體" w:hAnsi="標楷體" w:hint="eastAsia"/>
                <w:color w:val="000000" w:themeColor="text1"/>
              </w:rPr>
              <w:t>金管證券字第1050029404號函示，發行公司內部人迂迴設立境內外公司者，不得進行有價證券借貸交易及借</w:t>
            </w:r>
            <w:proofErr w:type="gramStart"/>
            <w:r w:rsidR="00951C43" w:rsidRPr="00403C4F">
              <w:rPr>
                <w:rFonts w:ascii="標楷體" w:eastAsia="標楷體" w:hAnsi="標楷體" w:hint="eastAsia"/>
                <w:color w:val="000000" w:themeColor="text1"/>
              </w:rPr>
              <w:t>券</w:t>
            </w:r>
            <w:proofErr w:type="gramEnd"/>
            <w:r w:rsidR="00951C43" w:rsidRPr="00403C4F">
              <w:rPr>
                <w:rFonts w:ascii="標楷體" w:eastAsia="標楷體" w:hAnsi="標楷體" w:hint="eastAsia"/>
                <w:color w:val="000000" w:themeColor="text1"/>
              </w:rPr>
              <w:t>賣出。</w:t>
            </w:r>
          </w:p>
          <w:p w:rsidR="00951C43" w:rsidRPr="008B3D0A" w:rsidRDefault="00951C43">
            <w:pPr>
              <w:pStyle w:val="aa"/>
              <w:numPr>
                <w:ilvl w:val="0"/>
                <w:numId w:val="3"/>
              </w:numPr>
              <w:ind w:leftChars="0"/>
              <w:rPr>
                <w:rFonts w:ascii="標楷體" w:eastAsia="標楷體" w:hAnsi="標楷體"/>
                <w:color w:val="000000" w:themeColor="text1"/>
                <w:u w:val="single"/>
              </w:rPr>
            </w:pPr>
            <w:r w:rsidRPr="008C2509">
              <w:rPr>
                <w:rFonts w:ascii="標楷體" w:eastAsia="標楷體" w:hAnsi="標楷體" w:hint="eastAsia"/>
                <w:color w:val="000000" w:themeColor="text1"/>
              </w:rPr>
              <w:t>依主管機關函釋意旨，明定</w:t>
            </w:r>
            <w:r>
              <w:rPr>
                <w:rFonts w:ascii="標楷體" w:eastAsia="標楷體" w:hAnsi="標楷體" w:hint="eastAsia"/>
                <w:color w:val="000000" w:themeColor="text1"/>
              </w:rPr>
              <w:t>借貸標的證券發行公司之</w:t>
            </w:r>
            <w:r w:rsidRPr="008C2509">
              <w:rPr>
                <w:rFonts w:ascii="標楷體" w:eastAsia="標楷體" w:hAnsi="標楷體" w:hint="eastAsia"/>
                <w:color w:val="000000" w:themeColor="text1"/>
              </w:rPr>
              <w:t>內部人</w:t>
            </w:r>
            <w:r>
              <w:rPr>
                <w:rFonts w:ascii="標楷體" w:eastAsia="標楷體" w:hAnsi="標楷體" w:hint="eastAsia"/>
                <w:color w:val="000000" w:themeColor="text1"/>
              </w:rPr>
              <w:t>，</w:t>
            </w:r>
            <w:r w:rsidRPr="008C2509">
              <w:rPr>
                <w:rFonts w:ascii="標楷體" w:eastAsia="標楷體" w:hAnsi="標楷體" w:hint="eastAsia"/>
                <w:color w:val="000000" w:themeColor="text1"/>
              </w:rPr>
              <w:t>不得</w:t>
            </w:r>
            <w:r>
              <w:rPr>
                <w:rFonts w:ascii="標楷體" w:eastAsia="標楷體" w:hAnsi="標楷體" w:hint="eastAsia"/>
                <w:color w:val="000000" w:themeColor="text1"/>
              </w:rPr>
              <w:t>自行或利用直接間接設立之境內外公司等他人名義，從事該標的證券之</w:t>
            </w:r>
            <w:r w:rsidRPr="002A57DF">
              <w:rPr>
                <w:rFonts w:ascii="標楷體" w:eastAsia="標楷體" w:hAnsi="標楷體" w:hint="eastAsia"/>
                <w:color w:val="000000" w:themeColor="text1"/>
              </w:rPr>
              <w:t>借貸交易及借</w:t>
            </w:r>
            <w:proofErr w:type="gramStart"/>
            <w:r w:rsidRPr="002A57DF">
              <w:rPr>
                <w:rFonts w:ascii="標楷體" w:eastAsia="標楷體" w:hAnsi="標楷體" w:hint="eastAsia"/>
                <w:color w:val="000000" w:themeColor="text1"/>
              </w:rPr>
              <w:t>券</w:t>
            </w:r>
            <w:proofErr w:type="gramEnd"/>
            <w:r w:rsidRPr="002A57DF">
              <w:rPr>
                <w:rFonts w:ascii="標楷體" w:eastAsia="標楷體" w:hAnsi="標楷體" w:hint="eastAsia"/>
                <w:color w:val="000000" w:themeColor="text1"/>
              </w:rPr>
              <w:t>賣出</w:t>
            </w:r>
            <w:r w:rsidRPr="008C2509">
              <w:rPr>
                <w:rFonts w:ascii="標楷體" w:eastAsia="標楷體" w:hAnsi="標楷體" w:hint="eastAsia"/>
                <w:color w:val="000000" w:themeColor="text1"/>
              </w:rPr>
              <w:t>，以資明確。</w:t>
            </w:r>
          </w:p>
          <w:p w:rsidR="00951C43" w:rsidRPr="008B3D0A" w:rsidRDefault="00951C43">
            <w:pPr>
              <w:pStyle w:val="aa"/>
              <w:numPr>
                <w:ilvl w:val="0"/>
                <w:numId w:val="3"/>
              </w:numPr>
              <w:ind w:leftChars="0"/>
              <w:rPr>
                <w:rFonts w:ascii="標楷體" w:eastAsia="標楷體" w:hAnsi="標楷體"/>
                <w:color w:val="000000" w:themeColor="text1"/>
              </w:rPr>
            </w:pPr>
            <w:r w:rsidRPr="008B3D0A">
              <w:rPr>
                <w:rFonts w:ascii="標楷體" w:eastAsia="標楷體" w:hAnsi="標楷體" w:hint="eastAsia"/>
                <w:color w:val="000000" w:themeColor="text1"/>
              </w:rPr>
              <w:t>為</w:t>
            </w:r>
            <w:r>
              <w:rPr>
                <w:rFonts w:ascii="標楷體" w:eastAsia="標楷體" w:hAnsi="標楷體" w:hint="eastAsia"/>
                <w:color w:val="000000" w:themeColor="text1"/>
              </w:rPr>
              <w:t>證券商</w:t>
            </w:r>
            <w:r w:rsidRPr="008B3D0A">
              <w:rPr>
                <w:rFonts w:ascii="標楷體" w:eastAsia="標楷體" w:hAnsi="標楷體" w:hint="eastAsia"/>
                <w:color w:val="000000" w:themeColor="text1"/>
              </w:rPr>
              <w:t>控管發行公司內部人迂迴設立境內外公司進行借</w:t>
            </w:r>
            <w:proofErr w:type="gramStart"/>
            <w:r w:rsidRPr="008B3D0A">
              <w:rPr>
                <w:rFonts w:ascii="標楷體" w:eastAsia="標楷體" w:hAnsi="標楷體" w:hint="eastAsia"/>
                <w:color w:val="000000" w:themeColor="text1"/>
              </w:rPr>
              <w:t>券</w:t>
            </w:r>
            <w:proofErr w:type="gramEnd"/>
            <w:r w:rsidRPr="008B3D0A">
              <w:rPr>
                <w:rFonts w:ascii="標楷體" w:eastAsia="標楷體" w:hAnsi="標楷體" w:hint="eastAsia"/>
                <w:color w:val="000000" w:themeColor="text1"/>
              </w:rPr>
              <w:t>賣出，</w:t>
            </w:r>
            <w:proofErr w:type="gramStart"/>
            <w:r w:rsidRPr="008B3D0A">
              <w:rPr>
                <w:rFonts w:ascii="標楷體" w:eastAsia="標楷體" w:hAnsi="標楷體" w:hint="eastAsia"/>
                <w:color w:val="000000" w:themeColor="text1"/>
              </w:rPr>
              <w:t>增列非特定</w:t>
            </w:r>
            <w:proofErr w:type="gramEnd"/>
            <w:r w:rsidRPr="008B3D0A">
              <w:rPr>
                <w:rFonts w:ascii="標楷體" w:eastAsia="標楷體" w:hAnsi="標楷體" w:hint="eastAsia"/>
                <w:color w:val="000000" w:themeColor="text1"/>
              </w:rPr>
              <w:t>機構法人及</w:t>
            </w:r>
            <w:r w:rsidR="002655BA">
              <w:rPr>
                <w:rFonts w:ascii="標楷體" w:eastAsia="標楷體" w:hAnsi="標楷體" w:hint="eastAsia"/>
                <w:color w:val="000000" w:themeColor="text1"/>
              </w:rPr>
              <w:t>非</w:t>
            </w:r>
            <w:r w:rsidRPr="008B3D0A">
              <w:rPr>
                <w:rFonts w:ascii="標楷體" w:eastAsia="標楷體" w:hAnsi="標楷體" w:hint="eastAsia"/>
                <w:color w:val="000000" w:themeColor="text1"/>
              </w:rPr>
              <w:t>特定境外外國機構投資人之借貸交易人應</w:t>
            </w:r>
            <w:r>
              <w:rPr>
                <w:rFonts w:ascii="標楷體" w:eastAsia="標楷體" w:hAnsi="標楷體" w:hint="eastAsia"/>
                <w:color w:val="000000" w:themeColor="text1"/>
              </w:rPr>
              <w:t>向證券商</w:t>
            </w:r>
            <w:r w:rsidRPr="008B3D0A">
              <w:rPr>
                <w:rFonts w:ascii="標楷體" w:eastAsia="標楷體" w:hAnsi="標楷體" w:hint="eastAsia"/>
                <w:color w:val="000000" w:themeColor="text1"/>
              </w:rPr>
              <w:t>申報</w:t>
            </w:r>
            <w:r w:rsidRPr="008B3D0A">
              <w:rPr>
                <w:rFonts w:ascii="標楷體" w:eastAsia="標楷體" w:hAnsi="標楷體" w:hint="eastAsia"/>
                <w:color w:val="000000" w:themeColor="text1"/>
              </w:rPr>
              <w:lastRenderedPageBreak/>
              <w:t>其股東之規範。</w:t>
            </w:r>
          </w:p>
        </w:tc>
      </w:tr>
    </w:tbl>
    <w:p w:rsidR="00164ED8" w:rsidRPr="00570853" w:rsidRDefault="00164ED8">
      <w:pPr>
        <w:rPr>
          <w:rFonts w:ascii="標楷體" w:eastAsia="標楷體" w:hAnsi="標楷體"/>
          <w:sz w:val="32"/>
          <w:szCs w:val="40"/>
        </w:rPr>
      </w:pPr>
    </w:p>
    <w:sectPr w:rsidR="00164ED8" w:rsidRPr="00570853" w:rsidSect="00B75426">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970" w:rsidRDefault="00BF7970" w:rsidP="000F5A14">
      <w:r>
        <w:separator/>
      </w:r>
    </w:p>
  </w:endnote>
  <w:endnote w:type="continuationSeparator" w:id="0">
    <w:p w:rsidR="00BF7970" w:rsidRDefault="00BF7970" w:rsidP="000F5A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88350"/>
      <w:docPartObj>
        <w:docPartGallery w:val="Page Numbers (Bottom of Page)"/>
        <w:docPartUnique/>
      </w:docPartObj>
    </w:sdtPr>
    <w:sdtContent>
      <w:p w:rsidR="000739C5" w:rsidRDefault="00406288">
        <w:pPr>
          <w:pStyle w:val="a6"/>
          <w:jc w:val="center"/>
        </w:pPr>
        <w:fldSimple w:instr=" PAGE   \* MERGEFORMAT ">
          <w:r w:rsidR="00833450" w:rsidRPr="00833450">
            <w:rPr>
              <w:noProof/>
              <w:lang w:val="zh-TW"/>
            </w:rPr>
            <w:t>1</w:t>
          </w:r>
        </w:fldSimple>
      </w:p>
    </w:sdtContent>
  </w:sdt>
  <w:p w:rsidR="000739C5" w:rsidRDefault="000739C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970" w:rsidRDefault="00BF7970" w:rsidP="000F5A14">
      <w:r>
        <w:separator/>
      </w:r>
    </w:p>
  </w:footnote>
  <w:footnote w:type="continuationSeparator" w:id="0">
    <w:p w:rsidR="00BF7970" w:rsidRDefault="00BF7970" w:rsidP="000F5A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F2A"/>
    <w:multiLevelType w:val="hybridMultilevel"/>
    <w:tmpl w:val="EB28F4F2"/>
    <w:lvl w:ilvl="0" w:tplc="D7880FE4">
      <w:start w:val="1"/>
      <w:numFmt w:val="taiwaneseCountingThousand"/>
      <w:lvlText w:val="%1、"/>
      <w:lvlJc w:val="left"/>
      <w:pPr>
        <w:ind w:left="588" w:hanging="48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
    <w:nsid w:val="2DD50FBB"/>
    <w:multiLevelType w:val="hybridMultilevel"/>
    <w:tmpl w:val="0E203A6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22E4A5E"/>
    <w:multiLevelType w:val="hybridMultilevel"/>
    <w:tmpl w:val="9DBEEB8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8E737D1"/>
    <w:multiLevelType w:val="hybridMultilevel"/>
    <w:tmpl w:val="61A8CBBC"/>
    <w:lvl w:ilvl="0" w:tplc="A7B65BE2">
      <w:start w:val="1"/>
      <w:numFmt w:val="taiwaneseCountingThousand"/>
      <w:lvlText w:val="%1、"/>
      <w:lvlJc w:val="left"/>
      <w:pPr>
        <w:ind w:left="960" w:hanging="480"/>
      </w:pPr>
      <w:rPr>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5D990EBD"/>
    <w:multiLevelType w:val="hybridMultilevel"/>
    <w:tmpl w:val="6ECAC8D2"/>
    <w:lvl w:ilvl="0" w:tplc="B05A077C">
      <w:start w:val="1"/>
      <w:numFmt w:val="taiwaneseCountingThousand"/>
      <w:lvlText w:val="%1、"/>
      <w:lvlJc w:val="left"/>
      <w:pPr>
        <w:ind w:left="504" w:hanging="50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1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366F"/>
    <w:rsid w:val="000059E8"/>
    <w:rsid w:val="00027A84"/>
    <w:rsid w:val="000411FA"/>
    <w:rsid w:val="000739C5"/>
    <w:rsid w:val="000C75A4"/>
    <w:rsid w:val="000E3722"/>
    <w:rsid w:val="000F04F0"/>
    <w:rsid w:val="000F5A14"/>
    <w:rsid w:val="00102957"/>
    <w:rsid w:val="0012722C"/>
    <w:rsid w:val="0014666B"/>
    <w:rsid w:val="001515F0"/>
    <w:rsid w:val="00164ED8"/>
    <w:rsid w:val="00197A7C"/>
    <w:rsid w:val="001A18CB"/>
    <w:rsid w:val="001A5398"/>
    <w:rsid w:val="001B2E77"/>
    <w:rsid w:val="001B4341"/>
    <w:rsid w:val="001B641B"/>
    <w:rsid w:val="001C73F5"/>
    <w:rsid w:val="001D03FA"/>
    <w:rsid w:val="001F6BC3"/>
    <w:rsid w:val="0021342F"/>
    <w:rsid w:val="002177EE"/>
    <w:rsid w:val="00221356"/>
    <w:rsid w:val="00221396"/>
    <w:rsid w:val="0022606E"/>
    <w:rsid w:val="00233B79"/>
    <w:rsid w:val="0025626C"/>
    <w:rsid w:val="002628F3"/>
    <w:rsid w:val="002655BA"/>
    <w:rsid w:val="00277FD3"/>
    <w:rsid w:val="00283035"/>
    <w:rsid w:val="00284E00"/>
    <w:rsid w:val="00294BBA"/>
    <w:rsid w:val="00296A45"/>
    <w:rsid w:val="002A57DF"/>
    <w:rsid w:val="002B294F"/>
    <w:rsid w:val="002C6DC8"/>
    <w:rsid w:val="00310070"/>
    <w:rsid w:val="003110E3"/>
    <w:rsid w:val="0032701E"/>
    <w:rsid w:val="00351303"/>
    <w:rsid w:val="003659E1"/>
    <w:rsid w:val="00367A8A"/>
    <w:rsid w:val="00370F2C"/>
    <w:rsid w:val="00373DF0"/>
    <w:rsid w:val="00373F33"/>
    <w:rsid w:val="003C6C80"/>
    <w:rsid w:val="003D59FA"/>
    <w:rsid w:val="00403284"/>
    <w:rsid w:val="00403C4F"/>
    <w:rsid w:val="00405059"/>
    <w:rsid w:val="00406288"/>
    <w:rsid w:val="0041753A"/>
    <w:rsid w:val="004343D5"/>
    <w:rsid w:val="00437A8D"/>
    <w:rsid w:val="004635F2"/>
    <w:rsid w:val="00466319"/>
    <w:rsid w:val="004828A5"/>
    <w:rsid w:val="00490863"/>
    <w:rsid w:val="004A0F1C"/>
    <w:rsid w:val="004A1552"/>
    <w:rsid w:val="004A1EAF"/>
    <w:rsid w:val="004A5902"/>
    <w:rsid w:val="004B561F"/>
    <w:rsid w:val="004C043E"/>
    <w:rsid w:val="004C723E"/>
    <w:rsid w:val="004C73A1"/>
    <w:rsid w:val="004D0EC5"/>
    <w:rsid w:val="004D4D24"/>
    <w:rsid w:val="005043F6"/>
    <w:rsid w:val="0050493A"/>
    <w:rsid w:val="00505AF4"/>
    <w:rsid w:val="00513D8F"/>
    <w:rsid w:val="005624C0"/>
    <w:rsid w:val="00570853"/>
    <w:rsid w:val="00572302"/>
    <w:rsid w:val="005908DE"/>
    <w:rsid w:val="005B3144"/>
    <w:rsid w:val="005B39CF"/>
    <w:rsid w:val="00614500"/>
    <w:rsid w:val="00625B9D"/>
    <w:rsid w:val="00632256"/>
    <w:rsid w:val="006611D0"/>
    <w:rsid w:val="0067422E"/>
    <w:rsid w:val="00681523"/>
    <w:rsid w:val="006B4F04"/>
    <w:rsid w:val="006B5DE0"/>
    <w:rsid w:val="006C27CF"/>
    <w:rsid w:val="006C2B91"/>
    <w:rsid w:val="006F71E2"/>
    <w:rsid w:val="00733FCA"/>
    <w:rsid w:val="007350BE"/>
    <w:rsid w:val="007367D6"/>
    <w:rsid w:val="0073799E"/>
    <w:rsid w:val="00756491"/>
    <w:rsid w:val="00763D6B"/>
    <w:rsid w:val="007804B9"/>
    <w:rsid w:val="007850FD"/>
    <w:rsid w:val="007B4E91"/>
    <w:rsid w:val="007B58C8"/>
    <w:rsid w:val="00825C16"/>
    <w:rsid w:val="00833450"/>
    <w:rsid w:val="00840FD9"/>
    <w:rsid w:val="00855C85"/>
    <w:rsid w:val="008644FE"/>
    <w:rsid w:val="008662E2"/>
    <w:rsid w:val="008759FE"/>
    <w:rsid w:val="00891F0F"/>
    <w:rsid w:val="00894F5E"/>
    <w:rsid w:val="008950CE"/>
    <w:rsid w:val="008A209B"/>
    <w:rsid w:val="008A7BC1"/>
    <w:rsid w:val="008B2063"/>
    <w:rsid w:val="008B3D0A"/>
    <w:rsid w:val="008B4992"/>
    <w:rsid w:val="008C2509"/>
    <w:rsid w:val="008D3F63"/>
    <w:rsid w:val="008F0925"/>
    <w:rsid w:val="008F1307"/>
    <w:rsid w:val="008F170E"/>
    <w:rsid w:val="008F4E35"/>
    <w:rsid w:val="00913E8F"/>
    <w:rsid w:val="00932515"/>
    <w:rsid w:val="00933F60"/>
    <w:rsid w:val="009461B2"/>
    <w:rsid w:val="00951C43"/>
    <w:rsid w:val="00952336"/>
    <w:rsid w:val="00957DA1"/>
    <w:rsid w:val="0096556A"/>
    <w:rsid w:val="009668F5"/>
    <w:rsid w:val="009740D1"/>
    <w:rsid w:val="009B0826"/>
    <w:rsid w:val="009B5E9D"/>
    <w:rsid w:val="009B60A3"/>
    <w:rsid w:val="009B6754"/>
    <w:rsid w:val="009C2A24"/>
    <w:rsid w:val="009E2E5B"/>
    <w:rsid w:val="009E7E5A"/>
    <w:rsid w:val="009F11C3"/>
    <w:rsid w:val="009F4400"/>
    <w:rsid w:val="00A15209"/>
    <w:rsid w:val="00A312BB"/>
    <w:rsid w:val="00A32A21"/>
    <w:rsid w:val="00A335EF"/>
    <w:rsid w:val="00A61A77"/>
    <w:rsid w:val="00A66C48"/>
    <w:rsid w:val="00A75E30"/>
    <w:rsid w:val="00A778D9"/>
    <w:rsid w:val="00AA196F"/>
    <w:rsid w:val="00AA2388"/>
    <w:rsid w:val="00AA507B"/>
    <w:rsid w:val="00AA6D53"/>
    <w:rsid w:val="00AB0A4D"/>
    <w:rsid w:val="00AB3153"/>
    <w:rsid w:val="00AB3BC0"/>
    <w:rsid w:val="00AC2AB2"/>
    <w:rsid w:val="00AE6794"/>
    <w:rsid w:val="00AE6D1C"/>
    <w:rsid w:val="00B245C3"/>
    <w:rsid w:val="00B41B63"/>
    <w:rsid w:val="00B42A04"/>
    <w:rsid w:val="00B43383"/>
    <w:rsid w:val="00B473CF"/>
    <w:rsid w:val="00B66ED1"/>
    <w:rsid w:val="00B733DE"/>
    <w:rsid w:val="00B75282"/>
    <w:rsid w:val="00B75426"/>
    <w:rsid w:val="00B754CF"/>
    <w:rsid w:val="00B75C81"/>
    <w:rsid w:val="00B81F78"/>
    <w:rsid w:val="00B9680A"/>
    <w:rsid w:val="00BB328A"/>
    <w:rsid w:val="00BC5BCB"/>
    <w:rsid w:val="00BD5FCA"/>
    <w:rsid w:val="00BF1A6B"/>
    <w:rsid w:val="00BF7970"/>
    <w:rsid w:val="00C0064B"/>
    <w:rsid w:val="00C2409E"/>
    <w:rsid w:val="00C3223D"/>
    <w:rsid w:val="00C414F1"/>
    <w:rsid w:val="00C61CCC"/>
    <w:rsid w:val="00C678B4"/>
    <w:rsid w:val="00C70AB1"/>
    <w:rsid w:val="00C95F3E"/>
    <w:rsid w:val="00CB15B9"/>
    <w:rsid w:val="00CD4F88"/>
    <w:rsid w:val="00CF162D"/>
    <w:rsid w:val="00CF2829"/>
    <w:rsid w:val="00D35285"/>
    <w:rsid w:val="00D548E5"/>
    <w:rsid w:val="00D64000"/>
    <w:rsid w:val="00D679DE"/>
    <w:rsid w:val="00D93A9C"/>
    <w:rsid w:val="00DB1778"/>
    <w:rsid w:val="00DD2765"/>
    <w:rsid w:val="00DE25A4"/>
    <w:rsid w:val="00DE4160"/>
    <w:rsid w:val="00DF62E7"/>
    <w:rsid w:val="00E2270A"/>
    <w:rsid w:val="00E52F35"/>
    <w:rsid w:val="00E55F62"/>
    <w:rsid w:val="00E71460"/>
    <w:rsid w:val="00E8652A"/>
    <w:rsid w:val="00E94E28"/>
    <w:rsid w:val="00ED0659"/>
    <w:rsid w:val="00ED6537"/>
    <w:rsid w:val="00EE78F8"/>
    <w:rsid w:val="00F0366F"/>
    <w:rsid w:val="00F15A52"/>
    <w:rsid w:val="00F45BBF"/>
    <w:rsid w:val="00F465F4"/>
    <w:rsid w:val="00FA4781"/>
    <w:rsid w:val="00FC1AB1"/>
    <w:rsid w:val="00FF2470"/>
    <w:rsid w:val="00FF4A57"/>
    <w:rsid w:val="00FF7BE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ED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3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0F5A14"/>
    <w:pPr>
      <w:tabs>
        <w:tab w:val="center" w:pos="4153"/>
        <w:tab w:val="right" w:pos="8306"/>
      </w:tabs>
      <w:snapToGrid w:val="0"/>
    </w:pPr>
    <w:rPr>
      <w:sz w:val="20"/>
      <w:szCs w:val="20"/>
    </w:rPr>
  </w:style>
  <w:style w:type="character" w:customStyle="1" w:styleId="a5">
    <w:name w:val="頁首 字元"/>
    <w:basedOn w:val="a0"/>
    <w:link w:val="a4"/>
    <w:uiPriority w:val="99"/>
    <w:semiHidden/>
    <w:rsid w:val="000F5A14"/>
    <w:rPr>
      <w:sz w:val="20"/>
      <w:szCs w:val="20"/>
    </w:rPr>
  </w:style>
  <w:style w:type="paragraph" w:styleId="a6">
    <w:name w:val="footer"/>
    <w:basedOn w:val="a"/>
    <w:link w:val="a7"/>
    <w:uiPriority w:val="99"/>
    <w:unhideWhenUsed/>
    <w:rsid w:val="000F5A14"/>
    <w:pPr>
      <w:tabs>
        <w:tab w:val="center" w:pos="4153"/>
        <w:tab w:val="right" w:pos="8306"/>
      </w:tabs>
      <w:snapToGrid w:val="0"/>
    </w:pPr>
    <w:rPr>
      <w:sz w:val="20"/>
      <w:szCs w:val="20"/>
    </w:rPr>
  </w:style>
  <w:style w:type="character" w:customStyle="1" w:styleId="a7">
    <w:name w:val="頁尾 字元"/>
    <w:basedOn w:val="a0"/>
    <w:link w:val="a6"/>
    <w:uiPriority w:val="99"/>
    <w:rsid w:val="000F5A14"/>
    <w:rPr>
      <w:sz w:val="20"/>
      <w:szCs w:val="20"/>
    </w:rPr>
  </w:style>
  <w:style w:type="paragraph" w:styleId="a8">
    <w:name w:val="Balloon Text"/>
    <w:basedOn w:val="a"/>
    <w:link w:val="a9"/>
    <w:uiPriority w:val="99"/>
    <w:semiHidden/>
    <w:unhideWhenUsed/>
    <w:rsid w:val="008F092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F0925"/>
    <w:rPr>
      <w:rFonts w:asciiTheme="majorHAnsi" w:eastAsiaTheme="majorEastAsia" w:hAnsiTheme="majorHAnsi" w:cstheme="majorBidi"/>
      <w:sz w:val="18"/>
      <w:szCs w:val="18"/>
    </w:rPr>
  </w:style>
  <w:style w:type="paragraph" w:styleId="aa">
    <w:name w:val="List Paragraph"/>
    <w:basedOn w:val="a"/>
    <w:uiPriority w:val="34"/>
    <w:qFormat/>
    <w:rsid w:val="00B75282"/>
    <w:pPr>
      <w:ind w:leftChars="200" w:left="480"/>
    </w:pPr>
  </w:style>
  <w:style w:type="paragraph" w:styleId="HTML">
    <w:name w:val="HTML Preformatted"/>
    <w:basedOn w:val="a"/>
    <w:link w:val="HTML0"/>
    <w:uiPriority w:val="99"/>
    <w:unhideWhenUsed/>
    <w:rsid w:val="002562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25626C"/>
    <w:rPr>
      <w:rFonts w:ascii="細明體" w:eastAsia="細明體" w:hAnsi="細明體" w:cs="細明體"/>
      <w:kern w:val="0"/>
      <w:szCs w:val="24"/>
    </w:rPr>
  </w:style>
  <w:style w:type="character" w:styleId="ab">
    <w:name w:val="Hyperlink"/>
    <w:basedOn w:val="a0"/>
    <w:uiPriority w:val="99"/>
    <w:unhideWhenUsed/>
    <w:rsid w:val="00951C4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5387696">
      <w:bodyDiv w:val="1"/>
      <w:marLeft w:val="0"/>
      <w:marRight w:val="0"/>
      <w:marTop w:val="0"/>
      <w:marBottom w:val="0"/>
      <w:divBdr>
        <w:top w:val="none" w:sz="0" w:space="0" w:color="auto"/>
        <w:left w:val="none" w:sz="0" w:space="0" w:color="auto"/>
        <w:bottom w:val="none" w:sz="0" w:space="0" w:color="auto"/>
        <w:right w:val="none" w:sz="0" w:space="0" w:color="auto"/>
      </w:divBdr>
      <w:divsChild>
        <w:div w:id="348142803">
          <w:marLeft w:val="0"/>
          <w:marRight w:val="0"/>
          <w:marTop w:val="120"/>
          <w:marBottom w:val="0"/>
          <w:divBdr>
            <w:top w:val="none" w:sz="0" w:space="0" w:color="auto"/>
            <w:left w:val="none" w:sz="0" w:space="0" w:color="auto"/>
            <w:bottom w:val="none" w:sz="0" w:space="0" w:color="auto"/>
            <w:right w:val="none" w:sz="0" w:space="0" w:color="auto"/>
          </w:divBdr>
          <w:divsChild>
            <w:div w:id="678236912">
              <w:marLeft w:val="0"/>
              <w:marRight w:val="0"/>
              <w:marTop w:val="0"/>
              <w:marBottom w:val="0"/>
              <w:divBdr>
                <w:top w:val="none" w:sz="0" w:space="0" w:color="auto"/>
                <w:left w:val="none" w:sz="0" w:space="0" w:color="auto"/>
                <w:bottom w:val="none" w:sz="0" w:space="0" w:color="auto"/>
                <w:right w:val="none" w:sz="0" w:space="0" w:color="auto"/>
              </w:divBdr>
              <w:divsChild>
                <w:div w:id="1545143334">
                  <w:marLeft w:val="0"/>
                  <w:marRight w:val="0"/>
                  <w:marTop w:val="0"/>
                  <w:marBottom w:val="0"/>
                  <w:divBdr>
                    <w:top w:val="none" w:sz="0" w:space="0" w:color="auto"/>
                    <w:left w:val="none" w:sz="0" w:space="0" w:color="auto"/>
                    <w:bottom w:val="none" w:sz="0" w:space="0" w:color="auto"/>
                    <w:right w:val="none" w:sz="0" w:space="0" w:color="auto"/>
                  </w:divBdr>
                  <w:divsChild>
                    <w:div w:id="189803756">
                      <w:marLeft w:val="0"/>
                      <w:marRight w:val="0"/>
                      <w:marTop w:val="0"/>
                      <w:marBottom w:val="0"/>
                      <w:divBdr>
                        <w:top w:val="none" w:sz="0" w:space="0" w:color="auto"/>
                        <w:left w:val="none" w:sz="0" w:space="0" w:color="auto"/>
                        <w:bottom w:val="none" w:sz="0" w:space="0" w:color="auto"/>
                        <w:right w:val="none" w:sz="0" w:space="0" w:color="auto"/>
                      </w:divBdr>
                      <w:divsChild>
                        <w:div w:id="2003850660">
                          <w:marLeft w:val="0"/>
                          <w:marRight w:val="0"/>
                          <w:marTop w:val="0"/>
                          <w:marBottom w:val="120"/>
                          <w:divBdr>
                            <w:top w:val="none" w:sz="0" w:space="0" w:color="auto"/>
                            <w:left w:val="none" w:sz="0" w:space="0" w:color="auto"/>
                            <w:bottom w:val="none" w:sz="0" w:space="0" w:color="auto"/>
                            <w:right w:val="none" w:sz="0" w:space="0" w:color="auto"/>
                          </w:divBdr>
                          <w:divsChild>
                            <w:div w:id="11423382">
                              <w:marLeft w:val="0"/>
                              <w:marRight w:val="0"/>
                              <w:marTop w:val="0"/>
                              <w:marBottom w:val="0"/>
                              <w:divBdr>
                                <w:top w:val="none" w:sz="0" w:space="0" w:color="auto"/>
                                <w:left w:val="none" w:sz="0" w:space="0" w:color="auto"/>
                                <w:bottom w:val="none" w:sz="0" w:space="0" w:color="auto"/>
                                <w:right w:val="none" w:sz="0" w:space="0" w:color="auto"/>
                              </w:divBdr>
                              <w:divsChild>
                                <w:div w:id="94516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4560">
      <w:bodyDiv w:val="1"/>
      <w:marLeft w:val="0"/>
      <w:marRight w:val="0"/>
      <w:marTop w:val="0"/>
      <w:marBottom w:val="0"/>
      <w:divBdr>
        <w:top w:val="none" w:sz="0" w:space="0" w:color="auto"/>
        <w:left w:val="none" w:sz="0" w:space="0" w:color="auto"/>
        <w:bottom w:val="none" w:sz="0" w:space="0" w:color="auto"/>
        <w:right w:val="none" w:sz="0" w:space="0" w:color="auto"/>
      </w:divBdr>
      <w:divsChild>
        <w:div w:id="979849262">
          <w:marLeft w:val="0"/>
          <w:marRight w:val="0"/>
          <w:marTop w:val="120"/>
          <w:marBottom w:val="0"/>
          <w:divBdr>
            <w:top w:val="none" w:sz="0" w:space="0" w:color="auto"/>
            <w:left w:val="none" w:sz="0" w:space="0" w:color="auto"/>
            <w:bottom w:val="none" w:sz="0" w:space="0" w:color="auto"/>
            <w:right w:val="none" w:sz="0" w:space="0" w:color="auto"/>
          </w:divBdr>
          <w:divsChild>
            <w:div w:id="2030181036">
              <w:marLeft w:val="0"/>
              <w:marRight w:val="0"/>
              <w:marTop w:val="0"/>
              <w:marBottom w:val="0"/>
              <w:divBdr>
                <w:top w:val="none" w:sz="0" w:space="0" w:color="auto"/>
                <w:left w:val="none" w:sz="0" w:space="0" w:color="auto"/>
                <w:bottom w:val="none" w:sz="0" w:space="0" w:color="auto"/>
                <w:right w:val="none" w:sz="0" w:space="0" w:color="auto"/>
              </w:divBdr>
              <w:divsChild>
                <w:div w:id="352418881">
                  <w:marLeft w:val="0"/>
                  <w:marRight w:val="0"/>
                  <w:marTop w:val="0"/>
                  <w:marBottom w:val="0"/>
                  <w:divBdr>
                    <w:top w:val="none" w:sz="0" w:space="0" w:color="auto"/>
                    <w:left w:val="none" w:sz="0" w:space="0" w:color="auto"/>
                    <w:bottom w:val="none" w:sz="0" w:space="0" w:color="auto"/>
                    <w:right w:val="none" w:sz="0" w:space="0" w:color="auto"/>
                  </w:divBdr>
                  <w:divsChild>
                    <w:div w:id="951204512">
                      <w:marLeft w:val="0"/>
                      <w:marRight w:val="0"/>
                      <w:marTop w:val="0"/>
                      <w:marBottom w:val="0"/>
                      <w:divBdr>
                        <w:top w:val="none" w:sz="0" w:space="0" w:color="auto"/>
                        <w:left w:val="none" w:sz="0" w:space="0" w:color="auto"/>
                        <w:bottom w:val="none" w:sz="0" w:space="0" w:color="auto"/>
                        <w:right w:val="none" w:sz="0" w:space="0" w:color="auto"/>
                      </w:divBdr>
                      <w:divsChild>
                        <w:div w:id="1815290787">
                          <w:marLeft w:val="0"/>
                          <w:marRight w:val="0"/>
                          <w:marTop w:val="0"/>
                          <w:marBottom w:val="0"/>
                          <w:divBdr>
                            <w:top w:val="none" w:sz="0" w:space="0" w:color="auto"/>
                            <w:left w:val="none" w:sz="0" w:space="0" w:color="auto"/>
                            <w:bottom w:val="none" w:sz="0" w:space="0" w:color="auto"/>
                            <w:right w:val="none" w:sz="0" w:space="0" w:color="auto"/>
                          </w:divBdr>
                          <w:divsChild>
                            <w:div w:id="1933313704">
                              <w:marLeft w:val="0"/>
                              <w:marRight w:val="0"/>
                              <w:marTop w:val="0"/>
                              <w:marBottom w:val="0"/>
                              <w:divBdr>
                                <w:top w:val="none" w:sz="0" w:space="0" w:color="auto"/>
                                <w:left w:val="none" w:sz="0" w:space="0" w:color="auto"/>
                                <w:bottom w:val="none" w:sz="0" w:space="0" w:color="auto"/>
                                <w:right w:val="none" w:sz="0" w:space="0" w:color="auto"/>
                              </w:divBdr>
                              <w:divsChild>
                                <w:div w:id="1320882634">
                                  <w:marLeft w:val="0"/>
                                  <w:marRight w:val="0"/>
                                  <w:marTop w:val="0"/>
                                  <w:marBottom w:val="0"/>
                                  <w:divBdr>
                                    <w:top w:val="none" w:sz="0" w:space="0" w:color="auto"/>
                                    <w:left w:val="none" w:sz="0" w:space="0" w:color="auto"/>
                                    <w:bottom w:val="none" w:sz="0" w:space="0" w:color="auto"/>
                                    <w:right w:val="none" w:sz="0" w:space="0" w:color="auto"/>
                                  </w:divBdr>
                                  <w:divsChild>
                                    <w:div w:id="59147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384597">
      <w:bodyDiv w:val="1"/>
      <w:marLeft w:val="0"/>
      <w:marRight w:val="0"/>
      <w:marTop w:val="0"/>
      <w:marBottom w:val="0"/>
      <w:divBdr>
        <w:top w:val="none" w:sz="0" w:space="0" w:color="auto"/>
        <w:left w:val="none" w:sz="0" w:space="0" w:color="auto"/>
        <w:bottom w:val="none" w:sz="0" w:space="0" w:color="auto"/>
        <w:right w:val="none" w:sz="0" w:space="0" w:color="auto"/>
      </w:divBdr>
      <w:divsChild>
        <w:div w:id="1180318335">
          <w:marLeft w:val="0"/>
          <w:marRight w:val="0"/>
          <w:marTop w:val="0"/>
          <w:marBottom w:val="0"/>
          <w:divBdr>
            <w:top w:val="none" w:sz="0" w:space="0" w:color="auto"/>
            <w:left w:val="none" w:sz="0" w:space="0" w:color="auto"/>
            <w:bottom w:val="none" w:sz="0" w:space="0" w:color="auto"/>
            <w:right w:val="none" w:sz="0" w:space="0" w:color="auto"/>
          </w:divBdr>
        </w:div>
        <w:div w:id="594752021">
          <w:marLeft w:val="0"/>
          <w:marRight w:val="0"/>
          <w:marTop w:val="0"/>
          <w:marBottom w:val="0"/>
          <w:divBdr>
            <w:top w:val="none" w:sz="0" w:space="0" w:color="auto"/>
            <w:left w:val="none" w:sz="0" w:space="0" w:color="auto"/>
            <w:bottom w:val="none" w:sz="0" w:space="0" w:color="auto"/>
            <w:right w:val="none" w:sz="0" w:space="0" w:color="auto"/>
          </w:divBdr>
        </w:div>
        <w:div w:id="1935476467">
          <w:marLeft w:val="0"/>
          <w:marRight w:val="0"/>
          <w:marTop w:val="0"/>
          <w:marBottom w:val="0"/>
          <w:divBdr>
            <w:top w:val="none" w:sz="0" w:space="0" w:color="auto"/>
            <w:left w:val="none" w:sz="0" w:space="0" w:color="auto"/>
            <w:bottom w:val="none" w:sz="0" w:space="0" w:color="auto"/>
            <w:right w:val="none" w:sz="0" w:space="0" w:color="auto"/>
          </w:divBdr>
        </w:div>
        <w:div w:id="594482375">
          <w:marLeft w:val="0"/>
          <w:marRight w:val="0"/>
          <w:marTop w:val="0"/>
          <w:marBottom w:val="0"/>
          <w:divBdr>
            <w:top w:val="none" w:sz="0" w:space="0" w:color="auto"/>
            <w:left w:val="none" w:sz="0" w:space="0" w:color="auto"/>
            <w:bottom w:val="none" w:sz="0" w:space="0" w:color="auto"/>
            <w:right w:val="none" w:sz="0" w:space="0" w:color="auto"/>
          </w:divBdr>
        </w:div>
        <w:div w:id="332339189">
          <w:marLeft w:val="0"/>
          <w:marRight w:val="0"/>
          <w:marTop w:val="0"/>
          <w:marBottom w:val="0"/>
          <w:divBdr>
            <w:top w:val="none" w:sz="0" w:space="0" w:color="auto"/>
            <w:left w:val="none" w:sz="0" w:space="0" w:color="auto"/>
            <w:bottom w:val="none" w:sz="0" w:space="0" w:color="auto"/>
            <w:right w:val="none" w:sz="0" w:space="0" w:color="auto"/>
          </w:divBdr>
        </w:div>
        <w:div w:id="666908596">
          <w:marLeft w:val="0"/>
          <w:marRight w:val="0"/>
          <w:marTop w:val="0"/>
          <w:marBottom w:val="0"/>
          <w:divBdr>
            <w:top w:val="none" w:sz="0" w:space="0" w:color="auto"/>
            <w:left w:val="none" w:sz="0" w:space="0" w:color="auto"/>
            <w:bottom w:val="none" w:sz="0" w:space="0" w:color="auto"/>
            <w:right w:val="none" w:sz="0" w:space="0" w:color="auto"/>
          </w:divBdr>
        </w:div>
      </w:divsChild>
    </w:div>
    <w:div w:id="1025592675">
      <w:bodyDiv w:val="1"/>
      <w:marLeft w:val="0"/>
      <w:marRight w:val="0"/>
      <w:marTop w:val="0"/>
      <w:marBottom w:val="0"/>
      <w:divBdr>
        <w:top w:val="none" w:sz="0" w:space="0" w:color="auto"/>
        <w:left w:val="none" w:sz="0" w:space="0" w:color="auto"/>
        <w:bottom w:val="none" w:sz="0" w:space="0" w:color="auto"/>
        <w:right w:val="none" w:sz="0" w:space="0" w:color="auto"/>
      </w:divBdr>
      <w:divsChild>
        <w:div w:id="1614441034">
          <w:marLeft w:val="0"/>
          <w:marRight w:val="0"/>
          <w:marTop w:val="120"/>
          <w:marBottom w:val="0"/>
          <w:divBdr>
            <w:top w:val="none" w:sz="0" w:space="0" w:color="auto"/>
            <w:left w:val="none" w:sz="0" w:space="0" w:color="auto"/>
            <w:bottom w:val="none" w:sz="0" w:space="0" w:color="auto"/>
            <w:right w:val="none" w:sz="0" w:space="0" w:color="auto"/>
          </w:divBdr>
          <w:divsChild>
            <w:div w:id="1831478370">
              <w:marLeft w:val="0"/>
              <w:marRight w:val="0"/>
              <w:marTop w:val="0"/>
              <w:marBottom w:val="0"/>
              <w:divBdr>
                <w:top w:val="none" w:sz="0" w:space="0" w:color="auto"/>
                <w:left w:val="none" w:sz="0" w:space="0" w:color="auto"/>
                <w:bottom w:val="none" w:sz="0" w:space="0" w:color="auto"/>
                <w:right w:val="none" w:sz="0" w:space="0" w:color="auto"/>
              </w:divBdr>
              <w:divsChild>
                <w:div w:id="968049798">
                  <w:marLeft w:val="0"/>
                  <w:marRight w:val="0"/>
                  <w:marTop w:val="0"/>
                  <w:marBottom w:val="0"/>
                  <w:divBdr>
                    <w:top w:val="none" w:sz="0" w:space="0" w:color="auto"/>
                    <w:left w:val="none" w:sz="0" w:space="0" w:color="auto"/>
                    <w:bottom w:val="none" w:sz="0" w:space="0" w:color="auto"/>
                    <w:right w:val="none" w:sz="0" w:space="0" w:color="auto"/>
                  </w:divBdr>
                  <w:divsChild>
                    <w:div w:id="1369068808">
                      <w:marLeft w:val="0"/>
                      <w:marRight w:val="0"/>
                      <w:marTop w:val="0"/>
                      <w:marBottom w:val="0"/>
                      <w:divBdr>
                        <w:top w:val="none" w:sz="0" w:space="0" w:color="auto"/>
                        <w:left w:val="none" w:sz="0" w:space="0" w:color="auto"/>
                        <w:bottom w:val="none" w:sz="0" w:space="0" w:color="auto"/>
                        <w:right w:val="none" w:sz="0" w:space="0" w:color="auto"/>
                      </w:divBdr>
                      <w:divsChild>
                        <w:div w:id="765424293">
                          <w:marLeft w:val="0"/>
                          <w:marRight w:val="0"/>
                          <w:marTop w:val="0"/>
                          <w:marBottom w:val="0"/>
                          <w:divBdr>
                            <w:top w:val="none" w:sz="0" w:space="0" w:color="auto"/>
                            <w:left w:val="none" w:sz="0" w:space="0" w:color="auto"/>
                            <w:bottom w:val="none" w:sz="0" w:space="0" w:color="auto"/>
                            <w:right w:val="none" w:sz="0" w:space="0" w:color="auto"/>
                          </w:divBdr>
                          <w:divsChild>
                            <w:div w:id="398939220">
                              <w:marLeft w:val="0"/>
                              <w:marRight w:val="0"/>
                              <w:marTop w:val="0"/>
                              <w:marBottom w:val="0"/>
                              <w:divBdr>
                                <w:top w:val="none" w:sz="0" w:space="0" w:color="auto"/>
                                <w:left w:val="none" w:sz="0" w:space="0" w:color="auto"/>
                                <w:bottom w:val="none" w:sz="0" w:space="0" w:color="auto"/>
                                <w:right w:val="none" w:sz="0" w:space="0" w:color="auto"/>
                              </w:divBdr>
                              <w:divsChild>
                                <w:div w:id="1015424307">
                                  <w:marLeft w:val="0"/>
                                  <w:marRight w:val="0"/>
                                  <w:marTop w:val="0"/>
                                  <w:marBottom w:val="0"/>
                                  <w:divBdr>
                                    <w:top w:val="none" w:sz="0" w:space="0" w:color="auto"/>
                                    <w:left w:val="none" w:sz="0" w:space="0" w:color="auto"/>
                                    <w:bottom w:val="none" w:sz="0" w:space="0" w:color="auto"/>
                                    <w:right w:val="none" w:sz="0" w:space="0" w:color="auto"/>
                                  </w:divBdr>
                                  <w:divsChild>
                                    <w:div w:id="1445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5785">
      <w:bodyDiv w:val="1"/>
      <w:marLeft w:val="0"/>
      <w:marRight w:val="0"/>
      <w:marTop w:val="0"/>
      <w:marBottom w:val="0"/>
      <w:divBdr>
        <w:top w:val="none" w:sz="0" w:space="0" w:color="auto"/>
        <w:left w:val="none" w:sz="0" w:space="0" w:color="auto"/>
        <w:bottom w:val="none" w:sz="0" w:space="0" w:color="auto"/>
        <w:right w:val="none" w:sz="0" w:space="0" w:color="auto"/>
      </w:divBdr>
      <w:divsChild>
        <w:div w:id="1066494121">
          <w:marLeft w:val="0"/>
          <w:marRight w:val="0"/>
          <w:marTop w:val="0"/>
          <w:marBottom w:val="0"/>
          <w:divBdr>
            <w:top w:val="none" w:sz="0" w:space="0" w:color="auto"/>
            <w:left w:val="none" w:sz="0" w:space="0" w:color="auto"/>
            <w:bottom w:val="none" w:sz="0" w:space="0" w:color="auto"/>
            <w:right w:val="none" w:sz="0" w:space="0" w:color="auto"/>
          </w:divBdr>
        </w:div>
        <w:div w:id="857041957">
          <w:marLeft w:val="0"/>
          <w:marRight w:val="0"/>
          <w:marTop w:val="0"/>
          <w:marBottom w:val="0"/>
          <w:divBdr>
            <w:top w:val="none" w:sz="0" w:space="0" w:color="auto"/>
            <w:left w:val="none" w:sz="0" w:space="0" w:color="auto"/>
            <w:bottom w:val="none" w:sz="0" w:space="0" w:color="auto"/>
            <w:right w:val="none" w:sz="0" w:space="0" w:color="auto"/>
          </w:divBdr>
        </w:div>
        <w:div w:id="1687319963">
          <w:marLeft w:val="0"/>
          <w:marRight w:val="0"/>
          <w:marTop w:val="0"/>
          <w:marBottom w:val="0"/>
          <w:divBdr>
            <w:top w:val="none" w:sz="0" w:space="0" w:color="auto"/>
            <w:left w:val="none" w:sz="0" w:space="0" w:color="auto"/>
            <w:bottom w:val="none" w:sz="0" w:space="0" w:color="auto"/>
            <w:right w:val="none" w:sz="0" w:space="0" w:color="auto"/>
          </w:divBdr>
        </w:div>
        <w:div w:id="1735665382">
          <w:marLeft w:val="0"/>
          <w:marRight w:val="0"/>
          <w:marTop w:val="0"/>
          <w:marBottom w:val="0"/>
          <w:divBdr>
            <w:top w:val="none" w:sz="0" w:space="0" w:color="auto"/>
            <w:left w:val="none" w:sz="0" w:space="0" w:color="auto"/>
            <w:bottom w:val="none" w:sz="0" w:space="0" w:color="auto"/>
            <w:right w:val="none" w:sz="0" w:space="0" w:color="auto"/>
          </w:divBdr>
        </w:div>
        <w:div w:id="1434856426">
          <w:marLeft w:val="0"/>
          <w:marRight w:val="0"/>
          <w:marTop w:val="0"/>
          <w:marBottom w:val="0"/>
          <w:divBdr>
            <w:top w:val="none" w:sz="0" w:space="0" w:color="auto"/>
            <w:left w:val="none" w:sz="0" w:space="0" w:color="auto"/>
            <w:bottom w:val="none" w:sz="0" w:space="0" w:color="auto"/>
            <w:right w:val="none" w:sz="0" w:space="0" w:color="auto"/>
          </w:divBdr>
        </w:div>
        <w:div w:id="1042748848">
          <w:marLeft w:val="0"/>
          <w:marRight w:val="0"/>
          <w:marTop w:val="0"/>
          <w:marBottom w:val="0"/>
          <w:divBdr>
            <w:top w:val="none" w:sz="0" w:space="0" w:color="auto"/>
            <w:left w:val="none" w:sz="0" w:space="0" w:color="auto"/>
            <w:bottom w:val="none" w:sz="0" w:space="0" w:color="auto"/>
            <w:right w:val="none" w:sz="0" w:space="0" w:color="auto"/>
          </w:divBdr>
        </w:div>
        <w:div w:id="80638413">
          <w:marLeft w:val="0"/>
          <w:marRight w:val="0"/>
          <w:marTop w:val="0"/>
          <w:marBottom w:val="0"/>
          <w:divBdr>
            <w:top w:val="none" w:sz="0" w:space="0" w:color="auto"/>
            <w:left w:val="none" w:sz="0" w:space="0" w:color="auto"/>
            <w:bottom w:val="none" w:sz="0" w:space="0" w:color="auto"/>
            <w:right w:val="none" w:sz="0" w:space="0" w:color="auto"/>
          </w:divBdr>
        </w:div>
        <w:div w:id="1840660496">
          <w:marLeft w:val="0"/>
          <w:marRight w:val="0"/>
          <w:marTop w:val="0"/>
          <w:marBottom w:val="0"/>
          <w:divBdr>
            <w:top w:val="none" w:sz="0" w:space="0" w:color="auto"/>
            <w:left w:val="none" w:sz="0" w:space="0" w:color="auto"/>
            <w:bottom w:val="none" w:sz="0" w:space="0" w:color="auto"/>
            <w:right w:val="none" w:sz="0" w:space="0" w:color="auto"/>
          </w:divBdr>
        </w:div>
        <w:div w:id="1334718766">
          <w:marLeft w:val="0"/>
          <w:marRight w:val="0"/>
          <w:marTop w:val="0"/>
          <w:marBottom w:val="0"/>
          <w:divBdr>
            <w:top w:val="none" w:sz="0" w:space="0" w:color="auto"/>
            <w:left w:val="none" w:sz="0" w:space="0" w:color="auto"/>
            <w:bottom w:val="none" w:sz="0" w:space="0" w:color="auto"/>
            <w:right w:val="none" w:sz="0" w:space="0" w:color="auto"/>
          </w:divBdr>
        </w:div>
        <w:div w:id="905143273">
          <w:marLeft w:val="0"/>
          <w:marRight w:val="0"/>
          <w:marTop w:val="0"/>
          <w:marBottom w:val="0"/>
          <w:divBdr>
            <w:top w:val="none" w:sz="0" w:space="0" w:color="auto"/>
            <w:left w:val="none" w:sz="0" w:space="0" w:color="auto"/>
            <w:bottom w:val="none" w:sz="0" w:space="0" w:color="auto"/>
            <w:right w:val="none" w:sz="0" w:space="0" w:color="auto"/>
          </w:divBdr>
        </w:div>
        <w:div w:id="166293094">
          <w:marLeft w:val="0"/>
          <w:marRight w:val="0"/>
          <w:marTop w:val="0"/>
          <w:marBottom w:val="0"/>
          <w:divBdr>
            <w:top w:val="none" w:sz="0" w:space="0" w:color="auto"/>
            <w:left w:val="none" w:sz="0" w:space="0" w:color="auto"/>
            <w:bottom w:val="none" w:sz="0" w:space="0" w:color="auto"/>
            <w:right w:val="none" w:sz="0" w:space="0" w:color="auto"/>
          </w:divBdr>
        </w:div>
        <w:div w:id="1488781478">
          <w:marLeft w:val="0"/>
          <w:marRight w:val="0"/>
          <w:marTop w:val="0"/>
          <w:marBottom w:val="0"/>
          <w:divBdr>
            <w:top w:val="none" w:sz="0" w:space="0" w:color="auto"/>
            <w:left w:val="none" w:sz="0" w:space="0" w:color="auto"/>
            <w:bottom w:val="none" w:sz="0" w:space="0" w:color="auto"/>
            <w:right w:val="none" w:sz="0" w:space="0" w:color="auto"/>
          </w:divBdr>
        </w:div>
        <w:div w:id="1586576568">
          <w:marLeft w:val="0"/>
          <w:marRight w:val="0"/>
          <w:marTop w:val="0"/>
          <w:marBottom w:val="0"/>
          <w:divBdr>
            <w:top w:val="none" w:sz="0" w:space="0" w:color="auto"/>
            <w:left w:val="none" w:sz="0" w:space="0" w:color="auto"/>
            <w:bottom w:val="none" w:sz="0" w:space="0" w:color="auto"/>
            <w:right w:val="none" w:sz="0" w:space="0" w:color="auto"/>
          </w:divBdr>
        </w:div>
        <w:div w:id="2141068528">
          <w:marLeft w:val="0"/>
          <w:marRight w:val="0"/>
          <w:marTop w:val="0"/>
          <w:marBottom w:val="0"/>
          <w:divBdr>
            <w:top w:val="none" w:sz="0" w:space="0" w:color="auto"/>
            <w:left w:val="none" w:sz="0" w:space="0" w:color="auto"/>
            <w:bottom w:val="none" w:sz="0" w:space="0" w:color="auto"/>
            <w:right w:val="none" w:sz="0" w:space="0" w:color="auto"/>
          </w:divBdr>
        </w:div>
        <w:div w:id="595820387">
          <w:marLeft w:val="0"/>
          <w:marRight w:val="0"/>
          <w:marTop w:val="0"/>
          <w:marBottom w:val="0"/>
          <w:divBdr>
            <w:top w:val="none" w:sz="0" w:space="0" w:color="auto"/>
            <w:left w:val="none" w:sz="0" w:space="0" w:color="auto"/>
            <w:bottom w:val="none" w:sz="0" w:space="0" w:color="auto"/>
            <w:right w:val="none" w:sz="0" w:space="0" w:color="auto"/>
          </w:divBdr>
        </w:div>
        <w:div w:id="557398232">
          <w:marLeft w:val="0"/>
          <w:marRight w:val="0"/>
          <w:marTop w:val="0"/>
          <w:marBottom w:val="0"/>
          <w:divBdr>
            <w:top w:val="none" w:sz="0" w:space="0" w:color="auto"/>
            <w:left w:val="none" w:sz="0" w:space="0" w:color="auto"/>
            <w:bottom w:val="none" w:sz="0" w:space="0" w:color="auto"/>
            <w:right w:val="none" w:sz="0" w:space="0" w:color="auto"/>
          </w:divBdr>
        </w:div>
        <w:div w:id="1225607941">
          <w:marLeft w:val="0"/>
          <w:marRight w:val="0"/>
          <w:marTop w:val="0"/>
          <w:marBottom w:val="0"/>
          <w:divBdr>
            <w:top w:val="none" w:sz="0" w:space="0" w:color="auto"/>
            <w:left w:val="none" w:sz="0" w:space="0" w:color="auto"/>
            <w:bottom w:val="none" w:sz="0" w:space="0" w:color="auto"/>
            <w:right w:val="none" w:sz="0" w:space="0" w:color="auto"/>
          </w:divBdr>
        </w:div>
        <w:div w:id="379332082">
          <w:marLeft w:val="0"/>
          <w:marRight w:val="0"/>
          <w:marTop w:val="0"/>
          <w:marBottom w:val="0"/>
          <w:divBdr>
            <w:top w:val="none" w:sz="0" w:space="0" w:color="auto"/>
            <w:left w:val="none" w:sz="0" w:space="0" w:color="auto"/>
            <w:bottom w:val="none" w:sz="0" w:space="0" w:color="auto"/>
            <w:right w:val="none" w:sz="0" w:space="0" w:color="auto"/>
          </w:divBdr>
        </w:div>
      </w:divsChild>
    </w:div>
    <w:div w:id="1689595724">
      <w:bodyDiv w:val="1"/>
      <w:marLeft w:val="0"/>
      <w:marRight w:val="0"/>
      <w:marTop w:val="0"/>
      <w:marBottom w:val="0"/>
      <w:divBdr>
        <w:top w:val="none" w:sz="0" w:space="0" w:color="auto"/>
        <w:left w:val="none" w:sz="0" w:space="0" w:color="auto"/>
        <w:bottom w:val="none" w:sz="0" w:space="0" w:color="auto"/>
        <w:right w:val="none" w:sz="0" w:space="0" w:color="auto"/>
      </w:divBdr>
      <w:divsChild>
        <w:div w:id="457840487">
          <w:marLeft w:val="0"/>
          <w:marRight w:val="0"/>
          <w:marTop w:val="120"/>
          <w:marBottom w:val="0"/>
          <w:divBdr>
            <w:top w:val="none" w:sz="0" w:space="0" w:color="auto"/>
            <w:left w:val="none" w:sz="0" w:space="0" w:color="auto"/>
            <w:bottom w:val="none" w:sz="0" w:space="0" w:color="auto"/>
            <w:right w:val="none" w:sz="0" w:space="0" w:color="auto"/>
          </w:divBdr>
          <w:divsChild>
            <w:div w:id="458376394">
              <w:marLeft w:val="0"/>
              <w:marRight w:val="0"/>
              <w:marTop w:val="0"/>
              <w:marBottom w:val="0"/>
              <w:divBdr>
                <w:top w:val="none" w:sz="0" w:space="0" w:color="auto"/>
                <w:left w:val="none" w:sz="0" w:space="0" w:color="auto"/>
                <w:bottom w:val="none" w:sz="0" w:space="0" w:color="auto"/>
                <w:right w:val="none" w:sz="0" w:space="0" w:color="auto"/>
              </w:divBdr>
              <w:divsChild>
                <w:div w:id="1627270675">
                  <w:marLeft w:val="0"/>
                  <w:marRight w:val="0"/>
                  <w:marTop w:val="0"/>
                  <w:marBottom w:val="0"/>
                  <w:divBdr>
                    <w:top w:val="none" w:sz="0" w:space="0" w:color="auto"/>
                    <w:left w:val="none" w:sz="0" w:space="0" w:color="auto"/>
                    <w:bottom w:val="none" w:sz="0" w:space="0" w:color="auto"/>
                    <w:right w:val="none" w:sz="0" w:space="0" w:color="auto"/>
                  </w:divBdr>
                  <w:divsChild>
                    <w:div w:id="330065743">
                      <w:marLeft w:val="0"/>
                      <w:marRight w:val="0"/>
                      <w:marTop w:val="0"/>
                      <w:marBottom w:val="0"/>
                      <w:divBdr>
                        <w:top w:val="none" w:sz="0" w:space="0" w:color="auto"/>
                        <w:left w:val="none" w:sz="0" w:space="0" w:color="auto"/>
                        <w:bottom w:val="none" w:sz="0" w:space="0" w:color="auto"/>
                        <w:right w:val="none" w:sz="0" w:space="0" w:color="auto"/>
                      </w:divBdr>
                      <w:divsChild>
                        <w:div w:id="1676298552">
                          <w:marLeft w:val="0"/>
                          <w:marRight w:val="0"/>
                          <w:marTop w:val="0"/>
                          <w:marBottom w:val="0"/>
                          <w:divBdr>
                            <w:top w:val="none" w:sz="0" w:space="0" w:color="auto"/>
                            <w:left w:val="none" w:sz="0" w:space="0" w:color="auto"/>
                            <w:bottom w:val="none" w:sz="0" w:space="0" w:color="auto"/>
                            <w:right w:val="none" w:sz="0" w:space="0" w:color="auto"/>
                          </w:divBdr>
                          <w:divsChild>
                            <w:div w:id="240917969">
                              <w:marLeft w:val="0"/>
                              <w:marRight w:val="0"/>
                              <w:marTop w:val="0"/>
                              <w:marBottom w:val="0"/>
                              <w:divBdr>
                                <w:top w:val="none" w:sz="0" w:space="0" w:color="auto"/>
                                <w:left w:val="none" w:sz="0" w:space="0" w:color="auto"/>
                                <w:bottom w:val="none" w:sz="0" w:space="0" w:color="auto"/>
                                <w:right w:val="none" w:sz="0" w:space="0" w:color="auto"/>
                              </w:divBdr>
                              <w:divsChild>
                                <w:div w:id="124395095">
                                  <w:marLeft w:val="0"/>
                                  <w:marRight w:val="0"/>
                                  <w:marTop w:val="0"/>
                                  <w:marBottom w:val="0"/>
                                  <w:divBdr>
                                    <w:top w:val="none" w:sz="0" w:space="0" w:color="auto"/>
                                    <w:left w:val="none" w:sz="0" w:space="0" w:color="auto"/>
                                    <w:bottom w:val="none" w:sz="0" w:space="0" w:color="auto"/>
                                    <w:right w:val="none" w:sz="0" w:space="0" w:color="auto"/>
                                  </w:divBdr>
                                  <w:divsChild>
                                    <w:div w:id="20538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348707">
      <w:bodyDiv w:val="1"/>
      <w:marLeft w:val="0"/>
      <w:marRight w:val="0"/>
      <w:marTop w:val="0"/>
      <w:marBottom w:val="0"/>
      <w:divBdr>
        <w:top w:val="none" w:sz="0" w:space="0" w:color="auto"/>
        <w:left w:val="none" w:sz="0" w:space="0" w:color="auto"/>
        <w:bottom w:val="none" w:sz="0" w:space="0" w:color="auto"/>
        <w:right w:val="none" w:sz="0" w:space="0" w:color="auto"/>
      </w:divBdr>
      <w:divsChild>
        <w:div w:id="1558010008">
          <w:marLeft w:val="0"/>
          <w:marRight w:val="0"/>
          <w:marTop w:val="120"/>
          <w:marBottom w:val="0"/>
          <w:divBdr>
            <w:top w:val="none" w:sz="0" w:space="0" w:color="auto"/>
            <w:left w:val="none" w:sz="0" w:space="0" w:color="auto"/>
            <w:bottom w:val="none" w:sz="0" w:space="0" w:color="auto"/>
            <w:right w:val="none" w:sz="0" w:space="0" w:color="auto"/>
          </w:divBdr>
          <w:divsChild>
            <w:div w:id="535507106">
              <w:marLeft w:val="0"/>
              <w:marRight w:val="0"/>
              <w:marTop w:val="0"/>
              <w:marBottom w:val="0"/>
              <w:divBdr>
                <w:top w:val="none" w:sz="0" w:space="0" w:color="auto"/>
                <w:left w:val="none" w:sz="0" w:space="0" w:color="auto"/>
                <w:bottom w:val="none" w:sz="0" w:space="0" w:color="auto"/>
                <w:right w:val="none" w:sz="0" w:space="0" w:color="auto"/>
              </w:divBdr>
              <w:divsChild>
                <w:div w:id="334725100">
                  <w:marLeft w:val="0"/>
                  <w:marRight w:val="0"/>
                  <w:marTop w:val="0"/>
                  <w:marBottom w:val="0"/>
                  <w:divBdr>
                    <w:top w:val="none" w:sz="0" w:space="0" w:color="auto"/>
                    <w:left w:val="none" w:sz="0" w:space="0" w:color="auto"/>
                    <w:bottom w:val="none" w:sz="0" w:space="0" w:color="auto"/>
                    <w:right w:val="none" w:sz="0" w:space="0" w:color="auto"/>
                  </w:divBdr>
                  <w:divsChild>
                    <w:div w:id="854347915">
                      <w:marLeft w:val="0"/>
                      <w:marRight w:val="0"/>
                      <w:marTop w:val="0"/>
                      <w:marBottom w:val="0"/>
                      <w:divBdr>
                        <w:top w:val="none" w:sz="0" w:space="0" w:color="auto"/>
                        <w:left w:val="none" w:sz="0" w:space="0" w:color="auto"/>
                        <w:bottom w:val="none" w:sz="0" w:space="0" w:color="auto"/>
                        <w:right w:val="none" w:sz="0" w:space="0" w:color="auto"/>
                      </w:divBdr>
                      <w:divsChild>
                        <w:div w:id="2033408581">
                          <w:marLeft w:val="0"/>
                          <w:marRight w:val="0"/>
                          <w:marTop w:val="0"/>
                          <w:marBottom w:val="0"/>
                          <w:divBdr>
                            <w:top w:val="none" w:sz="0" w:space="0" w:color="auto"/>
                            <w:left w:val="none" w:sz="0" w:space="0" w:color="auto"/>
                            <w:bottom w:val="none" w:sz="0" w:space="0" w:color="auto"/>
                            <w:right w:val="none" w:sz="0" w:space="0" w:color="auto"/>
                          </w:divBdr>
                          <w:divsChild>
                            <w:div w:id="1559511741">
                              <w:marLeft w:val="0"/>
                              <w:marRight w:val="0"/>
                              <w:marTop w:val="0"/>
                              <w:marBottom w:val="0"/>
                              <w:divBdr>
                                <w:top w:val="none" w:sz="0" w:space="0" w:color="auto"/>
                                <w:left w:val="none" w:sz="0" w:space="0" w:color="auto"/>
                                <w:bottom w:val="none" w:sz="0" w:space="0" w:color="auto"/>
                                <w:right w:val="none" w:sz="0" w:space="0" w:color="auto"/>
                              </w:divBdr>
                              <w:divsChild>
                                <w:div w:id="388579985">
                                  <w:marLeft w:val="0"/>
                                  <w:marRight w:val="0"/>
                                  <w:marTop w:val="0"/>
                                  <w:marBottom w:val="0"/>
                                  <w:divBdr>
                                    <w:top w:val="none" w:sz="0" w:space="0" w:color="auto"/>
                                    <w:left w:val="none" w:sz="0" w:space="0" w:color="auto"/>
                                    <w:bottom w:val="none" w:sz="0" w:space="0" w:color="auto"/>
                                    <w:right w:val="none" w:sz="0" w:space="0" w:color="auto"/>
                                  </w:divBdr>
                                  <w:divsChild>
                                    <w:div w:id="3166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7501330">
      <w:bodyDiv w:val="1"/>
      <w:marLeft w:val="0"/>
      <w:marRight w:val="0"/>
      <w:marTop w:val="0"/>
      <w:marBottom w:val="0"/>
      <w:divBdr>
        <w:top w:val="none" w:sz="0" w:space="0" w:color="auto"/>
        <w:left w:val="none" w:sz="0" w:space="0" w:color="auto"/>
        <w:bottom w:val="none" w:sz="0" w:space="0" w:color="auto"/>
        <w:right w:val="none" w:sz="0" w:space="0" w:color="auto"/>
      </w:divBdr>
      <w:divsChild>
        <w:div w:id="1155032074">
          <w:marLeft w:val="0"/>
          <w:marRight w:val="0"/>
          <w:marTop w:val="120"/>
          <w:marBottom w:val="0"/>
          <w:divBdr>
            <w:top w:val="none" w:sz="0" w:space="0" w:color="auto"/>
            <w:left w:val="none" w:sz="0" w:space="0" w:color="auto"/>
            <w:bottom w:val="none" w:sz="0" w:space="0" w:color="auto"/>
            <w:right w:val="none" w:sz="0" w:space="0" w:color="auto"/>
          </w:divBdr>
          <w:divsChild>
            <w:div w:id="1461024598">
              <w:marLeft w:val="0"/>
              <w:marRight w:val="0"/>
              <w:marTop w:val="0"/>
              <w:marBottom w:val="0"/>
              <w:divBdr>
                <w:top w:val="none" w:sz="0" w:space="0" w:color="auto"/>
                <w:left w:val="none" w:sz="0" w:space="0" w:color="auto"/>
                <w:bottom w:val="none" w:sz="0" w:space="0" w:color="auto"/>
                <w:right w:val="none" w:sz="0" w:space="0" w:color="auto"/>
              </w:divBdr>
              <w:divsChild>
                <w:div w:id="207886196">
                  <w:marLeft w:val="0"/>
                  <w:marRight w:val="0"/>
                  <w:marTop w:val="0"/>
                  <w:marBottom w:val="0"/>
                  <w:divBdr>
                    <w:top w:val="none" w:sz="0" w:space="0" w:color="auto"/>
                    <w:left w:val="none" w:sz="0" w:space="0" w:color="auto"/>
                    <w:bottom w:val="none" w:sz="0" w:space="0" w:color="auto"/>
                    <w:right w:val="none" w:sz="0" w:space="0" w:color="auto"/>
                  </w:divBdr>
                  <w:divsChild>
                    <w:div w:id="2021463729">
                      <w:marLeft w:val="0"/>
                      <w:marRight w:val="0"/>
                      <w:marTop w:val="0"/>
                      <w:marBottom w:val="0"/>
                      <w:divBdr>
                        <w:top w:val="none" w:sz="0" w:space="0" w:color="auto"/>
                        <w:left w:val="none" w:sz="0" w:space="0" w:color="auto"/>
                        <w:bottom w:val="none" w:sz="0" w:space="0" w:color="auto"/>
                        <w:right w:val="none" w:sz="0" w:space="0" w:color="auto"/>
                      </w:divBdr>
                      <w:divsChild>
                        <w:div w:id="1415400633">
                          <w:marLeft w:val="0"/>
                          <w:marRight w:val="0"/>
                          <w:marTop w:val="0"/>
                          <w:marBottom w:val="0"/>
                          <w:divBdr>
                            <w:top w:val="none" w:sz="0" w:space="0" w:color="auto"/>
                            <w:left w:val="none" w:sz="0" w:space="0" w:color="auto"/>
                            <w:bottom w:val="none" w:sz="0" w:space="0" w:color="auto"/>
                            <w:right w:val="none" w:sz="0" w:space="0" w:color="auto"/>
                          </w:divBdr>
                          <w:divsChild>
                            <w:div w:id="959217311">
                              <w:marLeft w:val="0"/>
                              <w:marRight w:val="0"/>
                              <w:marTop w:val="0"/>
                              <w:marBottom w:val="0"/>
                              <w:divBdr>
                                <w:top w:val="none" w:sz="0" w:space="0" w:color="auto"/>
                                <w:left w:val="none" w:sz="0" w:space="0" w:color="auto"/>
                                <w:bottom w:val="none" w:sz="0" w:space="0" w:color="auto"/>
                                <w:right w:val="none" w:sz="0" w:space="0" w:color="auto"/>
                              </w:divBdr>
                              <w:divsChild>
                                <w:div w:id="628705306">
                                  <w:marLeft w:val="0"/>
                                  <w:marRight w:val="0"/>
                                  <w:marTop w:val="0"/>
                                  <w:marBottom w:val="0"/>
                                  <w:divBdr>
                                    <w:top w:val="none" w:sz="0" w:space="0" w:color="auto"/>
                                    <w:left w:val="none" w:sz="0" w:space="0" w:color="auto"/>
                                    <w:bottom w:val="none" w:sz="0" w:space="0" w:color="auto"/>
                                    <w:right w:val="none" w:sz="0" w:space="0" w:color="auto"/>
                                  </w:divBdr>
                                  <w:divsChild>
                                    <w:div w:id="10021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91218">
      <w:bodyDiv w:val="1"/>
      <w:marLeft w:val="0"/>
      <w:marRight w:val="0"/>
      <w:marTop w:val="0"/>
      <w:marBottom w:val="0"/>
      <w:divBdr>
        <w:top w:val="none" w:sz="0" w:space="0" w:color="auto"/>
        <w:left w:val="none" w:sz="0" w:space="0" w:color="auto"/>
        <w:bottom w:val="none" w:sz="0" w:space="0" w:color="auto"/>
        <w:right w:val="none" w:sz="0" w:space="0" w:color="auto"/>
      </w:divBdr>
      <w:divsChild>
        <w:div w:id="1849908567">
          <w:marLeft w:val="0"/>
          <w:marRight w:val="0"/>
          <w:marTop w:val="120"/>
          <w:marBottom w:val="0"/>
          <w:divBdr>
            <w:top w:val="none" w:sz="0" w:space="0" w:color="auto"/>
            <w:left w:val="none" w:sz="0" w:space="0" w:color="auto"/>
            <w:bottom w:val="none" w:sz="0" w:space="0" w:color="auto"/>
            <w:right w:val="none" w:sz="0" w:space="0" w:color="auto"/>
          </w:divBdr>
          <w:divsChild>
            <w:div w:id="503283267">
              <w:marLeft w:val="0"/>
              <w:marRight w:val="0"/>
              <w:marTop w:val="0"/>
              <w:marBottom w:val="0"/>
              <w:divBdr>
                <w:top w:val="none" w:sz="0" w:space="0" w:color="auto"/>
                <w:left w:val="none" w:sz="0" w:space="0" w:color="auto"/>
                <w:bottom w:val="none" w:sz="0" w:space="0" w:color="auto"/>
                <w:right w:val="none" w:sz="0" w:space="0" w:color="auto"/>
              </w:divBdr>
              <w:divsChild>
                <w:div w:id="1997151001">
                  <w:marLeft w:val="0"/>
                  <w:marRight w:val="0"/>
                  <w:marTop w:val="0"/>
                  <w:marBottom w:val="0"/>
                  <w:divBdr>
                    <w:top w:val="none" w:sz="0" w:space="0" w:color="auto"/>
                    <w:left w:val="none" w:sz="0" w:space="0" w:color="auto"/>
                    <w:bottom w:val="none" w:sz="0" w:space="0" w:color="auto"/>
                    <w:right w:val="none" w:sz="0" w:space="0" w:color="auto"/>
                  </w:divBdr>
                  <w:divsChild>
                    <w:div w:id="404843487">
                      <w:marLeft w:val="0"/>
                      <w:marRight w:val="0"/>
                      <w:marTop w:val="0"/>
                      <w:marBottom w:val="0"/>
                      <w:divBdr>
                        <w:top w:val="none" w:sz="0" w:space="0" w:color="auto"/>
                        <w:left w:val="none" w:sz="0" w:space="0" w:color="auto"/>
                        <w:bottom w:val="none" w:sz="0" w:space="0" w:color="auto"/>
                        <w:right w:val="none" w:sz="0" w:space="0" w:color="auto"/>
                      </w:divBdr>
                      <w:divsChild>
                        <w:div w:id="1002583548">
                          <w:marLeft w:val="0"/>
                          <w:marRight w:val="0"/>
                          <w:marTop w:val="0"/>
                          <w:marBottom w:val="0"/>
                          <w:divBdr>
                            <w:top w:val="none" w:sz="0" w:space="0" w:color="auto"/>
                            <w:left w:val="none" w:sz="0" w:space="0" w:color="auto"/>
                            <w:bottom w:val="none" w:sz="0" w:space="0" w:color="auto"/>
                            <w:right w:val="none" w:sz="0" w:space="0" w:color="auto"/>
                          </w:divBdr>
                          <w:divsChild>
                            <w:div w:id="1410156784">
                              <w:marLeft w:val="0"/>
                              <w:marRight w:val="0"/>
                              <w:marTop w:val="0"/>
                              <w:marBottom w:val="0"/>
                              <w:divBdr>
                                <w:top w:val="none" w:sz="0" w:space="0" w:color="auto"/>
                                <w:left w:val="none" w:sz="0" w:space="0" w:color="auto"/>
                                <w:bottom w:val="none" w:sz="0" w:space="0" w:color="auto"/>
                                <w:right w:val="none" w:sz="0" w:space="0" w:color="auto"/>
                              </w:divBdr>
                              <w:divsChild>
                                <w:div w:id="1624120224">
                                  <w:marLeft w:val="0"/>
                                  <w:marRight w:val="0"/>
                                  <w:marTop w:val="0"/>
                                  <w:marBottom w:val="0"/>
                                  <w:divBdr>
                                    <w:top w:val="none" w:sz="0" w:space="0" w:color="auto"/>
                                    <w:left w:val="none" w:sz="0" w:space="0" w:color="auto"/>
                                    <w:bottom w:val="none" w:sz="0" w:space="0" w:color="auto"/>
                                    <w:right w:val="none" w:sz="0" w:space="0" w:color="auto"/>
                                  </w:divBdr>
                                  <w:divsChild>
                                    <w:div w:id="28280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19006">
      <w:bodyDiv w:val="1"/>
      <w:marLeft w:val="0"/>
      <w:marRight w:val="0"/>
      <w:marTop w:val="0"/>
      <w:marBottom w:val="0"/>
      <w:divBdr>
        <w:top w:val="none" w:sz="0" w:space="0" w:color="auto"/>
        <w:left w:val="none" w:sz="0" w:space="0" w:color="auto"/>
        <w:bottom w:val="none" w:sz="0" w:space="0" w:color="auto"/>
        <w:right w:val="none" w:sz="0" w:space="0" w:color="auto"/>
      </w:divBdr>
      <w:divsChild>
        <w:div w:id="674652660">
          <w:marLeft w:val="0"/>
          <w:marRight w:val="0"/>
          <w:marTop w:val="120"/>
          <w:marBottom w:val="0"/>
          <w:divBdr>
            <w:top w:val="none" w:sz="0" w:space="0" w:color="auto"/>
            <w:left w:val="none" w:sz="0" w:space="0" w:color="auto"/>
            <w:bottom w:val="none" w:sz="0" w:space="0" w:color="auto"/>
            <w:right w:val="none" w:sz="0" w:space="0" w:color="auto"/>
          </w:divBdr>
          <w:divsChild>
            <w:div w:id="1048335524">
              <w:marLeft w:val="0"/>
              <w:marRight w:val="0"/>
              <w:marTop w:val="0"/>
              <w:marBottom w:val="0"/>
              <w:divBdr>
                <w:top w:val="none" w:sz="0" w:space="0" w:color="auto"/>
                <w:left w:val="none" w:sz="0" w:space="0" w:color="auto"/>
                <w:bottom w:val="none" w:sz="0" w:space="0" w:color="auto"/>
                <w:right w:val="none" w:sz="0" w:space="0" w:color="auto"/>
              </w:divBdr>
              <w:divsChild>
                <w:div w:id="920407067">
                  <w:marLeft w:val="0"/>
                  <w:marRight w:val="0"/>
                  <w:marTop w:val="0"/>
                  <w:marBottom w:val="0"/>
                  <w:divBdr>
                    <w:top w:val="none" w:sz="0" w:space="0" w:color="auto"/>
                    <w:left w:val="none" w:sz="0" w:space="0" w:color="auto"/>
                    <w:bottom w:val="none" w:sz="0" w:space="0" w:color="auto"/>
                    <w:right w:val="none" w:sz="0" w:space="0" w:color="auto"/>
                  </w:divBdr>
                  <w:divsChild>
                    <w:div w:id="541524973">
                      <w:marLeft w:val="0"/>
                      <w:marRight w:val="0"/>
                      <w:marTop w:val="0"/>
                      <w:marBottom w:val="0"/>
                      <w:divBdr>
                        <w:top w:val="none" w:sz="0" w:space="0" w:color="auto"/>
                        <w:left w:val="none" w:sz="0" w:space="0" w:color="auto"/>
                        <w:bottom w:val="none" w:sz="0" w:space="0" w:color="auto"/>
                        <w:right w:val="none" w:sz="0" w:space="0" w:color="auto"/>
                      </w:divBdr>
                      <w:divsChild>
                        <w:div w:id="283275469">
                          <w:marLeft w:val="0"/>
                          <w:marRight w:val="0"/>
                          <w:marTop w:val="0"/>
                          <w:marBottom w:val="0"/>
                          <w:divBdr>
                            <w:top w:val="none" w:sz="0" w:space="0" w:color="auto"/>
                            <w:left w:val="none" w:sz="0" w:space="0" w:color="auto"/>
                            <w:bottom w:val="none" w:sz="0" w:space="0" w:color="auto"/>
                            <w:right w:val="none" w:sz="0" w:space="0" w:color="auto"/>
                          </w:divBdr>
                          <w:divsChild>
                            <w:div w:id="1568955329">
                              <w:marLeft w:val="0"/>
                              <w:marRight w:val="0"/>
                              <w:marTop w:val="0"/>
                              <w:marBottom w:val="0"/>
                              <w:divBdr>
                                <w:top w:val="none" w:sz="0" w:space="0" w:color="auto"/>
                                <w:left w:val="none" w:sz="0" w:space="0" w:color="auto"/>
                                <w:bottom w:val="none" w:sz="0" w:space="0" w:color="auto"/>
                                <w:right w:val="none" w:sz="0" w:space="0" w:color="auto"/>
                              </w:divBdr>
                              <w:divsChild>
                                <w:div w:id="1455322529">
                                  <w:marLeft w:val="0"/>
                                  <w:marRight w:val="0"/>
                                  <w:marTop w:val="0"/>
                                  <w:marBottom w:val="0"/>
                                  <w:divBdr>
                                    <w:top w:val="none" w:sz="0" w:space="0" w:color="auto"/>
                                    <w:left w:val="none" w:sz="0" w:space="0" w:color="auto"/>
                                    <w:bottom w:val="none" w:sz="0" w:space="0" w:color="auto"/>
                                    <w:right w:val="none" w:sz="0" w:space="0" w:color="auto"/>
                                  </w:divBdr>
                                  <w:divsChild>
                                    <w:div w:id="187688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89376">
      <w:bodyDiv w:val="1"/>
      <w:marLeft w:val="0"/>
      <w:marRight w:val="0"/>
      <w:marTop w:val="0"/>
      <w:marBottom w:val="0"/>
      <w:divBdr>
        <w:top w:val="none" w:sz="0" w:space="0" w:color="auto"/>
        <w:left w:val="none" w:sz="0" w:space="0" w:color="auto"/>
        <w:bottom w:val="none" w:sz="0" w:space="0" w:color="auto"/>
        <w:right w:val="none" w:sz="0" w:space="0" w:color="auto"/>
      </w:divBdr>
      <w:divsChild>
        <w:div w:id="1371110619">
          <w:marLeft w:val="0"/>
          <w:marRight w:val="0"/>
          <w:marTop w:val="120"/>
          <w:marBottom w:val="0"/>
          <w:divBdr>
            <w:top w:val="none" w:sz="0" w:space="0" w:color="auto"/>
            <w:left w:val="none" w:sz="0" w:space="0" w:color="auto"/>
            <w:bottom w:val="none" w:sz="0" w:space="0" w:color="auto"/>
            <w:right w:val="none" w:sz="0" w:space="0" w:color="auto"/>
          </w:divBdr>
          <w:divsChild>
            <w:div w:id="2006780090">
              <w:marLeft w:val="0"/>
              <w:marRight w:val="0"/>
              <w:marTop w:val="0"/>
              <w:marBottom w:val="0"/>
              <w:divBdr>
                <w:top w:val="none" w:sz="0" w:space="0" w:color="auto"/>
                <w:left w:val="none" w:sz="0" w:space="0" w:color="auto"/>
                <w:bottom w:val="none" w:sz="0" w:space="0" w:color="auto"/>
                <w:right w:val="none" w:sz="0" w:space="0" w:color="auto"/>
              </w:divBdr>
              <w:divsChild>
                <w:div w:id="383024006">
                  <w:marLeft w:val="0"/>
                  <w:marRight w:val="0"/>
                  <w:marTop w:val="0"/>
                  <w:marBottom w:val="0"/>
                  <w:divBdr>
                    <w:top w:val="none" w:sz="0" w:space="0" w:color="auto"/>
                    <w:left w:val="none" w:sz="0" w:space="0" w:color="auto"/>
                    <w:bottom w:val="none" w:sz="0" w:space="0" w:color="auto"/>
                    <w:right w:val="none" w:sz="0" w:space="0" w:color="auto"/>
                  </w:divBdr>
                  <w:divsChild>
                    <w:div w:id="630868928">
                      <w:marLeft w:val="0"/>
                      <w:marRight w:val="0"/>
                      <w:marTop w:val="0"/>
                      <w:marBottom w:val="0"/>
                      <w:divBdr>
                        <w:top w:val="none" w:sz="0" w:space="0" w:color="auto"/>
                        <w:left w:val="none" w:sz="0" w:space="0" w:color="auto"/>
                        <w:bottom w:val="none" w:sz="0" w:space="0" w:color="auto"/>
                        <w:right w:val="none" w:sz="0" w:space="0" w:color="auto"/>
                      </w:divBdr>
                      <w:divsChild>
                        <w:div w:id="2120099887">
                          <w:marLeft w:val="0"/>
                          <w:marRight w:val="0"/>
                          <w:marTop w:val="0"/>
                          <w:marBottom w:val="0"/>
                          <w:divBdr>
                            <w:top w:val="none" w:sz="0" w:space="0" w:color="auto"/>
                            <w:left w:val="none" w:sz="0" w:space="0" w:color="auto"/>
                            <w:bottom w:val="none" w:sz="0" w:space="0" w:color="auto"/>
                            <w:right w:val="none" w:sz="0" w:space="0" w:color="auto"/>
                          </w:divBdr>
                          <w:divsChild>
                            <w:div w:id="2034455628">
                              <w:marLeft w:val="0"/>
                              <w:marRight w:val="0"/>
                              <w:marTop w:val="0"/>
                              <w:marBottom w:val="0"/>
                              <w:divBdr>
                                <w:top w:val="none" w:sz="0" w:space="0" w:color="auto"/>
                                <w:left w:val="none" w:sz="0" w:space="0" w:color="auto"/>
                                <w:bottom w:val="none" w:sz="0" w:space="0" w:color="auto"/>
                                <w:right w:val="none" w:sz="0" w:space="0" w:color="auto"/>
                              </w:divBdr>
                              <w:divsChild>
                                <w:div w:id="1445806695">
                                  <w:marLeft w:val="0"/>
                                  <w:marRight w:val="0"/>
                                  <w:marTop w:val="0"/>
                                  <w:marBottom w:val="0"/>
                                  <w:divBdr>
                                    <w:top w:val="none" w:sz="0" w:space="0" w:color="auto"/>
                                    <w:left w:val="none" w:sz="0" w:space="0" w:color="auto"/>
                                    <w:bottom w:val="none" w:sz="0" w:space="0" w:color="auto"/>
                                    <w:right w:val="none" w:sz="0" w:space="0" w:color="auto"/>
                                  </w:divBdr>
                                  <w:divsChild>
                                    <w:div w:id="1065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C420C-3E43-4525-9365-0AAEB29A3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470</Words>
  <Characters>2679</Characters>
  <Application>Microsoft Office Word</Application>
  <DocSecurity>4</DocSecurity>
  <Lines>22</Lines>
  <Paragraphs>6</Paragraphs>
  <ScaleCrop>false</ScaleCrop>
  <Company/>
  <LinksUpToDate>false</LinksUpToDate>
  <CharactersWithSpaces>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00</cp:lastModifiedBy>
  <cp:revision>2</cp:revision>
  <cp:lastPrinted>2017-01-19T08:46:00Z</cp:lastPrinted>
  <dcterms:created xsi:type="dcterms:W3CDTF">2017-04-10T02:16:00Z</dcterms:created>
  <dcterms:modified xsi:type="dcterms:W3CDTF">2017-04-10T02:16:00Z</dcterms:modified>
</cp:coreProperties>
</file>