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84" w:rsidRPr="00355942" w:rsidRDefault="00355942" w:rsidP="00594830">
      <w:pPr>
        <w:jc w:val="center"/>
        <w:rPr>
          <w:rFonts w:ascii="標楷體" w:eastAsia="標楷體" w:hAnsi="標楷體"/>
          <w:sz w:val="28"/>
          <w:szCs w:val="28"/>
        </w:rPr>
      </w:pPr>
      <w:r w:rsidRPr="00355942">
        <w:rPr>
          <w:rFonts w:ascii="標楷體" w:eastAsia="標楷體" w:hAnsi="標楷體" w:hint="eastAsia"/>
          <w:sz w:val="28"/>
          <w:szCs w:val="28"/>
        </w:rPr>
        <w:t>「</w:t>
      </w:r>
      <w:r w:rsidR="006D1E20" w:rsidRPr="00355942">
        <w:rPr>
          <w:rFonts w:ascii="標楷體" w:eastAsia="標楷體" w:hAnsi="標楷體" w:hint="eastAsia"/>
          <w:sz w:val="28"/>
          <w:szCs w:val="28"/>
        </w:rPr>
        <w:t>上市上櫃公司企業社會責任實務守則</w:t>
      </w:r>
      <w:r w:rsidR="00D13B04" w:rsidRPr="00355942">
        <w:rPr>
          <w:rFonts w:ascii="標楷體" w:eastAsia="標楷體" w:hAnsi="標楷體" w:hint="eastAsia"/>
          <w:sz w:val="28"/>
          <w:szCs w:val="28"/>
        </w:rPr>
        <w:t>」部分條文修正對照表</w:t>
      </w:r>
    </w:p>
    <w:tbl>
      <w:tblPr>
        <w:tblStyle w:val="a3"/>
        <w:tblW w:w="0" w:type="auto"/>
        <w:tblLook w:val="04A0" w:firstRow="1" w:lastRow="0" w:firstColumn="1" w:lastColumn="0" w:noHBand="0" w:noVBand="1"/>
      </w:tblPr>
      <w:tblGrid>
        <w:gridCol w:w="2765"/>
        <w:gridCol w:w="2765"/>
        <w:gridCol w:w="2766"/>
      </w:tblGrid>
      <w:tr w:rsidR="006D1E20" w:rsidRPr="00E61B25" w:rsidTr="006D1E20">
        <w:tc>
          <w:tcPr>
            <w:tcW w:w="2765" w:type="dxa"/>
          </w:tcPr>
          <w:p w:rsidR="006D1E20" w:rsidRPr="00E61B25" w:rsidRDefault="005C4EF2">
            <w:pPr>
              <w:rPr>
                <w:rFonts w:eastAsia="標楷體"/>
              </w:rPr>
            </w:pPr>
            <w:r w:rsidRPr="00E61B25">
              <w:rPr>
                <w:rFonts w:eastAsia="標楷體"/>
              </w:rPr>
              <w:t>修正條文</w:t>
            </w:r>
          </w:p>
        </w:tc>
        <w:tc>
          <w:tcPr>
            <w:tcW w:w="2765" w:type="dxa"/>
          </w:tcPr>
          <w:p w:rsidR="006D1E20" w:rsidRPr="00E61B25" w:rsidRDefault="005C4EF2">
            <w:pPr>
              <w:rPr>
                <w:rFonts w:eastAsia="標楷體"/>
              </w:rPr>
            </w:pPr>
            <w:r w:rsidRPr="00E61B25">
              <w:rPr>
                <w:rFonts w:eastAsia="標楷體"/>
              </w:rPr>
              <w:t>現行條文</w:t>
            </w:r>
          </w:p>
        </w:tc>
        <w:tc>
          <w:tcPr>
            <w:tcW w:w="2766" w:type="dxa"/>
          </w:tcPr>
          <w:p w:rsidR="006D1E20" w:rsidRPr="00E61B25" w:rsidRDefault="005C4EF2">
            <w:pPr>
              <w:rPr>
                <w:rFonts w:eastAsia="標楷體"/>
              </w:rPr>
            </w:pPr>
            <w:r w:rsidRPr="00E61B25">
              <w:rPr>
                <w:rFonts w:eastAsia="標楷體"/>
              </w:rPr>
              <w:t>說明</w:t>
            </w:r>
          </w:p>
        </w:tc>
      </w:tr>
      <w:tr w:rsidR="006D1E20" w:rsidRPr="00E61B25" w:rsidTr="006D1E20">
        <w:tc>
          <w:tcPr>
            <w:tcW w:w="2765" w:type="dxa"/>
          </w:tcPr>
          <w:p w:rsidR="005C4EF2" w:rsidRPr="00E61B25" w:rsidRDefault="005C4EF2" w:rsidP="005C4EF2">
            <w:pPr>
              <w:rPr>
                <w:rFonts w:eastAsia="標楷體"/>
              </w:rPr>
            </w:pPr>
            <w:r w:rsidRPr="00E61B25">
              <w:rPr>
                <w:rFonts w:eastAsia="標楷體"/>
              </w:rPr>
              <w:t>第三條</w:t>
            </w:r>
            <w:r w:rsidRPr="00E61B25">
              <w:rPr>
                <w:rFonts w:eastAsia="標楷體"/>
              </w:rPr>
              <w:t xml:space="preserve"> </w:t>
            </w:r>
          </w:p>
          <w:p w:rsidR="006D1E20" w:rsidRPr="00E61B25" w:rsidRDefault="005C4EF2" w:rsidP="005C4EF2">
            <w:pPr>
              <w:rPr>
                <w:rFonts w:eastAsia="標楷體"/>
              </w:rPr>
            </w:pPr>
            <w:r w:rsidRPr="00E61B25">
              <w:rPr>
                <w:rFonts w:eastAsia="標楷體"/>
              </w:rPr>
              <w:t xml:space="preserve">    </w:t>
            </w:r>
            <w:r w:rsidRPr="00E61B25">
              <w:rPr>
                <w:rFonts w:eastAsia="標楷體"/>
              </w:rPr>
              <w:t>上市上櫃公司履行企業社會責任，應注意利害關係人之權益，在追求永續經營與獲利之同時，重視環境、社會與公司治理之因素，並將其納入公司管理方針與營運活動。</w:t>
            </w:r>
          </w:p>
          <w:p w:rsidR="005C4EF2" w:rsidRPr="00E61B25" w:rsidRDefault="005C4EF2" w:rsidP="00690585">
            <w:pPr>
              <w:rPr>
                <w:rFonts w:eastAsia="標楷體"/>
                <w:u w:val="single"/>
              </w:rPr>
            </w:pPr>
            <w:r w:rsidRPr="00E61B25">
              <w:rPr>
                <w:rFonts w:eastAsia="標楷體"/>
              </w:rPr>
              <w:t xml:space="preserve">    </w:t>
            </w:r>
            <w:r w:rsidR="00690585" w:rsidRPr="00E61B25">
              <w:rPr>
                <w:rFonts w:eastAsia="標楷體"/>
                <w:u w:val="single"/>
              </w:rPr>
              <w:t>上市上櫃公司應依</w:t>
            </w:r>
            <w:r w:rsidRPr="00E61B25">
              <w:rPr>
                <w:rFonts w:eastAsia="標楷體"/>
                <w:u w:val="single"/>
              </w:rPr>
              <w:t>重大性原則，進行與公司營運相關之環境、社會及公司治理議題之風險評估，並訂定相關風險管理政策或策略</w:t>
            </w:r>
            <w:r w:rsidR="00690585" w:rsidRPr="00E61B25">
              <w:rPr>
                <w:rFonts w:eastAsia="標楷體"/>
                <w:u w:val="single"/>
              </w:rPr>
              <w:t>。</w:t>
            </w:r>
          </w:p>
        </w:tc>
        <w:tc>
          <w:tcPr>
            <w:tcW w:w="2765" w:type="dxa"/>
          </w:tcPr>
          <w:p w:rsidR="006D1E20" w:rsidRPr="00E61B25" w:rsidRDefault="006D1E20" w:rsidP="006D1E20">
            <w:pPr>
              <w:rPr>
                <w:rFonts w:eastAsia="標楷體"/>
              </w:rPr>
            </w:pPr>
            <w:r w:rsidRPr="00E61B25">
              <w:rPr>
                <w:rFonts w:eastAsia="標楷體"/>
              </w:rPr>
              <w:t>第三條</w:t>
            </w:r>
            <w:r w:rsidRPr="00E61B25">
              <w:rPr>
                <w:rFonts w:eastAsia="標楷體"/>
              </w:rPr>
              <w:t xml:space="preserve"> </w:t>
            </w:r>
          </w:p>
          <w:p w:rsidR="006D1E20" w:rsidRPr="00E61B25" w:rsidRDefault="006D1E20" w:rsidP="006D1E20">
            <w:pPr>
              <w:rPr>
                <w:rFonts w:eastAsia="標楷體"/>
              </w:rPr>
            </w:pPr>
            <w:r w:rsidRPr="00E61B25">
              <w:rPr>
                <w:rFonts w:eastAsia="標楷體"/>
              </w:rPr>
              <w:t xml:space="preserve">    </w:t>
            </w:r>
            <w:r w:rsidRPr="00E61B25">
              <w:rPr>
                <w:rFonts w:eastAsia="標楷體"/>
              </w:rPr>
              <w:t>上市上櫃公司履行企業社會責任，應注意利害關係人之權益，在追求永續經營與獲利之同時，重視環境、社會與公司治理之因素，並將其納入公司管理方針與營運活動。</w:t>
            </w:r>
          </w:p>
        </w:tc>
        <w:tc>
          <w:tcPr>
            <w:tcW w:w="2766" w:type="dxa"/>
          </w:tcPr>
          <w:p w:rsidR="006D1E20" w:rsidRPr="00E61B25" w:rsidRDefault="005320BF" w:rsidP="00C647A1">
            <w:pPr>
              <w:rPr>
                <w:rFonts w:eastAsia="標楷體"/>
              </w:rPr>
            </w:pPr>
            <w:r w:rsidRPr="005320BF">
              <w:rPr>
                <w:rFonts w:eastAsia="標楷體" w:hint="eastAsia"/>
              </w:rPr>
              <w:t>配合新版公司治理藍圖</w:t>
            </w:r>
            <w:r w:rsidRPr="005320BF">
              <w:rPr>
                <w:rFonts w:eastAsia="標楷體" w:hint="eastAsia"/>
              </w:rPr>
              <w:t>(2018~2020)</w:t>
            </w:r>
            <w:r>
              <w:rPr>
                <w:rFonts w:eastAsia="標楷體" w:hint="eastAsia"/>
              </w:rPr>
              <w:t>計畫於年報加強揭露非財務性資訊，並參考國際重要發展趨勢及主管機關「</w:t>
            </w:r>
            <w:r w:rsidR="00EA1FB2" w:rsidRPr="00EA1FB2">
              <w:rPr>
                <w:rFonts w:eastAsia="標楷體" w:hint="eastAsia"/>
              </w:rPr>
              <w:t>公開發行公司年報應行記載事項準則</w:t>
            </w:r>
            <w:r w:rsidR="00EA1FB2">
              <w:rPr>
                <w:rFonts w:eastAsia="標楷體" w:hint="eastAsia"/>
              </w:rPr>
              <w:t>」</w:t>
            </w:r>
            <w:r w:rsidR="00D158E1">
              <w:rPr>
                <w:rFonts w:eastAsia="標楷體" w:hint="eastAsia"/>
              </w:rPr>
              <w:t>附表二之二之二「</w:t>
            </w:r>
            <w:r w:rsidR="00D158E1" w:rsidRPr="00D158E1">
              <w:rPr>
                <w:rFonts w:eastAsia="標楷體" w:hint="eastAsia"/>
              </w:rPr>
              <w:t>履行社會責任情形及與上市上櫃公司企業社會責任實務守則差異情形及原因</w:t>
            </w:r>
            <w:r w:rsidR="00D158E1">
              <w:rPr>
                <w:rFonts w:eastAsia="標楷體" w:hint="eastAsia"/>
              </w:rPr>
              <w:t>」</w:t>
            </w:r>
            <w:r w:rsidR="0055424E">
              <w:rPr>
                <w:rFonts w:eastAsia="標楷體" w:hint="eastAsia"/>
              </w:rPr>
              <w:t>評估項目一</w:t>
            </w:r>
            <w:r w:rsidR="00D158E1">
              <w:rPr>
                <w:rFonts w:eastAsia="標楷體" w:hint="eastAsia"/>
              </w:rPr>
              <w:t>，增訂第二項</w:t>
            </w:r>
            <w:r w:rsidRPr="005320BF">
              <w:rPr>
                <w:rFonts w:eastAsia="標楷體" w:hint="eastAsia"/>
              </w:rPr>
              <w:t>。</w:t>
            </w:r>
          </w:p>
        </w:tc>
      </w:tr>
      <w:tr w:rsidR="006D1E20" w:rsidRPr="00E61B25" w:rsidTr="006D1E20">
        <w:tc>
          <w:tcPr>
            <w:tcW w:w="2765" w:type="dxa"/>
          </w:tcPr>
          <w:p w:rsidR="00E43AC7" w:rsidRDefault="00E43AC7" w:rsidP="00E43AC7">
            <w:pPr>
              <w:rPr>
                <w:rFonts w:eastAsia="標楷體"/>
              </w:rPr>
            </w:pPr>
            <w:r w:rsidRPr="00256BA1">
              <w:rPr>
                <w:rFonts w:eastAsia="標楷體" w:hint="eastAsia"/>
              </w:rPr>
              <w:t>第十七條</w:t>
            </w:r>
          </w:p>
          <w:p w:rsidR="004839DF" w:rsidRDefault="004839DF" w:rsidP="004839DF">
            <w:pPr>
              <w:rPr>
                <w:rFonts w:eastAsia="標楷體"/>
              </w:rPr>
            </w:pPr>
            <w:r>
              <w:rPr>
                <w:rFonts w:eastAsia="標楷體" w:hint="eastAsia"/>
              </w:rPr>
              <w:t xml:space="preserve">    </w:t>
            </w:r>
            <w:r>
              <w:rPr>
                <w:rFonts w:eastAsia="標楷體" w:hint="eastAsia"/>
              </w:rPr>
              <w:t>上市上櫃</w:t>
            </w:r>
            <w:r w:rsidRPr="004839DF">
              <w:rPr>
                <w:rFonts w:eastAsia="標楷體" w:hint="eastAsia"/>
              </w:rPr>
              <w:t>公司</w:t>
            </w:r>
            <w:r w:rsidR="0097579D">
              <w:rPr>
                <w:rFonts w:eastAsia="標楷體" w:hint="eastAsia"/>
              </w:rPr>
              <w:t>宜</w:t>
            </w:r>
            <w:r w:rsidRPr="00297FAF">
              <w:rPr>
                <w:rFonts w:eastAsia="標楷體" w:hint="eastAsia"/>
                <w:u w:val="single"/>
              </w:rPr>
              <w:t>評估</w:t>
            </w:r>
            <w:r w:rsidRPr="004839DF">
              <w:rPr>
                <w:rFonts w:eastAsia="標楷體" w:hint="eastAsia"/>
              </w:rPr>
              <w:t>氣候變遷對</w:t>
            </w:r>
            <w:r w:rsidRPr="00297FAF">
              <w:rPr>
                <w:rFonts w:eastAsia="標楷體" w:hint="eastAsia"/>
                <w:u w:val="single"/>
              </w:rPr>
              <w:t>企業現在及未來的潛在風險與機會，並採取氣候相關議題之因應措施</w:t>
            </w:r>
            <w:r>
              <w:rPr>
                <w:rFonts w:eastAsia="標楷體" w:hint="eastAsia"/>
              </w:rPr>
              <w:t>。</w:t>
            </w:r>
          </w:p>
          <w:p w:rsidR="00E43AC7" w:rsidRPr="00256BA1" w:rsidRDefault="00E43AC7" w:rsidP="00E43AC7">
            <w:pPr>
              <w:rPr>
                <w:rFonts w:eastAsia="標楷體"/>
              </w:rPr>
            </w:pPr>
            <w:r>
              <w:rPr>
                <w:rFonts w:eastAsia="標楷體" w:hint="eastAsia"/>
              </w:rPr>
              <w:t xml:space="preserve">    </w:t>
            </w:r>
            <w:r w:rsidRPr="00256BA1">
              <w:rPr>
                <w:rFonts w:eastAsia="標楷體" w:hint="eastAsia"/>
              </w:rPr>
              <w:t>上市上櫃公司宜採用國內外通用之標準或指引，執行企業溫室氣體盤查並予以揭露，其範疇宜包括：</w:t>
            </w:r>
          </w:p>
          <w:p w:rsidR="00E43AC7" w:rsidRPr="00256BA1" w:rsidRDefault="00E43AC7" w:rsidP="00E43AC7">
            <w:pPr>
              <w:rPr>
                <w:rFonts w:eastAsia="標楷體"/>
              </w:rPr>
            </w:pPr>
            <w:r w:rsidRPr="00256BA1">
              <w:rPr>
                <w:rFonts w:eastAsia="標楷體" w:hint="eastAsia"/>
              </w:rPr>
              <w:t>一、直接溫室氣體排放：溫室氣體排放源為公司所擁有或控制。</w:t>
            </w:r>
          </w:p>
          <w:p w:rsidR="00E43AC7" w:rsidRPr="00256BA1" w:rsidRDefault="00E43AC7" w:rsidP="00E43AC7">
            <w:pPr>
              <w:rPr>
                <w:rFonts w:eastAsia="標楷體"/>
              </w:rPr>
            </w:pPr>
            <w:r w:rsidRPr="00256BA1">
              <w:rPr>
                <w:rFonts w:eastAsia="標楷體" w:hint="eastAsia"/>
              </w:rPr>
              <w:t>二、間接溫室氣體排放：外購電力、熱或蒸汽等能源利用所產生者。</w:t>
            </w:r>
          </w:p>
          <w:p w:rsidR="006D1E20" w:rsidRPr="00E61B25" w:rsidRDefault="00E43AC7" w:rsidP="000838BD">
            <w:pPr>
              <w:rPr>
                <w:rFonts w:eastAsia="標楷體"/>
              </w:rPr>
            </w:pPr>
            <w:r>
              <w:rPr>
                <w:rFonts w:eastAsia="標楷體" w:hint="eastAsia"/>
              </w:rPr>
              <w:t xml:space="preserve">    </w:t>
            </w:r>
            <w:r w:rsidRPr="00256BA1">
              <w:rPr>
                <w:rFonts w:eastAsia="標楷體" w:hint="eastAsia"/>
              </w:rPr>
              <w:t>上市上櫃公司宜</w:t>
            </w:r>
            <w:r w:rsidR="00ED0A10" w:rsidRPr="00291A7C">
              <w:rPr>
                <w:rFonts w:eastAsia="標楷體" w:hint="eastAsia"/>
                <w:u w:val="single"/>
              </w:rPr>
              <w:t>統計</w:t>
            </w:r>
            <w:bookmarkStart w:id="0" w:name="_GoBack"/>
            <w:bookmarkEnd w:id="0"/>
            <w:r w:rsidR="00ED0A10" w:rsidRPr="00842CF8">
              <w:rPr>
                <w:rFonts w:eastAsia="標楷體" w:hint="eastAsia"/>
              </w:rPr>
              <w:t>溫室氣體</w:t>
            </w:r>
            <w:r w:rsidR="00ED0A10" w:rsidRPr="00291A7C">
              <w:rPr>
                <w:rFonts w:eastAsia="標楷體" w:hint="eastAsia"/>
                <w:u w:val="single"/>
              </w:rPr>
              <w:t>排放量、用</w:t>
            </w:r>
            <w:r w:rsidR="00ED0A10" w:rsidRPr="00291A7C">
              <w:rPr>
                <w:rFonts w:eastAsia="標楷體" w:hint="eastAsia"/>
                <w:u w:val="single"/>
              </w:rPr>
              <w:lastRenderedPageBreak/>
              <w:t>水量及廢棄物總重量，並</w:t>
            </w:r>
            <w:r w:rsidR="00ED0A10" w:rsidRPr="00ED0A10">
              <w:rPr>
                <w:rFonts w:eastAsia="標楷體" w:hint="eastAsia"/>
              </w:rPr>
              <w:t>制定節能減碳</w:t>
            </w:r>
            <w:r w:rsidR="00ED0A10" w:rsidRPr="009F567A">
              <w:rPr>
                <w:rFonts w:eastAsia="標楷體" w:hint="eastAsia"/>
                <w:u w:val="single"/>
              </w:rPr>
              <w:t>、</w:t>
            </w:r>
            <w:r w:rsidR="00ED0A10" w:rsidRPr="00291A7C">
              <w:rPr>
                <w:rFonts w:eastAsia="標楷體" w:hint="eastAsia"/>
              </w:rPr>
              <w:t>溫室氣體減量</w:t>
            </w:r>
            <w:r w:rsidR="00ED0A10" w:rsidRPr="009F567A">
              <w:rPr>
                <w:rFonts w:eastAsia="標楷體" w:hint="eastAsia"/>
                <w:u w:val="single"/>
              </w:rPr>
              <w:t>、減少用水或其他廢棄物管理之政</w:t>
            </w:r>
            <w:r w:rsidR="00ED0A10" w:rsidRPr="00ED0A10">
              <w:rPr>
                <w:rFonts w:eastAsia="標楷體" w:hint="eastAsia"/>
              </w:rPr>
              <w:t>策</w:t>
            </w:r>
            <w:r w:rsidRPr="00256BA1">
              <w:rPr>
                <w:rFonts w:eastAsia="標楷體" w:hint="eastAsia"/>
              </w:rPr>
              <w:t>，及將碳權之取得納入公司減碳策略規劃中，且據以推動，以降低公司營運活動對氣候變遷之衝擊。</w:t>
            </w:r>
          </w:p>
        </w:tc>
        <w:tc>
          <w:tcPr>
            <w:tcW w:w="2765" w:type="dxa"/>
          </w:tcPr>
          <w:p w:rsidR="00256BA1" w:rsidRDefault="00256BA1" w:rsidP="00256BA1">
            <w:pPr>
              <w:rPr>
                <w:rFonts w:eastAsia="標楷體"/>
              </w:rPr>
            </w:pPr>
            <w:r w:rsidRPr="00256BA1">
              <w:rPr>
                <w:rFonts w:eastAsia="標楷體" w:hint="eastAsia"/>
              </w:rPr>
              <w:lastRenderedPageBreak/>
              <w:t>第十七條</w:t>
            </w:r>
            <w:r w:rsidRPr="00256BA1">
              <w:rPr>
                <w:rFonts w:eastAsia="標楷體" w:hint="eastAsia"/>
              </w:rPr>
              <w:t xml:space="preserve"> </w:t>
            </w:r>
          </w:p>
          <w:p w:rsidR="00256BA1" w:rsidRPr="00256BA1" w:rsidRDefault="00256BA1" w:rsidP="00256BA1">
            <w:pPr>
              <w:rPr>
                <w:rFonts w:eastAsia="標楷體"/>
              </w:rPr>
            </w:pPr>
            <w:r>
              <w:rPr>
                <w:rFonts w:eastAsia="標楷體" w:hint="eastAsia"/>
              </w:rPr>
              <w:t xml:space="preserve">    </w:t>
            </w:r>
            <w:r w:rsidRPr="00256BA1">
              <w:rPr>
                <w:rFonts w:eastAsia="標楷體" w:hint="eastAsia"/>
              </w:rPr>
              <w:t>上市上櫃公司宜採用國內外通用之標準或指引，執行企業溫室氣體盤查並予以揭露，其範疇宜包括：</w:t>
            </w:r>
          </w:p>
          <w:p w:rsidR="00256BA1" w:rsidRPr="00256BA1" w:rsidRDefault="00256BA1" w:rsidP="00256BA1">
            <w:pPr>
              <w:rPr>
                <w:rFonts w:eastAsia="標楷體"/>
              </w:rPr>
            </w:pPr>
            <w:r w:rsidRPr="00256BA1">
              <w:rPr>
                <w:rFonts w:eastAsia="標楷體" w:hint="eastAsia"/>
              </w:rPr>
              <w:t>一、直接溫室氣體排放：溫室氣體排放源為公司所擁有或控制。</w:t>
            </w:r>
          </w:p>
          <w:p w:rsidR="00256BA1" w:rsidRPr="00256BA1" w:rsidRDefault="00256BA1" w:rsidP="00256BA1">
            <w:pPr>
              <w:rPr>
                <w:rFonts w:eastAsia="標楷體"/>
              </w:rPr>
            </w:pPr>
            <w:r w:rsidRPr="00256BA1">
              <w:rPr>
                <w:rFonts w:eastAsia="標楷體" w:hint="eastAsia"/>
              </w:rPr>
              <w:t>二、間接溫室氣體排放：外購電力、熱或蒸汽等能源利用所產生者。</w:t>
            </w:r>
          </w:p>
          <w:p w:rsidR="006D1E20" w:rsidRPr="00E61B25" w:rsidRDefault="00256BA1" w:rsidP="00256BA1">
            <w:pPr>
              <w:rPr>
                <w:rFonts w:eastAsia="標楷體"/>
              </w:rPr>
            </w:pPr>
            <w:r>
              <w:rPr>
                <w:rFonts w:eastAsia="標楷體" w:hint="eastAsia"/>
              </w:rPr>
              <w:t xml:space="preserve">    </w:t>
            </w:r>
            <w:r w:rsidRPr="00256BA1">
              <w:rPr>
                <w:rFonts w:eastAsia="標楷體" w:hint="eastAsia"/>
              </w:rPr>
              <w:t>上市上櫃公司宜</w:t>
            </w:r>
            <w:r w:rsidRPr="00297FAF">
              <w:rPr>
                <w:rFonts w:eastAsia="標楷體" w:hint="eastAsia"/>
                <w:u w:val="single"/>
              </w:rPr>
              <w:t>注意</w:t>
            </w:r>
            <w:r w:rsidRPr="00256BA1">
              <w:rPr>
                <w:rFonts w:eastAsia="標楷體" w:hint="eastAsia"/>
              </w:rPr>
              <w:t>氣候變遷對</w:t>
            </w:r>
            <w:r w:rsidRPr="00297FAF">
              <w:rPr>
                <w:rFonts w:eastAsia="標楷體" w:hint="eastAsia"/>
                <w:u w:val="single"/>
              </w:rPr>
              <w:t>營運活動之影響</w:t>
            </w:r>
            <w:r w:rsidRPr="00256BA1">
              <w:rPr>
                <w:rFonts w:eastAsia="標楷體" w:hint="eastAsia"/>
              </w:rPr>
              <w:t>，</w:t>
            </w:r>
            <w:r w:rsidRPr="00842CF8">
              <w:rPr>
                <w:rFonts w:eastAsia="標楷體" w:hint="eastAsia"/>
                <w:u w:val="single"/>
              </w:rPr>
              <w:t>並依營運狀況與</w:t>
            </w:r>
            <w:r w:rsidRPr="00256BA1">
              <w:rPr>
                <w:rFonts w:eastAsia="標楷體" w:hint="eastAsia"/>
              </w:rPr>
              <w:t>溫室氣體</w:t>
            </w:r>
            <w:r w:rsidRPr="00842CF8">
              <w:rPr>
                <w:rFonts w:eastAsia="標楷體" w:hint="eastAsia"/>
                <w:u w:val="single"/>
              </w:rPr>
              <w:t>盤查結果</w:t>
            </w:r>
            <w:r w:rsidRPr="00256BA1">
              <w:rPr>
                <w:rFonts w:eastAsia="標楷體" w:hint="eastAsia"/>
              </w:rPr>
              <w:t>，制定</w:t>
            </w:r>
            <w:r w:rsidRPr="00291A7C">
              <w:rPr>
                <w:rFonts w:eastAsia="標楷體" w:hint="eastAsia"/>
                <w:u w:val="single"/>
              </w:rPr>
              <w:t>公司</w:t>
            </w:r>
            <w:r w:rsidRPr="00256BA1">
              <w:rPr>
                <w:rFonts w:eastAsia="標楷體" w:hint="eastAsia"/>
              </w:rPr>
              <w:t>節能減碳</w:t>
            </w:r>
            <w:r w:rsidRPr="00291A7C">
              <w:rPr>
                <w:rFonts w:eastAsia="標楷體" w:hint="eastAsia"/>
                <w:u w:val="single"/>
              </w:rPr>
              <w:t>及</w:t>
            </w:r>
            <w:r w:rsidRPr="00256BA1">
              <w:rPr>
                <w:rFonts w:eastAsia="標楷體" w:hint="eastAsia"/>
              </w:rPr>
              <w:t>溫室氣體減量策</w:t>
            </w:r>
            <w:r w:rsidRPr="009F567A">
              <w:rPr>
                <w:rFonts w:eastAsia="標楷體" w:hint="eastAsia"/>
                <w:u w:val="single"/>
              </w:rPr>
              <w:t>略</w:t>
            </w:r>
            <w:r w:rsidRPr="00256BA1">
              <w:rPr>
                <w:rFonts w:eastAsia="標楷體" w:hint="eastAsia"/>
              </w:rPr>
              <w:t>，及將碳權之取得納入公司減</w:t>
            </w:r>
            <w:r w:rsidRPr="00256BA1">
              <w:rPr>
                <w:rFonts w:eastAsia="標楷體" w:hint="eastAsia"/>
              </w:rPr>
              <w:lastRenderedPageBreak/>
              <w:t>碳策略規劃中，且據以推動，以降低公司營運活動對氣候變遷之衝擊。</w:t>
            </w:r>
          </w:p>
        </w:tc>
        <w:tc>
          <w:tcPr>
            <w:tcW w:w="2766" w:type="dxa"/>
          </w:tcPr>
          <w:p w:rsidR="006D1E20" w:rsidRPr="00465F0D" w:rsidRDefault="00853356" w:rsidP="00465F0D">
            <w:pPr>
              <w:pStyle w:val="a8"/>
              <w:numPr>
                <w:ilvl w:val="0"/>
                <w:numId w:val="1"/>
              </w:numPr>
              <w:ind w:leftChars="0"/>
              <w:rPr>
                <w:rFonts w:eastAsia="標楷體"/>
              </w:rPr>
            </w:pPr>
            <w:r w:rsidRPr="00465F0D">
              <w:rPr>
                <w:rFonts w:eastAsia="標楷體" w:hint="eastAsia"/>
              </w:rPr>
              <w:lastRenderedPageBreak/>
              <w:t>現行第二項前段</w:t>
            </w:r>
            <w:r w:rsidR="00A511D7">
              <w:rPr>
                <w:rFonts w:eastAsia="標楷體" w:hint="eastAsia"/>
              </w:rPr>
              <w:t>修正</w:t>
            </w:r>
            <w:r w:rsidRPr="00465F0D">
              <w:rPr>
                <w:rFonts w:eastAsia="標楷體" w:hint="eastAsia"/>
              </w:rPr>
              <w:t>移列第一項。配合新版公司治理藍圖</w:t>
            </w:r>
            <w:r w:rsidRPr="00465F0D">
              <w:rPr>
                <w:rFonts w:eastAsia="標楷體" w:hint="eastAsia"/>
              </w:rPr>
              <w:t>(2018~2020)</w:t>
            </w:r>
            <w:r w:rsidRPr="00465F0D">
              <w:rPr>
                <w:rFonts w:eastAsia="標楷體" w:hint="eastAsia"/>
              </w:rPr>
              <w:t>計畫於年報加強揭露非財務性資訊，並參考國際重要發展趨勢及主管機關「公開發行公司年報應行記載事項準則」附表二之二之二「履行社會責任情形及與上市上櫃公司企業社會責任實務守則差異情形及原因」評估項目</w:t>
            </w:r>
            <w:r w:rsidR="003F598D" w:rsidRPr="00465F0D">
              <w:rPr>
                <w:rFonts w:eastAsia="標楷體" w:hint="eastAsia"/>
              </w:rPr>
              <w:t>三</w:t>
            </w:r>
            <w:r w:rsidR="000E650F" w:rsidRPr="00465F0D">
              <w:rPr>
                <w:rFonts w:eastAsia="標楷體" w:hint="eastAsia"/>
              </w:rPr>
              <w:t>(</w:t>
            </w:r>
            <w:r w:rsidR="000E650F" w:rsidRPr="00465F0D">
              <w:rPr>
                <w:rFonts w:eastAsia="標楷體" w:hint="eastAsia"/>
              </w:rPr>
              <w:t>三</w:t>
            </w:r>
            <w:r w:rsidR="000E650F" w:rsidRPr="00465F0D">
              <w:rPr>
                <w:rFonts w:eastAsia="標楷體" w:hint="eastAsia"/>
              </w:rPr>
              <w:t>)</w:t>
            </w:r>
            <w:r w:rsidRPr="00465F0D">
              <w:rPr>
                <w:rFonts w:eastAsia="標楷體" w:hint="eastAsia"/>
              </w:rPr>
              <w:t>，</w:t>
            </w:r>
            <w:r w:rsidR="000E650F" w:rsidRPr="00465F0D">
              <w:rPr>
                <w:rFonts w:eastAsia="標楷體" w:hint="eastAsia"/>
              </w:rPr>
              <w:t>修正本項內容</w:t>
            </w:r>
            <w:r w:rsidRPr="00465F0D">
              <w:rPr>
                <w:rFonts w:eastAsia="標楷體" w:hint="eastAsia"/>
              </w:rPr>
              <w:t>。</w:t>
            </w:r>
          </w:p>
          <w:p w:rsidR="004839DF" w:rsidRPr="00465F0D" w:rsidRDefault="00465F0D" w:rsidP="00465F0D">
            <w:pPr>
              <w:pStyle w:val="a8"/>
              <w:numPr>
                <w:ilvl w:val="0"/>
                <w:numId w:val="1"/>
              </w:numPr>
              <w:ind w:leftChars="0"/>
              <w:rPr>
                <w:rFonts w:eastAsia="標楷體"/>
              </w:rPr>
            </w:pPr>
            <w:r>
              <w:rPr>
                <w:rFonts w:eastAsia="標楷體" w:hint="eastAsia"/>
              </w:rPr>
              <w:t>現行第一項移列第二項，</w:t>
            </w:r>
            <w:r w:rsidR="004839DF" w:rsidRPr="00465F0D">
              <w:rPr>
                <w:rFonts w:eastAsia="標楷體" w:hint="eastAsia"/>
              </w:rPr>
              <w:t>內容未修</w:t>
            </w:r>
            <w:r w:rsidR="004839DF" w:rsidRPr="00465F0D">
              <w:rPr>
                <w:rFonts w:eastAsia="標楷體" w:hint="eastAsia"/>
              </w:rPr>
              <w:lastRenderedPageBreak/>
              <w:t>正。</w:t>
            </w:r>
          </w:p>
          <w:p w:rsidR="004839DF" w:rsidRPr="00465F0D" w:rsidRDefault="004839DF" w:rsidP="00465F0D">
            <w:pPr>
              <w:pStyle w:val="a8"/>
              <w:numPr>
                <w:ilvl w:val="0"/>
                <w:numId w:val="1"/>
              </w:numPr>
              <w:ind w:leftChars="0"/>
              <w:rPr>
                <w:rFonts w:eastAsia="標楷體"/>
              </w:rPr>
            </w:pPr>
            <w:r w:rsidRPr="00465F0D">
              <w:rPr>
                <w:rFonts w:eastAsia="標楷體" w:hint="eastAsia"/>
              </w:rPr>
              <w:t>現行第二項後段</w:t>
            </w:r>
            <w:r w:rsidR="00A511D7">
              <w:rPr>
                <w:rFonts w:eastAsia="標楷體" w:hint="eastAsia"/>
              </w:rPr>
              <w:t>修正</w:t>
            </w:r>
            <w:r w:rsidRPr="00465F0D">
              <w:rPr>
                <w:rFonts w:eastAsia="標楷體" w:hint="eastAsia"/>
              </w:rPr>
              <w:t>移列第三項</w:t>
            </w:r>
            <w:r w:rsidR="009734F3" w:rsidRPr="00465F0D">
              <w:rPr>
                <w:rFonts w:ascii="新細明體" w:eastAsia="新細明體" w:hAnsi="新細明體" w:hint="eastAsia"/>
              </w:rPr>
              <w:t>。</w:t>
            </w:r>
            <w:r w:rsidR="00412A02" w:rsidRPr="00465F0D">
              <w:rPr>
                <w:rFonts w:eastAsia="標楷體" w:hint="eastAsia"/>
              </w:rPr>
              <w:t>配合新版公司治理藍圖</w:t>
            </w:r>
            <w:r w:rsidR="00412A02" w:rsidRPr="00465F0D">
              <w:rPr>
                <w:rFonts w:eastAsia="標楷體" w:hint="eastAsia"/>
              </w:rPr>
              <w:t>(2018~2020)</w:t>
            </w:r>
            <w:r w:rsidR="00412A02" w:rsidRPr="00465F0D">
              <w:rPr>
                <w:rFonts w:eastAsia="標楷體" w:hint="eastAsia"/>
              </w:rPr>
              <w:t>計畫於年報加強揭露非財務性資訊，並參考國際重要發展趨勢及主管機關「公開發行公司年報應行記載事項準則」附表二之二之二「履行社會責任情形及與上市上櫃公司企業社會責任實務守則差異情形及原因」評估項目</w:t>
            </w:r>
            <w:r w:rsidR="003F598D" w:rsidRPr="00465F0D">
              <w:rPr>
                <w:rFonts w:eastAsia="標楷體" w:hint="eastAsia"/>
              </w:rPr>
              <w:t>三</w:t>
            </w:r>
            <w:r w:rsidR="00412A02" w:rsidRPr="00465F0D">
              <w:rPr>
                <w:rFonts w:eastAsia="標楷體" w:hint="eastAsia"/>
              </w:rPr>
              <w:t>(</w:t>
            </w:r>
            <w:r w:rsidR="00412A02" w:rsidRPr="00465F0D">
              <w:rPr>
                <w:rFonts w:eastAsia="標楷體" w:hint="eastAsia"/>
              </w:rPr>
              <w:t>四</w:t>
            </w:r>
            <w:r w:rsidR="00412A02" w:rsidRPr="00465F0D">
              <w:rPr>
                <w:rFonts w:eastAsia="標楷體" w:hint="eastAsia"/>
              </w:rPr>
              <w:t>)</w:t>
            </w:r>
            <w:r w:rsidR="00412A02" w:rsidRPr="00465F0D">
              <w:rPr>
                <w:rFonts w:eastAsia="標楷體" w:hint="eastAsia"/>
              </w:rPr>
              <w:t>，修正本項內容。</w:t>
            </w:r>
          </w:p>
        </w:tc>
      </w:tr>
      <w:tr w:rsidR="002E5FB7" w:rsidRPr="00E61B25" w:rsidTr="006D1E20">
        <w:tc>
          <w:tcPr>
            <w:tcW w:w="2765" w:type="dxa"/>
          </w:tcPr>
          <w:p w:rsidR="002E5FB7" w:rsidRDefault="002E5FB7" w:rsidP="002E5FB7">
            <w:pPr>
              <w:rPr>
                <w:rFonts w:eastAsia="標楷體"/>
              </w:rPr>
            </w:pPr>
            <w:r w:rsidRPr="003E17CA">
              <w:rPr>
                <w:rFonts w:eastAsia="標楷體" w:hint="eastAsia"/>
              </w:rPr>
              <w:lastRenderedPageBreak/>
              <w:t>第二十一條</w:t>
            </w:r>
            <w:r w:rsidRPr="003E17CA">
              <w:rPr>
                <w:rFonts w:eastAsia="標楷體" w:hint="eastAsia"/>
              </w:rPr>
              <w:t xml:space="preserve"> </w:t>
            </w:r>
          </w:p>
          <w:p w:rsidR="002E5FB7" w:rsidRPr="003E17CA" w:rsidRDefault="002E5FB7" w:rsidP="002E5FB7">
            <w:pPr>
              <w:rPr>
                <w:rFonts w:eastAsia="標楷體"/>
              </w:rPr>
            </w:pPr>
            <w:r>
              <w:rPr>
                <w:rFonts w:eastAsia="標楷體" w:hint="eastAsia"/>
              </w:rPr>
              <w:t xml:space="preserve">    </w:t>
            </w:r>
            <w:r w:rsidRPr="003E17CA">
              <w:rPr>
                <w:rFonts w:eastAsia="標楷體" w:hint="eastAsia"/>
              </w:rPr>
              <w:t>上市上櫃公司宜為員工之職涯發展創造良好環境，並建立有效之職涯能力發展培訓計畫。</w:t>
            </w:r>
          </w:p>
          <w:p w:rsidR="002E5FB7" w:rsidRPr="003E17CA" w:rsidRDefault="002E5FB7" w:rsidP="004576C8">
            <w:pPr>
              <w:rPr>
                <w:rFonts w:eastAsia="標楷體"/>
              </w:rPr>
            </w:pPr>
            <w:r>
              <w:rPr>
                <w:rFonts w:eastAsia="標楷體" w:hint="eastAsia"/>
              </w:rPr>
              <w:t xml:space="preserve">    </w:t>
            </w:r>
            <w:r w:rsidRPr="003E17CA">
              <w:rPr>
                <w:rFonts w:eastAsia="標楷體" w:hint="eastAsia"/>
              </w:rPr>
              <w:t>上市上櫃公司應</w:t>
            </w:r>
            <w:r w:rsidR="00437038" w:rsidRPr="00437038">
              <w:rPr>
                <w:rFonts w:eastAsia="標楷體" w:hint="eastAsia"/>
                <w:u w:val="single"/>
              </w:rPr>
              <w:t>訂定及實施合理員工福利措施（包括薪酬、休假及其他福利等），並</w:t>
            </w:r>
            <w:r w:rsidRPr="003E17CA">
              <w:rPr>
                <w:rFonts w:eastAsia="標楷體" w:hint="eastAsia"/>
              </w:rPr>
              <w:t>將經營績效或成果適當反映</w:t>
            </w:r>
            <w:r w:rsidR="004576C8" w:rsidRPr="004576C8">
              <w:rPr>
                <w:rFonts w:eastAsia="標楷體" w:hint="eastAsia"/>
                <w:u w:val="single"/>
              </w:rPr>
              <w:t>於</w:t>
            </w:r>
            <w:r w:rsidRPr="003E17CA">
              <w:rPr>
                <w:rFonts w:eastAsia="標楷體" w:hint="eastAsia"/>
              </w:rPr>
              <w:t>員工薪酬，以確保人力資源之招募、留任和鼓勵，達成永續經營之目標。</w:t>
            </w:r>
          </w:p>
        </w:tc>
        <w:tc>
          <w:tcPr>
            <w:tcW w:w="2765" w:type="dxa"/>
          </w:tcPr>
          <w:p w:rsidR="002E5FB7" w:rsidRDefault="002E5FB7" w:rsidP="002E5FB7">
            <w:pPr>
              <w:rPr>
                <w:rFonts w:eastAsia="標楷體"/>
              </w:rPr>
            </w:pPr>
            <w:r w:rsidRPr="003E17CA">
              <w:rPr>
                <w:rFonts w:eastAsia="標楷體" w:hint="eastAsia"/>
              </w:rPr>
              <w:t>第二十一條</w:t>
            </w:r>
            <w:r w:rsidRPr="003E17CA">
              <w:rPr>
                <w:rFonts w:eastAsia="標楷體" w:hint="eastAsia"/>
              </w:rPr>
              <w:t xml:space="preserve"> </w:t>
            </w:r>
          </w:p>
          <w:p w:rsidR="002E5FB7" w:rsidRPr="003E17CA" w:rsidRDefault="002E5FB7" w:rsidP="002E5FB7">
            <w:pPr>
              <w:rPr>
                <w:rFonts w:eastAsia="標楷體"/>
              </w:rPr>
            </w:pPr>
            <w:r>
              <w:rPr>
                <w:rFonts w:eastAsia="標楷體" w:hint="eastAsia"/>
              </w:rPr>
              <w:t xml:space="preserve">    </w:t>
            </w:r>
            <w:r w:rsidRPr="003E17CA">
              <w:rPr>
                <w:rFonts w:eastAsia="標楷體" w:hint="eastAsia"/>
              </w:rPr>
              <w:t>上市上櫃公司宜為員工之職涯發展創造良好環境，並建立有效之職涯能力發展培訓計畫。</w:t>
            </w:r>
          </w:p>
          <w:p w:rsidR="002E5FB7" w:rsidRPr="003E17CA" w:rsidRDefault="002E5FB7" w:rsidP="002E5FB7">
            <w:pPr>
              <w:rPr>
                <w:rFonts w:eastAsia="標楷體"/>
              </w:rPr>
            </w:pPr>
            <w:r>
              <w:rPr>
                <w:rFonts w:eastAsia="標楷體" w:hint="eastAsia"/>
              </w:rPr>
              <w:t xml:space="preserve">    </w:t>
            </w:r>
            <w:r w:rsidRPr="003E17CA">
              <w:rPr>
                <w:rFonts w:eastAsia="標楷體" w:hint="eastAsia"/>
              </w:rPr>
              <w:t>上市上櫃公司應將</w:t>
            </w:r>
            <w:r w:rsidRPr="00437038">
              <w:rPr>
                <w:rFonts w:eastAsia="標楷體" w:hint="eastAsia"/>
                <w:u w:val="single"/>
              </w:rPr>
              <w:t>企業</w:t>
            </w:r>
            <w:r w:rsidRPr="003E17CA">
              <w:rPr>
                <w:rFonts w:eastAsia="標楷體" w:hint="eastAsia"/>
              </w:rPr>
              <w:t>經營績效或成果</w:t>
            </w:r>
            <w:r w:rsidRPr="004576C8">
              <w:rPr>
                <w:rFonts w:eastAsia="標楷體" w:hint="eastAsia"/>
                <w:u w:val="single"/>
              </w:rPr>
              <w:t>，</w:t>
            </w:r>
            <w:r w:rsidRPr="003E17CA">
              <w:rPr>
                <w:rFonts w:eastAsia="標楷體" w:hint="eastAsia"/>
              </w:rPr>
              <w:t>適當反映</w:t>
            </w:r>
            <w:r w:rsidRPr="004576C8">
              <w:rPr>
                <w:rFonts w:eastAsia="標楷體" w:hint="eastAsia"/>
                <w:u w:val="single"/>
              </w:rPr>
              <w:t>在</w:t>
            </w:r>
            <w:r w:rsidRPr="003E17CA">
              <w:rPr>
                <w:rFonts w:eastAsia="標楷體" w:hint="eastAsia"/>
              </w:rPr>
              <w:t>員工薪酬</w:t>
            </w:r>
            <w:r w:rsidRPr="00E6090C">
              <w:rPr>
                <w:rFonts w:eastAsia="標楷體" w:hint="eastAsia"/>
                <w:u w:val="single"/>
              </w:rPr>
              <w:t>政策中</w:t>
            </w:r>
            <w:r w:rsidRPr="003E17CA">
              <w:rPr>
                <w:rFonts w:eastAsia="標楷體" w:hint="eastAsia"/>
              </w:rPr>
              <w:t>，以確保人力資源之招募、留任和鼓勵，達成永續經營之目標。</w:t>
            </w:r>
          </w:p>
        </w:tc>
        <w:tc>
          <w:tcPr>
            <w:tcW w:w="2766" w:type="dxa"/>
          </w:tcPr>
          <w:p w:rsidR="002E5FB7" w:rsidRPr="00E61B25" w:rsidRDefault="00C03656" w:rsidP="003F598D">
            <w:pPr>
              <w:rPr>
                <w:rFonts w:eastAsia="標楷體"/>
              </w:rPr>
            </w:pPr>
            <w:r w:rsidRPr="005320BF">
              <w:rPr>
                <w:rFonts w:eastAsia="標楷體" w:hint="eastAsia"/>
              </w:rPr>
              <w:t>配合新版公司治理藍圖</w:t>
            </w:r>
            <w:r w:rsidRPr="005320BF">
              <w:rPr>
                <w:rFonts w:eastAsia="標楷體" w:hint="eastAsia"/>
              </w:rPr>
              <w:t>(2018~2020)</w:t>
            </w:r>
            <w:r>
              <w:rPr>
                <w:rFonts w:eastAsia="標楷體" w:hint="eastAsia"/>
              </w:rPr>
              <w:t>計畫於年報加強揭露非財務性資訊，並參考國際重要發展趨勢及主管機關「</w:t>
            </w:r>
            <w:r w:rsidRPr="00EA1FB2">
              <w:rPr>
                <w:rFonts w:eastAsia="標楷體" w:hint="eastAsia"/>
              </w:rPr>
              <w:t>公開發行公司年報應行記載事項準則</w:t>
            </w:r>
            <w:r>
              <w:rPr>
                <w:rFonts w:eastAsia="標楷體" w:hint="eastAsia"/>
              </w:rPr>
              <w:t>」附表二之二之二「</w:t>
            </w:r>
            <w:r w:rsidRPr="00D158E1">
              <w:rPr>
                <w:rFonts w:eastAsia="標楷體" w:hint="eastAsia"/>
              </w:rPr>
              <w:t>履行社會責任情形及與上市上櫃公司企業社會責任實務守則差異情形及原因</w:t>
            </w:r>
            <w:r>
              <w:rPr>
                <w:rFonts w:eastAsia="標楷體" w:hint="eastAsia"/>
              </w:rPr>
              <w:t>」評估項目</w:t>
            </w:r>
            <w:r w:rsidR="003F598D">
              <w:rPr>
                <w:rFonts w:eastAsia="標楷體" w:hint="eastAsia"/>
              </w:rPr>
              <w:t>四</w:t>
            </w:r>
            <w:r>
              <w:rPr>
                <w:rFonts w:eastAsia="標楷體" w:hint="eastAsia"/>
              </w:rPr>
              <w:t>(</w:t>
            </w:r>
            <w:r w:rsidR="003F598D">
              <w:rPr>
                <w:rFonts w:eastAsia="標楷體" w:hint="eastAsia"/>
              </w:rPr>
              <w:t>二</w:t>
            </w:r>
            <w:r>
              <w:rPr>
                <w:rFonts w:eastAsia="標楷體" w:hint="eastAsia"/>
              </w:rPr>
              <w:t>)</w:t>
            </w:r>
            <w:r>
              <w:rPr>
                <w:rFonts w:eastAsia="標楷體" w:hint="eastAsia"/>
              </w:rPr>
              <w:t>，修</w:t>
            </w:r>
            <w:r w:rsidR="00C647A1">
              <w:rPr>
                <w:rFonts w:eastAsia="標楷體" w:hint="eastAsia"/>
              </w:rPr>
              <w:t>正第二</w:t>
            </w:r>
            <w:r>
              <w:rPr>
                <w:rFonts w:eastAsia="標楷體" w:hint="eastAsia"/>
              </w:rPr>
              <w:t>項內容</w:t>
            </w:r>
            <w:r w:rsidRPr="005320BF">
              <w:rPr>
                <w:rFonts w:eastAsia="標楷體" w:hint="eastAsia"/>
              </w:rPr>
              <w:t>。</w:t>
            </w:r>
          </w:p>
        </w:tc>
      </w:tr>
      <w:tr w:rsidR="0042037B" w:rsidRPr="00E61B25" w:rsidTr="006D1E20">
        <w:tc>
          <w:tcPr>
            <w:tcW w:w="2765" w:type="dxa"/>
          </w:tcPr>
          <w:p w:rsidR="0042037B" w:rsidRDefault="0042037B" w:rsidP="0042037B">
            <w:pPr>
              <w:rPr>
                <w:rFonts w:eastAsia="標楷體"/>
              </w:rPr>
            </w:pPr>
            <w:r w:rsidRPr="0042037B">
              <w:rPr>
                <w:rFonts w:eastAsia="標楷體" w:hint="eastAsia"/>
              </w:rPr>
              <w:t>第二十四條</w:t>
            </w:r>
            <w:r w:rsidRPr="0042037B">
              <w:rPr>
                <w:rFonts w:eastAsia="標楷體" w:hint="eastAsia"/>
              </w:rPr>
              <w:t xml:space="preserve"> </w:t>
            </w:r>
          </w:p>
          <w:p w:rsidR="0042037B" w:rsidRPr="0042037B" w:rsidRDefault="0042037B" w:rsidP="0042037B">
            <w:pPr>
              <w:rPr>
                <w:rFonts w:eastAsia="標楷體"/>
              </w:rPr>
            </w:pPr>
            <w:r>
              <w:rPr>
                <w:rFonts w:eastAsia="標楷體" w:hint="eastAsia"/>
              </w:rPr>
              <w:t xml:space="preserve">    </w:t>
            </w:r>
            <w:r w:rsidRPr="0042037B">
              <w:rPr>
                <w:rFonts w:eastAsia="標楷體" w:hint="eastAsia"/>
              </w:rPr>
              <w:t>上市上櫃公司應依政府法規與產業之相關規範，確保產品與服務</w:t>
            </w:r>
            <w:r w:rsidRPr="0042037B">
              <w:rPr>
                <w:rFonts w:eastAsia="標楷體" w:hint="eastAsia"/>
              </w:rPr>
              <w:lastRenderedPageBreak/>
              <w:t>品質。</w:t>
            </w:r>
          </w:p>
          <w:p w:rsidR="0042037B" w:rsidRPr="003E17CA" w:rsidRDefault="0042037B" w:rsidP="00FC5F92">
            <w:pPr>
              <w:rPr>
                <w:rFonts w:eastAsia="標楷體"/>
              </w:rPr>
            </w:pPr>
            <w:r>
              <w:rPr>
                <w:rFonts w:eastAsia="標楷體" w:hint="eastAsia"/>
              </w:rPr>
              <w:t xml:space="preserve">    </w:t>
            </w:r>
            <w:r w:rsidRPr="0042037B">
              <w:rPr>
                <w:rFonts w:eastAsia="標楷體" w:hint="eastAsia"/>
              </w:rPr>
              <w:t>上市上櫃公司對產品與服務之</w:t>
            </w:r>
            <w:r w:rsidR="00595C27" w:rsidRPr="00595C27">
              <w:rPr>
                <w:rFonts w:eastAsia="標楷體" w:hint="eastAsia"/>
                <w:u w:val="single"/>
              </w:rPr>
              <w:t>顧客健康與安全、客戶隱私、</w:t>
            </w:r>
            <w:r w:rsidRPr="0042037B">
              <w:rPr>
                <w:rFonts w:eastAsia="標楷體" w:hint="eastAsia"/>
              </w:rPr>
              <w:t>行銷及標示，應遵循相關法規與國際準則</w:t>
            </w:r>
            <w:r w:rsidR="000B1CB5" w:rsidRPr="000B1CB5">
              <w:rPr>
                <w:rFonts w:eastAsia="標楷體" w:hint="eastAsia"/>
              </w:rPr>
              <w:t>，</w:t>
            </w:r>
            <w:r w:rsidRPr="0042037B">
              <w:rPr>
                <w:rFonts w:eastAsia="標楷體" w:hint="eastAsia"/>
              </w:rPr>
              <w:t>不得有欺騙、誤導、詐欺或任何其他破壞消費者信任、損害消費者權益之行為。</w:t>
            </w:r>
          </w:p>
        </w:tc>
        <w:tc>
          <w:tcPr>
            <w:tcW w:w="2765" w:type="dxa"/>
          </w:tcPr>
          <w:p w:rsidR="0042037B" w:rsidRDefault="0042037B" w:rsidP="0042037B">
            <w:pPr>
              <w:rPr>
                <w:rFonts w:eastAsia="標楷體"/>
              </w:rPr>
            </w:pPr>
            <w:r w:rsidRPr="0042037B">
              <w:rPr>
                <w:rFonts w:eastAsia="標楷體" w:hint="eastAsia"/>
              </w:rPr>
              <w:lastRenderedPageBreak/>
              <w:t>第二十四條</w:t>
            </w:r>
            <w:r w:rsidRPr="0042037B">
              <w:rPr>
                <w:rFonts w:eastAsia="標楷體" w:hint="eastAsia"/>
              </w:rPr>
              <w:t xml:space="preserve"> </w:t>
            </w:r>
          </w:p>
          <w:p w:rsidR="0042037B" w:rsidRPr="0042037B" w:rsidRDefault="0042037B" w:rsidP="0042037B">
            <w:pPr>
              <w:rPr>
                <w:rFonts w:eastAsia="標楷體"/>
              </w:rPr>
            </w:pPr>
            <w:r>
              <w:rPr>
                <w:rFonts w:eastAsia="標楷體" w:hint="eastAsia"/>
              </w:rPr>
              <w:t xml:space="preserve">    </w:t>
            </w:r>
            <w:r w:rsidRPr="0042037B">
              <w:rPr>
                <w:rFonts w:eastAsia="標楷體" w:hint="eastAsia"/>
              </w:rPr>
              <w:t>上市上櫃公司應依政府法規與產業之相關規範，確保產品與服務</w:t>
            </w:r>
            <w:r w:rsidRPr="0042037B">
              <w:rPr>
                <w:rFonts w:eastAsia="標楷體" w:hint="eastAsia"/>
              </w:rPr>
              <w:lastRenderedPageBreak/>
              <w:t>品質。</w:t>
            </w:r>
          </w:p>
          <w:p w:rsidR="0042037B" w:rsidRPr="003E17CA" w:rsidRDefault="0042037B" w:rsidP="0042037B">
            <w:pPr>
              <w:rPr>
                <w:rFonts w:eastAsia="標楷體"/>
              </w:rPr>
            </w:pPr>
            <w:r>
              <w:rPr>
                <w:rFonts w:eastAsia="標楷體" w:hint="eastAsia"/>
              </w:rPr>
              <w:t xml:space="preserve">    </w:t>
            </w:r>
            <w:r w:rsidRPr="0042037B">
              <w:rPr>
                <w:rFonts w:eastAsia="標楷體" w:hint="eastAsia"/>
              </w:rPr>
              <w:t>上市上櫃公司對產品與服務之行銷及標示，應遵循相關法規與國際準則，不得有欺騙、誤導、詐欺或任何其他破壞消費者信任、損害消費者權益之行為。</w:t>
            </w:r>
          </w:p>
        </w:tc>
        <w:tc>
          <w:tcPr>
            <w:tcW w:w="2766" w:type="dxa"/>
          </w:tcPr>
          <w:p w:rsidR="0042037B" w:rsidRPr="00E61B25" w:rsidRDefault="003F598D" w:rsidP="00C647A1">
            <w:pPr>
              <w:rPr>
                <w:rFonts w:eastAsia="標楷體"/>
              </w:rPr>
            </w:pPr>
            <w:r w:rsidRPr="005320BF">
              <w:rPr>
                <w:rFonts w:eastAsia="標楷體" w:hint="eastAsia"/>
              </w:rPr>
              <w:lastRenderedPageBreak/>
              <w:t>配合新版公司治理藍圖</w:t>
            </w:r>
            <w:r w:rsidRPr="005320BF">
              <w:rPr>
                <w:rFonts w:eastAsia="標楷體" w:hint="eastAsia"/>
              </w:rPr>
              <w:t>(2018~2020)</w:t>
            </w:r>
            <w:r>
              <w:rPr>
                <w:rFonts w:eastAsia="標楷體" w:hint="eastAsia"/>
              </w:rPr>
              <w:t>計畫於年報加強揭露非財務性資訊，並參考國際重要發</w:t>
            </w:r>
            <w:r>
              <w:rPr>
                <w:rFonts w:eastAsia="標楷體" w:hint="eastAsia"/>
              </w:rPr>
              <w:lastRenderedPageBreak/>
              <w:t>展趨勢及主管機關「</w:t>
            </w:r>
            <w:r w:rsidRPr="00EA1FB2">
              <w:rPr>
                <w:rFonts w:eastAsia="標楷體" w:hint="eastAsia"/>
              </w:rPr>
              <w:t>公開發行公司年報應行記載事項準則</w:t>
            </w:r>
            <w:r>
              <w:rPr>
                <w:rFonts w:eastAsia="標楷體" w:hint="eastAsia"/>
              </w:rPr>
              <w:t>」附表二之二之二「</w:t>
            </w:r>
            <w:r w:rsidRPr="00D158E1">
              <w:rPr>
                <w:rFonts w:eastAsia="標楷體" w:hint="eastAsia"/>
              </w:rPr>
              <w:t>履行社會責任情形及與上市上櫃公司企業社會責任實務守則差異情形及原因</w:t>
            </w:r>
            <w:r>
              <w:rPr>
                <w:rFonts w:eastAsia="標楷體" w:hint="eastAsia"/>
              </w:rPr>
              <w:t>」評估項目四</w:t>
            </w:r>
            <w:r>
              <w:rPr>
                <w:rFonts w:eastAsia="標楷體" w:hint="eastAsia"/>
              </w:rPr>
              <w:t>(</w:t>
            </w:r>
            <w:r>
              <w:rPr>
                <w:rFonts w:eastAsia="標楷體" w:hint="eastAsia"/>
              </w:rPr>
              <w:t>五</w:t>
            </w:r>
            <w:r>
              <w:rPr>
                <w:rFonts w:eastAsia="標楷體" w:hint="eastAsia"/>
              </w:rPr>
              <w:t>)</w:t>
            </w:r>
            <w:r>
              <w:rPr>
                <w:rFonts w:eastAsia="標楷體" w:hint="eastAsia"/>
              </w:rPr>
              <w:t>，修正</w:t>
            </w:r>
            <w:r w:rsidR="00C647A1">
              <w:rPr>
                <w:rFonts w:eastAsia="標楷體" w:hint="eastAsia"/>
              </w:rPr>
              <w:t>第二</w:t>
            </w:r>
            <w:r>
              <w:rPr>
                <w:rFonts w:eastAsia="標楷體" w:hint="eastAsia"/>
              </w:rPr>
              <w:t>項內容</w:t>
            </w:r>
            <w:r w:rsidRPr="005320BF">
              <w:rPr>
                <w:rFonts w:eastAsia="標楷體" w:hint="eastAsia"/>
              </w:rPr>
              <w:t>。</w:t>
            </w:r>
          </w:p>
        </w:tc>
      </w:tr>
      <w:tr w:rsidR="00E450CF" w:rsidRPr="00E61B25" w:rsidTr="006D1E20">
        <w:tc>
          <w:tcPr>
            <w:tcW w:w="2765" w:type="dxa"/>
          </w:tcPr>
          <w:p w:rsidR="007B40D2" w:rsidRDefault="007B40D2" w:rsidP="007B40D2">
            <w:pPr>
              <w:rPr>
                <w:rFonts w:eastAsia="標楷體"/>
              </w:rPr>
            </w:pPr>
            <w:r w:rsidRPr="00E450CF">
              <w:rPr>
                <w:rFonts w:eastAsia="標楷體" w:hint="eastAsia"/>
              </w:rPr>
              <w:lastRenderedPageBreak/>
              <w:t>第二十六條</w:t>
            </w:r>
            <w:r w:rsidRPr="00E450CF">
              <w:rPr>
                <w:rFonts w:eastAsia="標楷體" w:hint="eastAsia"/>
              </w:rPr>
              <w:t xml:space="preserve"> </w:t>
            </w:r>
          </w:p>
          <w:p w:rsidR="007B40D2" w:rsidRPr="00E450CF" w:rsidRDefault="007B40D2" w:rsidP="007B40D2">
            <w:pPr>
              <w:rPr>
                <w:rFonts w:eastAsia="標楷體"/>
              </w:rPr>
            </w:pPr>
            <w:r>
              <w:rPr>
                <w:rFonts w:eastAsia="標楷體" w:hint="eastAsia"/>
              </w:rPr>
              <w:t xml:space="preserve">    </w:t>
            </w:r>
            <w:r w:rsidRPr="00E450CF">
              <w:rPr>
                <w:rFonts w:eastAsia="標楷體" w:hint="eastAsia"/>
              </w:rPr>
              <w:t>上市上櫃公司宜評估採購行為對供應來源社區之環境與社會之影響，並與其供應商合作，共同致力落實企業社會責任。</w:t>
            </w:r>
          </w:p>
          <w:p w:rsidR="007B40D2" w:rsidRPr="00E450CF" w:rsidRDefault="007B40D2" w:rsidP="00577EFD">
            <w:pPr>
              <w:rPr>
                <w:rFonts w:eastAsia="標楷體"/>
              </w:rPr>
            </w:pPr>
            <w:r>
              <w:rPr>
                <w:rFonts w:eastAsia="標楷體" w:hint="eastAsia"/>
              </w:rPr>
              <w:t xml:space="preserve">    </w:t>
            </w:r>
            <w:r w:rsidRPr="00E450CF">
              <w:rPr>
                <w:rFonts w:eastAsia="標楷體" w:hint="eastAsia"/>
              </w:rPr>
              <w:t>上市上櫃公司</w:t>
            </w:r>
            <w:r w:rsidR="00DE6EF7" w:rsidRPr="006147E0">
              <w:rPr>
                <w:rFonts w:eastAsia="標楷體" w:hint="eastAsia"/>
                <w:u w:val="single"/>
              </w:rPr>
              <w:t>宜訂定供應商</w:t>
            </w:r>
            <w:r w:rsidR="00577EFD" w:rsidRPr="006147E0">
              <w:rPr>
                <w:rFonts w:eastAsia="標楷體" w:hint="eastAsia"/>
                <w:u w:val="single"/>
              </w:rPr>
              <w:t>管理政策，要求供應商在環保、職業安全衛生或勞動人權等議題遵循相關規範，</w:t>
            </w:r>
            <w:r w:rsidRPr="00E450CF">
              <w:rPr>
                <w:rFonts w:eastAsia="標楷體" w:hint="eastAsia"/>
              </w:rPr>
              <w:t>於商業往來之前，宜評估其供應商是否有影響環境與社會之紀錄，避免與企業之社會責任政策牴觸者進行交易。</w:t>
            </w:r>
          </w:p>
          <w:p w:rsidR="00E450CF" w:rsidRPr="0042037B" w:rsidRDefault="007B40D2" w:rsidP="007B40D2">
            <w:pPr>
              <w:rPr>
                <w:rFonts w:eastAsia="標楷體"/>
              </w:rPr>
            </w:pPr>
            <w:r>
              <w:rPr>
                <w:rFonts w:eastAsia="標楷體" w:hint="eastAsia"/>
              </w:rPr>
              <w:t xml:space="preserve">    </w:t>
            </w:r>
            <w:r w:rsidRPr="00E450CF">
              <w:rPr>
                <w:rFonts w:eastAsia="標楷體" w:hint="eastAsia"/>
              </w:rPr>
              <w:t>上市上櫃公司與其主要供應商簽訂契約時，其內容宜包含遵守雙方之企業社會責任政策，及供應商如涉及違反政策，且對供應來源社區之環境與社會造成顯著影響時，得隨時終止或解除契約之條款。</w:t>
            </w:r>
          </w:p>
        </w:tc>
        <w:tc>
          <w:tcPr>
            <w:tcW w:w="2765" w:type="dxa"/>
          </w:tcPr>
          <w:p w:rsidR="00E450CF" w:rsidRDefault="00E450CF" w:rsidP="00E450CF">
            <w:pPr>
              <w:rPr>
                <w:rFonts w:eastAsia="標楷體"/>
              </w:rPr>
            </w:pPr>
            <w:r w:rsidRPr="00E450CF">
              <w:rPr>
                <w:rFonts w:eastAsia="標楷體" w:hint="eastAsia"/>
              </w:rPr>
              <w:t>第二十六條</w:t>
            </w:r>
            <w:r w:rsidRPr="00E450CF">
              <w:rPr>
                <w:rFonts w:eastAsia="標楷體" w:hint="eastAsia"/>
              </w:rPr>
              <w:t xml:space="preserve"> </w:t>
            </w:r>
          </w:p>
          <w:p w:rsidR="00E450CF" w:rsidRPr="00E450CF" w:rsidRDefault="00E450CF" w:rsidP="00E450CF">
            <w:pPr>
              <w:rPr>
                <w:rFonts w:eastAsia="標楷體"/>
              </w:rPr>
            </w:pPr>
            <w:r>
              <w:rPr>
                <w:rFonts w:eastAsia="標楷體" w:hint="eastAsia"/>
              </w:rPr>
              <w:t xml:space="preserve">    </w:t>
            </w:r>
            <w:r w:rsidRPr="00E450CF">
              <w:rPr>
                <w:rFonts w:eastAsia="標楷體" w:hint="eastAsia"/>
              </w:rPr>
              <w:t>上市上櫃公司宜評估採購行為對供應來源社區之環境與社會之影響，並與其供應商合作，共同致力落實企業社會責任。</w:t>
            </w:r>
          </w:p>
          <w:p w:rsidR="00E450CF" w:rsidRPr="00E450CF" w:rsidRDefault="00424388" w:rsidP="00E450CF">
            <w:pPr>
              <w:rPr>
                <w:rFonts w:eastAsia="標楷體"/>
              </w:rPr>
            </w:pPr>
            <w:r>
              <w:rPr>
                <w:rFonts w:eastAsia="標楷體" w:hint="eastAsia"/>
              </w:rPr>
              <w:t xml:space="preserve">    </w:t>
            </w:r>
            <w:r w:rsidR="00E450CF" w:rsidRPr="00E450CF">
              <w:rPr>
                <w:rFonts w:eastAsia="標楷體" w:hint="eastAsia"/>
              </w:rPr>
              <w:t>上市上櫃公司於商業往來之前，宜評估其供應商是否有影響環境與社會之紀錄，避免與企業之社會責任政策牴觸者進行交易。</w:t>
            </w:r>
          </w:p>
          <w:p w:rsidR="00E450CF" w:rsidRPr="0042037B" w:rsidRDefault="00424388" w:rsidP="00424388">
            <w:pPr>
              <w:rPr>
                <w:rFonts w:eastAsia="標楷體"/>
              </w:rPr>
            </w:pPr>
            <w:r>
              <w:rPr>
                <w:rFonts w:eastAsia="標楷體" w:hint="eastAsia"/>
              </w:rPr>
              <w:t xml:space="preserve">    </w:t>
            </w:r>
            <w:r w:rsidR="00E450CF" w:rsidRPr="00E450CF">
              <w:rPr>
                <w:rFonts w:eastAsia="標楷體" w:hint="eastAsia"/>
              </w:rPr>
              <w:t>上市上櫃公司與其主要供應商簽訂契約時，其內容宜包含遵守雙方之企業社會責任政策，及供應商如涉及違反政策，且對供應來源社區之環境與社會造成顯著影響時，得隨時終止或解除契約之條款。</w:t>
            </w:r>
          </w:p>
        </w:tc>
        <w:tc>
          <w:tcPr>
            <w:tcW w:w="2766" w:type="dxa"/>
          </w:tcPr>
          <w:p w:rsidR="00E450CF" w:rsidRPr="00E61B25" w:rsidRDefault="00580621" w:rsidP="00C647A1">
            <w:pPr>
              <w:rPr>
                <w:rFonts w:eastAsia="標楷體"/>
              </w:rPr>
            </w:pPr>
            <w:r w:rsidRPr="005320BF">
              <w:rPr>
                <w:rFonts w:eastAsia="標楷體" w:hint="eastAsia"/>
              </w:rPr>
              <w:t>配合新版公司治理藍圖</w:t>
            </w:r>
            <w:r w:rsidRPr="005320BF">
              <w:rPr>
                <w:rFonts w:eastAsia="標楷體" w:hint="eastAsia"/>
              </w:rPr>
              <w:t>(2018~2020)</w:t>
            </w:r>
            <w:r>
              <w:rPr>
                <w:rFonts w:eastAsia="標楷體" w:hint="eastAsia"/>
              </w:rPr>
              <w:t>計畫於年報加強揭露非財務性資訊，並參考國際重要發展趨勢及主管機關「</w:t>
            </w:r>
            <w:r w:rsidRPr="00EA1FB2">
              <w:rPr>
                <w:rFonts w:eastAsia="標楷體" w:hint="eastAsia"/>
              </w:rPr>
              <w:t>公開發行公司年報應行記載事項準則</w:t>
            </w:r>
            <w:r>
              <w:rPr>
                <w:rFonts w:eastAsia="標楷體" w:hint="eastAsia"/>
              </w:rPr>
              <w:t>」附表二之二之二「</w:t>
            </w:r>
            <w:r w:rsidRPr="00D158E1">
              <w:rPr>
                <w:rFonts w:eastAsia="標楷體" w:hint="eastAsia"/>
              </w:rPr>
              <w:t>履行社會責任情形及與上市上櫃公司企業社會責任實務守則差異情形及原因</w:t>
            </w:r>
            <w:r>
              <w:rPr>
                <w:rFonts w:eastAsia="標楷體" w:hint="eastAsia"/>
              </w:rPr>
              <w:t>」評估項目四</w:t>
            </w:r>
            <w:r>
              <w:rPr>
                <w:rFonts w:eastAsia="標楷體" w:hint="eastAsia"/>
              </w:rPr>
              <w:t>(</w:t>
            </w:r>
            <w:r w:rsidR="00E9643A">
              <w:rPr>
                <w:rFonts w:eastAsia="標楷體" w:hint="eastAsia"/>
              </w:rPr>
              <w:t>六</w:t>
            </w:r>
            <w:r>
              <w:rPr>
                <w:rFonts w:eastAsia="標楷體" w:hint="eastAsia"/>
              </w:rPr>
              <w:t>)</w:t>
            </w:r>
            <w:r>
              <w:rPr>
                <w:rFonts w:eastAsia="標楷體" w:hint="eastAsia"/>
              </w:rPr>
              <w:t>，修正</w:t>
            </w:r>
            <w:r w:rsidR="00C647A1">
              <w:rPr>
                <w:rFonts w:eastAsia="標楷體" w:hint="eastAsia"/>
              </w:rPr>
              <w:t>第二項</w:t>
            </w:r>
            <w:r>
              <w:rPr>
                <w:rFonts w:eastAsia="標楷體" w:hint="eastAsia"/>
              </w:rPr>
              <w:t>內容</w:t>
            </w:r>
            <w:r w:rsidRPr="005320BF">
              <w:rPr>
                <w:rFonts w:eastAsia="標楷體" w:hint="eastAsia"/>
              </w:rPr>
              <w:t>。</w:t>
            </w:r>
          </w:p>
        </w:tc>
      </w:tr>
    </w:tbl>
    <w:p w:rsidR="006D1E20" w:rsidRPr="00CD1735" w:rsidRDefault="006D1E20"/>
    <w:sectPr w:rsidR="006D1E20" w:rsidRPr="00CD173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6FF" w:rsidRDefault="00D446FF" w:rsidP="00E6090C">
      <w:r>
        <w:separator/>
      </w:r>
    </w:p>
  </w:endnote>
  <w:endnote w:type="continuationSeparator" w:id="0">
    <w:p w:rsidR="00D446FF" w:rsidRDefault="00D446FF" w:rsidP="00E6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6FF" w:rsidRDefault="00D446FF" w:rsidP="00E6090C">
      <w:r>
        <w:separator/>
      </w:r>
    </w:p>
  </w:footnote>
  <w:footnote w:type="continuationSeparator" w:id="0">
    <w:p w:rsidR="00D446FF" w:rsidRDefault="00D446FF" w:rsidP="00E609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648CD"/>
    <w:multiLevelType w:val="hybridMultilevel"/>
    <w:tmpl w:val="138C5506"/>
    <w:lvl w:ilvl="0" w:tplc="F958522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562C80"/>
    <w:multiLevelType w:val="hybridMultilevel"/>
    <w:tmpl w:val="F4D07A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20"/>
    <w:rsid w:val="00006CBB"/>
    <w:rsid w:val="00045033"/>
    <w:rsid w:val="000838BD"/>
    <w:rsid w:val="000A74E8"/>
    <w:rsid w:val="000B1CB5"/>
    <w:rsid w:val="000E650F"/>
    <w:rsid w:val="00183F27"/>
    <w:rsid w:val="00256BA1"/>
    <w:rsid w:val="002822B2"/>
    <w:rsid w:val="00291A7C"/>
    <w:rsid w:val="00297FAF"/>
    <w:rsid w:val="002B2235"/>
    <w:rsid w:val="002C455A"/>
    <w:rsid w:val="002E5FB7"/>
    <w:rsid w:val="002F1952"/>
    <w:rsid w:val="00355942"/>
    <w:rsid w:val="003A2F06"/>
    <w:rsid w:val="003E17CA"/>
    <w:rsid w:val="003F598D"/>
    <w:rsid w:val="00412A02"/>
    <w:rsid w:val="0042037B"/>
    <w:rsid w:val="00424388"/>
    <w:rsid w:val="00437038"/>
    <w:rsid w:val="004576C8"/>
    <w:rsid w:val="00465F0D"/>
    <w:rsid w:val="004839DF"/>
    <w:rsid w:val="004861FA"/>
    <w:rsid w:val="005320BF"/>
    <w:rsid w:val="0055424E"/>
    <w:rsid w:val="00555460"/>
    <w:rsid w:val="0057763A"/>
    <w:rsid w:val="00577EFD"/>
    <w:rsid w:val="00580621"/>
    <w:rsid w:val="00594830"/>
    <w:rsid w:val="00595C27"/>
    <w:rsid w:val="005C4EF2"/>
    <w:rsid w:val="006147E0"/>
    <w:rsid w:val="00630EBF"/>
    <w:rsid w:val="00690585"/>
    <w:rsid w:val="00693684"/>
    <w:rsid w:val="006D1E20"/>
    <w:rsid w:val="007B40D2"/>
    <w:rsid w:val="00824060"/>
    <w:rsid w:val="00842CF8"/>
    <w:rsid w:val="00853356"/>
    <w:rsid w:val="008A7508"/>
    <w:rsid w:val="00945F71"/>
    <w:rsid w:val="009734F3"/>
    <w:rsid w:val="0097579D"/>
    <w:rsid w:val="009F567A"/>
    <w:rsid w:val="00A511D7"/>
    <w:rsid w:val="00AC0CD7"/>
    <w:rsid w:val="00AC6078"/>
    <w:rsid w:val="00B74A8F"/>
    <w:rsid w:val="00C03656"/>
    <w:rsid w:val="00C647A1"/>
    <w:rsid w:val="00CD1735"/>
    <w:rsid w:val="00D13B04"/>
    <w:rsid w:val="00D158E1"/>
    <w:rsid w:val="00D446FF"/>
    <w:rsid w:val="00D85411"/>
    <w:rsid w:val="00DE6EF7"/>
    <w:rsid w:val="00E43AC7"/>
    <w:rsid w:val="00E450CF"/>
    <w:rsid w:val="00E6090C"/>
    <w:rsid w:val="00E61B25"/>
    <w:rsid w:val="00E9643A"/>
    <w:rsid w:val="00EA1FB2"/>
    <w:rsid w:val="00ED0A10"/>
    <w:rsid w:val="00F92DB5"/>
    <w:rsid w:val="00FC5F92"/>
    <w:rsid w:val="00FD54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2F81D"/>
  <w15:chartTrackingRefBased/>
  <w15:docId w15:val="{914AFD76-12F2-4198-BA8E-6E7D30A3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090C"/>
    <w:pPr>
      <w:tabs>
        <w:tab w:val="center" w:pos="4153"/>
        <w:tab w:val="right" w:pos="8306"/>
      </w:tabs>
      <w:snapToGrid w:val="0"/>
    </w:pPr>
    <w:rPr>
      <w:sz w:val="20"/>
      <w:szCs w:val="20"/>
    </w:rPr>
  </w:style>
  <w:style w:type="character" w:customStyle="1" w:styleId="a5">
    <w:name w:val="頁首 字元"/>
    <w:basedOn w:val="a0"/>
    <w:link w:val="a4"/>
    <w:uiPriority w:val="99"/>
    <w:rsid w:val="00E6090C"/>
    <w:rPr>
      <w:sz w:val="20"/>
      <w:szCs w:val="20"/>
    </w:rPr>
  </w:style>
  <w:style w:type="paragraph" w:styleId="a6">
    <w:name w:val="footer"/>
    <w:basedOn w:val="a"/>
    <w:link w:val="a7"/>
    <w:uiPriority w:val="99"/>
    <w:unhideWhenUsed/>
    <w:rsid w:val="00E6090C"/>
    <w:pPr>
      <w:tabs>
        <w:tab w:val="center" w:pos="4153"/>
        <w:tab w:val="right" w:pos="8306"/>
      </w:tabs>
      <w:snapToGrid w:val="0"/>
    </w:pPr>
    <w:rPr>
      <w:sz w:val="20"/>
      <w:szCs w:val="20"/>
    </w:rPr>
  </w:style>
  <w:style w:type="character" w:customStyle="1" w:styleId="a7">
    <w:name w:val="頁尾 字元"/>
    <w:basedOn w:val="a0"/>
    <w:link w:val="a6"/>
    <w:uiPriority w:val="99"/>
    <w:rsid w:val="00E6090C"/>
    <w:rPr>
      <w:sz w:val="20"/>
      <w:szCs w:val="20"/>
    </w:rPr>
  </w:style>
  <w:style w:type="paragraph" w:styleId="a8">
    <w:name w:val="List Paragraph"/>
    <w:basedOn w:val="a"/>
    <w:uiPriority w:val="34"/>
    <w:qFormat/>
    <w:rsid w:val="00465F0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20693">
      <w:bodyDiv w:val="1"/>
      <w:marLeft w:val="0"/>
      <w:marRight w:val="0"/>
      <w:marTop w:val="0"/>
      <w:marBottom w:val="0"/>
      <w:divBdr>
        <w:top w:val="none" w:sz="0" w:space="0" w:color="auto"/>
        <w:left w:val="none" w:sz="0" w:space="0" w:color="auto"/>
        <w:bottom w:val="none" w:sz="0" w:space="0" w:color="auto"/>
        <w:right w:val="none" w:sz="0" w:space="0" w:color="auto"/>
      </w:divBdr>
      <w:divsChild>
        <w:div w:id="1132362368">
          <w:marLeft w:val="0"/>
          <w:marRight w:val="0"/>
          <w:marTop w:val="150"/>
          <w:marBottom w:val="0"/>
          <w:divBdr>
            <w:top w:val="none" w:sz="0" w:space="0" w:color="auto"/>
            <w:left w:val="none" w:sz="0" w:space="0" w:color="auto"/>
            <w:bottom w:val="none" w:sz="0" w:space="0" w:color="auto"/>
            <w:right w:val="none" w:sz="0" w:space="0" w:color="auto"/>
          </w:divBdr>
          <w:divsChild>
            <w:div w:id="395863632">
              <w:marLeft w:val="0"/>
              <w:marRight w:val="0"/>
              <w:marTop w:val="0"/>
              <w:marBottom w:val="0"/>
              <w:divBdr>
                <w:top w:val="none" w:sz="0" w:space="0" w:color="auto"/>
                <w:left w:val="none" w:sz="0" w:space="0" w:color="auto"/>
                <w:bottom w:val="none" w:sz="0" w:space="0" w:color="auto"/>
                <w:right w:val="none" w:sz="0" w:space="0" w:color="auto"/>
              </w:divBdr>
              <w:divsChild>
                <w:div w:id="850097364">
                  <w:marLeft w:val="0"/>
                  <w:marRight w:val="0"/>
                  <w:marTop w:val="0"/>
                  <w:marBottom w:val="0"/>
                  <w:divBdr>
                    <w:top w:val="none" w:sz="0" w:space="0" w:color="auto"/>
                    <w:left w:val="none" w:sz="0" w:space="0" w:color="auto"/>
                    <w:bottom w:val="none" w:sz="0" w:space="0" w:color="auto"/>
                    <w:right w:val="none" w:sz="0" w:space="0" w:color="auto"/>
                  </w:divBdr>
                  <w:divsChild>
                    <w:div w:id="968434878">
                      <w:marLeft w:val="0"/>
                      <w:marRight w:val="0"/>
                      <w:marTop w:val="0"/>
                      <w:marBottom w:val="0"/>
                      <w:divBdr>
                        <w:top w:val="none" w:sz="0" w:space="0" w:color="auto"/>
                        <w:left w:val="none" w:sz="0" w:space="0" w:color="auto"/>
                        <w:bottom w:val="none" w:sz="0" w:space="0" w:color="auto"/>
                        <w:right w:val="none" w:sz="0" w:space="0" w:color="auto"/>
                      </w:divBdr>
                      <w:divsChild>
                        <w:div w:id="1586110301">
                          <w:marLeft w:val="0"/>
                          <w:marRight w:val="0"/>
                          <w:marTop w:val="0"/>
                          <w:marBottom w:val="0"/>
                          <w:divBdr>
                            <w:top w:val="none" w:sz="0" w:space="0" w:color="auto"/>
                            <w:left w:val="none" w:sz="0" w:space="0" w:color="auto"/>
                            <w:bottom w:val="none" w:sz="0" w:space="0" w:color="auto"/>
                            <w:right w:val="none" w:sz="0" w:space="0" w:color="auto"/>
                          </w:divBdr>
                          <w:divsChild>
                            <w:div w:id="796215467">
                              <w:marLeft w:val="0"/>
                              <w:marRight w:val="0"/>
                              <w:marTop w:val="0"/>
                              <w:marBottom w:val="0"/>
                              <w:divBdr>
                                <w:top w:val="none" w:sz="0" w:space="0" w:color="auto"/>
                                <w:left w:val="none" w:sz="0" w:space="0" w:color="auto"/>
                                <w:bottom w:val="none" w:sz="0" w:space="0" w:color="auto"/>
                                <w:right w:val="none" w:sz="0" w:space="0" w:color="auto"/>
                              </w:divBdr>
                              <w:divsChild>
                                <w:div w:id="1992950949">
                                  <w:marLeft w:val="0"/>
                                  <w:marRight w:val="0"/>
                                  <w:marTop w:val="0"/>
                                  <w:marBottom w:val="0"/>
                                  <w:divBdr>
                                    <w:top w:val="none" w:sz="0" w:space="0" w:color="auto"/>
                                    <w:left w:val="none" w:sz="0" w:space="0" w:color="auto"/>
                                    <w:bottom w:val="none" w:sz="0" w:space="0" w:color="auto"/>
                                    <w:right w:val="none" w:sz="0" w:space="0" w:color="auto"/>
                                  </w:divBdr>
                                  <w:divsChild>
                                    <w:div w:id="5663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190655">
      <w:bodyDiv w:val="1"/>
      <w:marLeft w:val="0"/>
      <w:marRight w:val="0"/>
      <w:marTop w:val="0"/>
      <w:marBottom w:val="0"/>
      <w:divBdr>
        <w:top w:val="none" w:sz="0" w:space="0" w:color="auto"/>
        <w:left w:val="none" w:sz="0" w:space="0" w:color="auto"/>
        <w:bottom w:val="none" w:sz="0" w:space="0" w:color="auto"/>
        <w:right w:val="none" w:sz="0" w:space="0" w:color="auto"/>
      </w:divBdr>
      <w:divsChild>
        <w:div w:id="1549103907">
          <w:marLeft w:val="0"/>
          <w:marRight w:val="0"/>
          <w:marTop w:val="150"/>
          <w:marBottom w:val="0"/>
          <w:divBdr>
            <w:top w:val="none" w:sz="0" w:space="0" w:color="auto"/>
            <w:left w:val="none" w:sz="0" w:space="0" w:color="auto"/>
            <w:bottom w:val="none" w:sz="0" w:space="0" w:color="auto"/>
            <w:right w:val="none" w:sz="0" w:space="0" w:color="auto"/>
          </w:divBdr>
          <w:divsChild>
            <w:div w:id="1806964737">
              <w:marLeft w:val="0"/>
              <w:marRight w:val="0"/>
              <w:marTop w:val="0"/>
              <w:marBottom w:val="0"/>
              <w:divBdr>
                <w:top w:val="none" w:sz="0" w:space="0" w:color="auto"/>
                <w:left w:val="none" w:sz="0" w:space="0" w:color="auto"/>
                <w:bottom w:val="none" w:sz="0" w:space="0" w:color="auto"/>
                <w:right w:val="none" w:sz="0" w:space="0" w:color="auto"/>
              </w:divBdr>
              <w:divsChild>
                <w:div w:id="529149684">
                  <w:marLeft w:val="0"/>
                  <w:marRight w:val="0"/>
                  <w:marTop w:val="0"/>
                  <w:marBottom w:val="0"/>
                  <w:divBdr>
                    <w:top w:val="none" w:sz="0" w:space="0" w:color="auto"/>
                    <w:left w:val="none" w:sz="0" w:space="0" w:color="auto"/>
                    <w:bottom w:val="none" w:sz="0" w:space="0" w:color="auto"/>
                    <w:right w:val="none" w:sz="0" w:space="0" w:color="auto"/>
                  </w:divBdr>
                  <w:divsChild>
                    <w:div w:id="1285431209">
                      <w:marLeft w:val="0"/>
                      <w:marRight w:val="0"/>
                      <w:marTop w:val="0"/>
                      <w:marBottom w:val="0"/>
                      <w:divBdr>
                        <w:top w:val="none" w:sz="0" w:space="0" w:color="auto"/>
                        <w:left w:val="none" w:sz="0" w:space="0" w:color="auto"/>
                        <w:bottom w:val="none" w:sz="0" w:space="0" w:color="auto"/>
                        <w:right w:val="none" w:sz="0" w:space="0" w:color="auto"/>
                      </w:divBdr>
                      <w:divsChild>
                        <w:div w:id="1574580613">
                          <w:marLeft w:val="0"/>
                          <w:marRight w:val="0"/>
                          <w:marTop w:val="0"/>
                          <w:marBottom w:val="0"/>
                          <w:divBdr>
                            <w:top w:val="none" w:sz="0" w:space="0" w:color="auto"/>
                            <w:left w:val="none" w:sz="0" w:space="0" w:color="auto"/>
                            <w:bottom w:val="none" w:sz="0" w:space="0" w:color="auto"/>
                            <w:right w:val="none" w:sz="0" w:space="0" w:color="auto"/>
                          </w:divBdr>
                          <w:divsChild>
                            <w:div w:id="1393231258">
                              <w:marLeft w:val="0"/>
                              <w:marRight w:val="0"/>
                              <w:marTop w:val="0"/>
                              <w:marBottom w:val="0"/>
                              <w:divBdr>
                                <w:top w:val="none" w:sz="0" w:space="0" w:color="auto"/>
                                <w:left w:val="none" w:sz="0" w:space="0" w:color="auto"/>
                                <w:bottom w:val="none" w:sz="0" w:space="0" w:color="auto"/>
                                <w:right w:val="none" w:sz="0" w:space="0" w:color="auto"/>
                              </w:divBdr>
                              <w:divsChild>
                                <w:div w:id="1664699873">
                                  <w:marLeft w:val="0"/>
                                  <w:marRight w:val="0"/>
                                  <w:marTop w:val="0"/>
                                  <w:marBottom w:val="0"/>
                                  <w:divBdr>
                                    <w:top w:val="none" w:sz="0" w:space="0" w:color="auto"/>
                                    <w:left w:val="none" w:sz="0" w:space="0" w:color="auto"/>
                                    <w:bottom w:val="none" w:sz="0" w:space="0" w:color="auto"/>
                                    <w:right w:val="none" w:sz="0" w:space="0" w:color="auto"/>
                                  </w:divBdr>
                                  <w:divsChild>
                                    <w:div w:id="1310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382</Words>
  <Characters>2181</Characters>
  <Application>Microsoft Office Word</Application>
  <DocSecurity>0</DocSecurity>
  <Lines>18</Lines>
  <Paragraphs>5</Paragraphs>
  <ScaleCrop>false</ScaleCrop>
  <Company>TWSE 臺灣證券交易所</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陳櫻樺</dc:creator>
  <cp:keywords/>
  <dc:description/>
  <cp:lastModifiedBy>陳櫻樺</cp:lastModifiedBy>
  <cp:revision>3</cp:revision>
  <dcterms:created xsi:type="dcterms:W3CDTF">2020-02-12T10:14:00Z</dcterms:created>
  <dcterms:modified xsi:type="dcterms:W3CDTF">2020-02-12T10:20:00Z</dcterms:modified>
</cp:coreProperties>
</file>