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A34" w:rsidRDefault="00931614" w:rsidP="00931614">
      <w:pPr>
        <w:tabs>
          <w:tab w:val="left" w:pos="567"/>
        </w:tabs>
        <w:spacing w:line="480" w:lineRule="exact"/>
        <w:jc w:val="center"/>
        <w:rPr>
          <w:rFonts w:ascii="標楷體" w:eastAsia="標楷體" w:hAnsi="標楷體"/>
          <w:b/>
          <w:sz w:val="36"/>
          <w:szCs w:val="36"/>
        </w:rPr>
      </w:pPr>
      <w:r w:rsidRPr="006F0A2A">
        <w:rPr>
          <w:rFonts w:ascii="標楷體" w:eastAsia="標楷體" w:hAnsi="標楷體" w:hint="eastAsia"/>
          <w:b/>
          <w:sz w:val="36"/>
          <w:szCs w:val="36"/>
        </w:rPr>
        <w:t>臺灣證券交易所股份有限公司營業細則</w:t>
      </w:r>
      <w:r w:rsidR="004055A7">
        <w:rPr>
          <w:rFonts w:ascii="標楷體" w:eastAsia="標楷體" w:hAnsi="標楷體" w:hint="eastAsia"/>
          <w:b/>
          <w:sz w:val="36"/>
          <w:szCs w:val="36"/>
        </w:rPr>
        <w:t>第</w:t>
      </w:r>
      <w:r w:rsidR="004055A7">
        <w:rPr>
          <w:rFonts w:ascii="標楷體" w:eastAsia="標楷體" w:hAnsi="標楷體"/>
          <w:b/>
          <w:sz w:val="36"/>
          <w:szCs w:val="36"/>
        </w:rPr>
        <w:t>五</w:t>
      </w:r>
      <w:r w:rsidR="004055A7">
        <w:rPr>
          <w:rFonts w:ascii="標楷體" w:eastAsia="標楷體" w:hAnsi="標楷體" w:hint="eastAsia"/>
          <w:b/>
          <w:sz w:val="36"/>
          <w:szCs w:val="36"/>
        </w:rPr>
        <w:t>十</w:t>
      </w:r>
      <w:r w:rsidR="004055A7">
        <w:rPr>
          <w:rFonts w:ascii="標楷體" w:eastAsia="標楷體" w:hAnsi="標楷體"/>
          <w:b/>
          <w:sz w:val="36"/>
          <w:szCs w:val="36"/>
        </w:rPr>
        <w:t>條</w:t>
      </w:r>
      <w:r w:rsidR="008B6957">
        <w:rPr>
          <w:rFonts w:ascii="標楷體" w:eastAsia="標楷體" w:hAnsi="標楷體" w:hint="eastAsia"/>
          <w:b/>
          <w:sz w:val="36"/>
          <w:szCs w:val="36"/>
        </w:rPr>
        <w:t>及</w:t>
      </w:r>
    </w:p>
    <w:p w:rsidR="00931614" w:rsidRPr="006F0A2A" w:rsidRDefault="008B6957" w:rsidP="00931614">
      <w:pPr>
        <w:tabs>
          <w:tab w:val="left" w:pos="567"/>
        </w:tabs>
        <w:spacing w:line="480" w:lineRule="exact"/>
        <w:jc w:val="center"/>
        <w:rPr>
          <w:rFonts w:ascii="標楷體" w:eastAsia="標楷體" w:hAnsi="標楷體"/>
          <w:sz w:val="28"/>
          <w:szCs w:val="28"/>
        </w:rPr>
      </w:pPr>
      <w:r>
        <w:rPr>
          <w:rFonts w:ascii="標楷體" w:eastAsia="標楷體" w:hAnsi="標楷體"/>
          <w:b/>
          <w:sz w:val="36"/>
          <w:szCs w:val="36"/>
        </w:rPr>
        <w:t>第五十條之三</w:t>
      </w:r>
      <w:r w:rsidR="00B578F0">
        <w:rPr>
          <w:rFonts w:ascii="標楷體" w:eastAsia="標楷體" w:hAnsi="標楷體" w:hint="eastAsia"/>
          <w:b/>
          <w:sz w:val="36"/>
          <w:szCs w:val="36"/>
        </w:rPr>
        <w:t>修正</w:t>
      </w:r>
      <w:bookmarkStart w:id="0" w:name="_GoBack"/>
      <w:bookmarkEnd w:id="0"/>
      <w:r w:rsidR="00931614" w:rsidRPr="006F0A2A">
        <w:rPr>
          <w:rFonts w:ascii="標楷體" w:eastAsia="標楷體" w:hAnsi="標楷體" w:hint="eastAsia"/>
          <w:b/>
          <w:sz w:val="36"/>
          <w:szCs w:val="36"/>
        </w:rPr>
        <w:t>條文對照表</w:t>
      </w:r>
    </w:p>
    <w:tbl>
      <w:tblPr>
        <w:tblW w:w="893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119"/>
        <w:gridCol w:w="2585"/>
      </w:tblGrid>
      <w:tr w:rsidR="00931614" w:rsidRPr="006F0A2A" w:rsidTr="00CE0FAF">
        <w:tc>
          <w:tcPr>
            <w:tcW w:w="3227" w:type="dxa"/>
          </w:tcPr>
          <w:p w:rsidR="00931614" w:rsidRPr="006F0A2A" w:rsidRDefault="00931614" w:rsidP="006C5C3B">
            <w:pPr>
              <w:jc w:val="center"/>
              <w:rPr>
                <w:rFonts w:ascii="標楷體" w:eastAsia="標楷體" w:hAnsi="標楷體"/>
              </w:rPr>
            </w:pPr>
            <w:r w:rsidRPr="006F0A2A">
              <w:rPr>
                <w:rFonts w:ascii="標楷體" w:eastAsia="標楷體" w:hAnsi="標楷體" w:hint="eastAsia"/>
              </w:rPr>
              <w:t>修正條文</w:t>
            </w:r>
          </w:p>
        </w:tc>
        <w:tc>
          <w:tcPr>
            <w:tcW w:w="3119" w:type="dxa"/>
          </w:tcPr>
          <w:p w:rsidR="00931614" w:rsidRPr="006F0A2A" w:rsidRDefault="00931614" w:rsidP="006C5C3B">
            <w:pPr>
              <w:jc w:val="center"/>
              <w:rPr>
                <w:rFonts w:ascii="標楷體" w:eastAsia="標楷體" w:hAnsi="標楷體"/>
              </w:rPr>
            </w:pPr>
            <w:r w:rsidRPr="006F0A2A">
              <w:rPr>
                <w:rFonts w:ascii="標楷體" w:eastAsia="標楷體" w:hAnsi="標楷體" w:hint="eastAsia"/>
              </w:rPr>
              <w:t>現行條文</w:t>
            </w:r>
          </w:p>
        </w:tc>
        <w:tc>
          <w:tcPr>
            <w:tcW w:w="2585" w:type="dxa"/>
          </w:tcPr>
          <w:p w:rsidR="00931614" w:rsidRPr="006F0A2A" w:rsidRDefault="00931614" w:rsidP="006C5C3B">
            <w:pPr>
              <w:jc w:val="center"/>
              <w:rPr>
                <w:rFonts w:ascii="標楷體" w:eastAsia="標楷體" w:hAnsi="標楷體"/>
              </w:rPr>
            </w:pPr>
            <w:r w:rsidRPr="006F0A2A">
              <w:rPr>
                <w:rFonts w:ascii="標楷體" w:eastAsia="標楷體" w:hAnsi="標楷體" w:hint="eastAsia"/>
              </w:rPr>
              <w:t>說明</w:t>
            </w:r>
          </w:p>
        </w:tc>
      </w:tr>
      <w:tr w:rsidR="00892673" w:rsidRPr="006F0A2A" w:rsidTr="00CE0FAF">
        <w:trPr>
          <w:trHeight w:val="768"/>
        </w:trPr>
        <w:tc>
          <w:tcPr>
            <w:tcW w:w="3227" w:type="dxa"/>
            <w:tcBorders>
              <w:top w:val="single" w:sz="4" w:space="0" w:color="auto"/>
              <w:bottom w:val="single" w:sz="4" w:space="0" w:color="auto"/>
            </w:tcBorders>
          </w:tcPr>
          <w:p w:rsidR="00620410" w:rsidRPr="00544B03" w:rsidRDefault="00620410" w:rsidP="00620410">
            <w:pPr>
              <w:rPr>
                <w:rFonts w:ascii="Times New Roman" w:eastAsia="標楷體" w:hAnsi="Times New Roman" w:cs="Times New Roman"/>
                <w:szCs w:val="24"/>
              </w:rPr>
            </w:pPr>
            <w:r w:rsidRPr="00544B03">
              <w:rPr>
                <w:rFonts w:ascii="Times New Roman" w:eastAsia="標楷體" w:hAnsi="Times New Roman" w:cs="Times New Roman" w:hint="eastAsia"/>
                <w:szCs w:val="24"/>
              </w:rPr>
              <w:t>第</w:t>
            </w:r>
            <w:r>
              <w:rPr>
                <w:rFonts w:ascii="Times New Roman" w:eastAsia="標楷體" w:hAnsi="Times New Roman" w:cs="Times New Roman" w:hint="eastAsia"/>
                <w:szCs w:val="24"/>
              </w:rPr>
              <w:t>五十</w:t>
            </w:r>
            <w:r w:rsidRPr="00544B03">
              <w:rPr>
                <w:rFonts w:ascii="Times New Roman" w:eastAsia="標楷體" w:hAnsi="Times New Roman" w:cs="Times New Roman"/>
                <w:szCs w:val="24"/>
              </w:rPr>
              <w:t>條</w:t>
            </w:r>
          </w:p>
          <w:p w:rsidR="00620410" w:rsidRDefault="00620410" w:rsidP="006204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eastAsia="標楷體" w:hAnsi="Times New Roman" w:cs="Times New Roman"/>
                <w:szCs w:val="24"/>
              </w:rPr>
            </w:pPr>
            <w:r w:rsidRPr="00892673">
              <w:rPr>
                <w:rFonts w:ascii="Times New Roman" w:eastAsia="標楷體" w:hAnsi="Times New Roman" w:cs="Times New Roman" w:hint="eastAsia"/>
                <w:szCs w:val="24"/>
              </w:rPr>
              <w:t>上市公司有下列情事之一者，對其上市之有價證券應由本公司依證券交易法第一百四十七條規定停止其買賣，並報請主管機關備查；或得由該上市公司依第五十條之一第五項規定申請終止上市。</w:t>
            </w:r>
          </w:p>
          <w:p w:rsidR="00620410" w:rsidRPr="004055A7" w:rsidRDefault="00620410" w:rsidP="001731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ind w:firstLineChars="200" w:firstLine="480"/>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第</w:t>
            </w:r>
            <w:r>
              <w:rPr>
                <w:rFonts w:ascii="Times New Roman" w:eastAsia="標楷體" w:hAnsi="Times New Roman" w:cs="Times New Roman"/>
                <w:szCs w:val="24"/>
              </w:rPr>
              <w:t>一款至第十五款略</w:t>
            </w:r>
            <w:r>
              <w:rPr>
                <w:rFonts w:ascii="Times New Roman" w:eastAsia="標楷體" w:hAnsi="Times New Roman" w:cs="Times New Roman" w:hint="eastAsia"/>
                <w:szCs w:val="24"/>
              </w:rPr>
              <w:t>)</w:t>
            </w:r>
          </w:p>
          <w:p w:rsidR="0037743A" w:rsidRDefault="00620410" w:rsidP="000F4690">
            <w:pPr>
              <w:pStyle w:val="a3"/>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480"/>
              <w:rPr>
                <w:rFonts w:ascii="Times New Roman" w:eastAsia="標楷體" w:hAnsi="Times New Roman" w:cs="Times New Roman"/>
                <w:szCs w:val="24"/>
                <w:u w:val="single"/>
              </w:rPr>
            </w:pPr>
            <w:r w:rsidRPr="00620410">
              <w:rPr>
                <w:rFonts w:ascii="Times New Roman" w:eastAsia="標楷體" w:hAnsi="Times New Roman" w:cs="Times New Roman" w:hint="eastAsia"/>
                <w:szCs w:val="24"/>
                <w:u w:val="single"/>
              </w:rPr>
              <w:t>十六、</w:t>
            </w:r>
            <w:r w:rsidR="00547E1C">
              <w:rPr>
                <w:rFonts w:ascii="Times New Roman" w:eastAsia="標楷體" w:hAnsi="Times New Roman" w:cs="Times New Roman" w:hint="eastAsia"/>
                <w:szCs w:val="24"/>
                <w:u w:val="single"/>
              </w:rPr>
              <w:t>因第</w:t>
            </w:r>
            <w:r w:rsidR="00547E1C">
              <w:rPr>
                <w:rFonts w:ascii="Times New Roman" w:eastAsia="標楷體" w:hAnsi="Times New Roman" w:cs="Times New Roman"/>
                <w:szCs w:val="24"/>
                <w:u w:val="single"/>
              </w:rPr>
              <w:t>四十九條</w:t>
            </w:r>
            <w:r w:rsidR="00547E1C">
              <w:rPr>
                <w:rFonts w:ascii="Times New Roman" w:eastAsia="標楷體" w:hAnsi="Times New Roman" w:cs="Times New Roman" w:hint="eastAsia"/>
                <w:szCs w:val="24"/>
                <w:u w:val="single"/>
              </w:rPr>
              <w:t>第</w:t>
            </w:r>
            <w:r w:rsidR="00547E1C">
              <w:rPr>
                <w:rFonts w:ascii="Times New Roman" w:eastAsia="標楷體" w:hAnsi="Times New Roman" w:cs="Times New Roman"/>
                <w:szCs w:val="24"/>
                <w:u w:val="single"/>
              </w:rPr>
              <w:t>一項</w:t>
            </w:r>
            <w:r w:rsidR="00547E1C">
              <w:rPr>
                <w:rFonts w:ascii="Times New Roman" w:eastAsia="標楷體" w:hAnsi="Times New Roman" w:cs="Times New Roman" w:hint="eastAsia"/>
                <w:szCs w:val="24"/>
                <w:u w:val="single"/>
              </w:rPr>
              <w:t>第</w:t>
            </w:r>
            <w:r w:rsidR="00547E1C">
              <w:rPr>
                <w:rFonts w:ascii="Times New Roman" w:eastAsia="標楷體" w:hAnsi="Times New Roman" w:cs="Times New Roman"/>
                <w:szCs w:val="24"/>
                <w:u w:val="single"/>
              </w:rPr>
              <w:t>三款</w:t>
            </w:r>
            <w:r w:rsidR="000F4690" w:rsidRPr="000F4690">
              <w:rPr>
                <w:rFonts w:ascii="Times New Roman" w:eastAsia="標楷體" w:hAnsi="Times New Roman" w:cs="Times New Roman"/>
                <w:szCs w:val="24"/>
                <w:u w:val="single"/>
              </w:rPr>
              <w:t>簽證會計師出具繼續經營能力存在重大不確定性之查核報告或核閱報告</w:t>
            </w:r>
            <w:r w:rsidR="000F4690">
              <w:rPr>
                <w:rFonts w:ascii="Times New Roman" w:eastAsia="標楷體" w:hAnsi="Times New Roman" w:cs="Times New Roman" w:hint="eastAsia"/>
                <w:szCs w:val="24"/>
                <w:u w:val="single"/>
              </w:rPr>
              <w:t>，</w:t>
            </w:r>
            <w:r w:rsidR="00CD3649">
              <w:rPr>
                <w:rFonts w:ascii="Times New Roman" w:eastAsia="標楷體" w:hAnsi="Times New Roman" w:cs="Times New Roman" w:hint="eastAsia"/>
                <w:szCs w:val="24"/>
                <w:u w:val="single"/>
              </w:rPr>
              <w:t>經</w:t>
            </w:r>
            <w:r w:rsidR="00CD3649">
              <w:rPr>
                <w:rFonts w:ascii="Times New Roman" w:eastAsia="標楷體" w:hAnsi="Times New Roman" w:cs="Times New Roman"/>
                <w:szCs w:val="24"/>
                <w:u w:val="single"/>
              </w:rPr>
              <w:t>本公司</w:t>
            </w:r>
            <w:r w:rsidR="00547E1C">
              <w:rPr>
                <w:rFonts w:ascii="Times New Roman" w:eastAsia="標楷體" w:hAnsi="Times New Roman" w:cs="Times New Roman" w:hint="eastAsia"/>
                <w:szCs w:val="24"/>
                <w:u w:val="single"/>
              </w:rPr>
              <w:t>對</w:t>
            </w:r>
            <w:r w:rsidR="00547E1C">
              <w:rPr>
                <w:rFonts w:ascii="Times New Roman" w:eastAsia="標楷體" w:hAnsi="Times New Roman" w:cs="Times New Roman"/>
                <w:szCs w:val="24"/>
                <w:u w:val="single"/>
              </w:rPr>
              <w:t>其上市之有價證券列為變更交易方法</w:t>
            </w:r>
            <w:r w:rsidR="00CD3649">
              <w:rPr>
                <w:rFonts w:ascii="Times New Roman" w:eastAsia="標楷體" w:hAnsi="Times New Roman" w:cs="Times New Roman" w:hint="eastAsia"/>
                <w:szCs w:val="24"/>
                <w:u w:val="single"/>
              </w:rPr>
              <w:t>有</w:t>
            </w:r>
            <w:r w:rsidR="00CD3649">
              <w:rPr>
                <w:rFonts w:ascii="Times New Roman" w:eastAsia="標楷體" w:hAnsi="Times New Roman" w:cs="Times New Roman"/>
                <w:szCs w:val="24"/>
                <w:u w:val="single"/>
              </w:rPr>
              <w:t>價證券</w:t>
            </w:r>
            <w:r w:rsidR="00547E1C">
              <w:rPr>
                <w:rFonts w:ascii="Times New Roman" w:eastAsia="標楷體" w:hAnsi="Times New Roman" w:cs="Times New Roman"/>
                <w:szCs w:val="24"/>
                <w:u w:val="single"/>
              </w:rPr>
              <w:t>，</w:t>
            </w:r>
            <w:r w:rsidR="000F4690">
              <w:rPr>
                <w:rFonts w:ascii="Times New Roman" w:eastAsia="標楷體" w:hAnsi="Times New Roman" w:cs="Times New Roman"/>
                <w:szCs w:val="24"/>
                <w:u w:val="single"/>
              </w:rPr>
              <w:t>且</w:t>
            </w:r>
            <w:r w:rsidR="0037743A">
              <w:rPr>
                <w:rFonts w:ascii="Times New Roman" w:eastAsia="標楷體" w:hAnsi="Times New Roman" w:cs="Times New Roman" w:hint="eastAsia"/>
                <w:szCs w:val="24"/>
                <w:u w:val="single"/>
              </w:rPr>
              <w:t>自</w:t>
            </w:r>
            <w:r w:rsidR="0037743A">
              <w:rPr>
                <w:rFonts w:ascii="Times New Roman" w:eastAsia="標楷體" w:hAnsi="Times New Roman" w:cs="Times New Roman"/>
                <w:szCs w:val="24"/>
                <w:u w:val="single"/>
              </w:rPr>
              <w:t>變更</w:t>
            </w:r>
            <w:r w:rsidR="004C6EBB">
              <w:rPr>
                <w:rFonts w:ascii="Times New Roman" w:eastAsia="標楷體" w:hAnsi="Times New Roman" w:cs="Times New Roman" w:hint="eastAsia"/>
                <w:szCs w:val="24"/>
                <w:u w:val="single"/>
              </w:rPr>
              <w:t>交</w:t>
            </w:r>
            <w:r w:rsidR="0037743A">
              <w:rPr>
                <w:rFonts w:ascii="Times New Roman" w:eastAsia="標楷體" w:hAnsi="Times New Roman" w:cs="Times New Roman"/>
                <w:szCs w:val="24"/>
                <w:u w:val="single"/>
              </w:rPr>
              <w:t>易方法後之次一營業日起，</w:t>
            </w:r>
            <w:r w:rsidR="000F4690">
              <w:rPr>
                <w:rFonts w:ascii="Times New Roman" w:eastAsia="標楷體" w:hAnsi="Times New Roman" w:cs="Times New Roman"/>
                <w:szCs w:val="24"/>
                <w:u w:val="single"/>
              </w:rPr>
              <w:t>三年內</w:t>
            </w:r>
            <w:r w:rsidR="0037743A">
              <w:rPr>
                <w:rFonts w:ascii="Times New Roman" w:eastAsia="標楷體" w:hAnsi="Times New Roman" w:cs="Times New Roman" w:hint="eastAsia"/>
                <w:szCs w:val="24"/>
                <w:u w:val="single"/>
              </w:rPr>
              <w:t>無</w:t>
            </w:r>
            <w:r w:rsidR="0037743A">
              <w:rPr>
                <w:rFonts w:ascii="Times New Roman" w:eastAsia="標楷體" w:hAnsi="Times New Roman" w:cs="Times New Roman"/>
                <w:szCs w:val="24"/>
                <w:u w:val="single"/>
              </w:rPr>
              <w:t>法</w:t>
            </w:r>
            <w:r w:rsidR="0037743A">
              <w:rPr>
                <w:rFonts w:ascii="Times New Roman" w:eastAsia="標楷體" w:hAnsi="Times New Roman" w:cs="Times New Roman" w:hint="eastAsia"/>
                <w:szCs w:val="24"/>
                <w:u w:val="single"/>
              </w:rPr>
              <w:t>達</w:t>
            </w:r>
            <w:r w:rsidR="0037743A">
              <w:rPr>
                <w:rFonts w:ascii="Times New Roman" w:eastAsia="標楷體" w:hAnsi="Times New Roman" w:cs="Times New Roman"/>
                <w:szCs w:val="24"/>
                <w:u w:val="single"/>
              </w:rPr>
              <w:t>成</w:t>
            </w:r>
            <w:r w:rsidR="00D10407">
              <w:rPr>
                <w:rFonts w:ascii="Times New Roman" w:eastAsia="標楷體" w:hAnsi="Times New Roman" w:cs="Times New Roman" w:hint="eastAsia"/>
                <w:szCs w:val="24"/>
                <w:u w:val="single"/>
              </w:rPr>
              <w:t>同</w:t>
            </w:r>
            <w:r w:rsidR="0037743A">
              <w:rPr>
                <w:rFonts w:ascii="Times New Roman" w:eastAsia="標楷體" w:hAnsi="Times New Roman" w:cs="Times New Roman"/>
                <w:szCs w:val="24"/>
                <w:u w:val="single"/>
              </w:rPr>
              <w:t>條第二項第三款之情事者。</w:t>
            </w:r>
          </w:p>
          <w:p w:rsidR="00620410" w:rsidRPr="00620410" w:rsidRDefault="0037743A" w:rsidP="000F4690">
            <w:pPr>
              <w:pStyle w:val="a3"/>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480"/>
              <w:rPr>
                <w:rFonts w:ascii="Times New Roman" w:eastAsia="標楷體" w:hAnsi="Times New Roman" w:cs="Times New Roman"/>
                <w:szCs w:val="24"/>
                <w:u w:val="single"/>
              </w:rPr>
            </w:pPr>
            <w:r>
              <w:rPr>
                <w:rFonts w:ascii="Times New Roman" w:eastAsia="標楷體" w:hAnsi="Times New Roman" w:cs="Times New Roman" w:hint="eastAsia"/>
                <w:szCs w:val="24"/>
                <w:u w:val="single"/>
              </w:rPr>
              <w:t>十</w:t>
            </w:r>
            <w:r>
              <w:rPr>
                <w:rFonts w:ascii="Times New Roman" w:eastAsia="標楷體" w:hAnsi="Times New Roman" w:cs="Times New Roman"/>
                <w:szCs w:val="24"/>
                <w:u w:val="single"/>
              </w:rPr>
              <w:t>七、</w:t>
            </w:r>
            <w:r w:rsidR="00620410">
              <w:rPr>
                <w:rFonts w:ascii="Times New Roman" w:eastAsia="標楷體" w:hAnsi="Times New Roman" w:cs="Times New Roman" w:hint="eastAsia"/>
                <w:szCs w:val="24"/>
                <w:u w:val="single"/>
              </w:rPr>
              <w:t>因</w:t>
            </w:r>
            <w:r w:rsidR="00620410" w:rsidRPr="00620410">
              <w:rPr>
                <w:rFonts w:ascii="Times New Roman" w:eastAsia="標楷體" w:hAnsi="Times New Roman" w:cs="Times New Roman"/>
                <w:szCs w:val="24"/>
                <w:u w:val="single"/>
              </w:rPr>
              <w:t>第四十九條</w:t>
            </w:r>
            <w:r w:rsidR="00620410">
              <w:rPr>
                <w:rFonts w:ascii="Times New Roman" w:eastAsia="標楷體" w:hAnsi="Times New Roman" w:cs="Times New Roman" w:hint="eastAsia"/>
                <w:szCs w:val="24"/>
                <w:u w:val="single"/>
              </w:rPr>
              <w:t>之</w:t>
            </w:r>
            <w:r w:rsidR="00620410">
              <w:rPr>
                <w:rFonts w:ascii="Times New Roman" w:eastAsia="標楷體" w:hAnsi="Times New Roman" w:cs="Times New Roman"/>
                <w:szCs w:val="24"/>
                <w:u w:val="single"/>
              </w:rPr>
              <w:t>二第一項第</w:t>
            </w:r>
            <w:r w:rsidR="00620410">
              <w:rPr>
                <w:rFonts w:ascii="Times New Roman" w:eastAsia="標楷體" w:hAnsi="Times New Roman" w:cs="Times New Roman" w:hint="eastAsia"/>
                <w:szCs w:val="24"/>
                <w:u w:val="single"/>
              </w:rPr>
              <w:t>四</w:t>
            </w:r>
            <w:r w:rsidR="00620410" w:rsidRPr="00620410">
              <w:rPr>
                <w:rFonts w:ascii="Times New Roman" w:eastAsia="標楷體" w:hAnsi="Times New Roman" w:cs="Times New Roman"/>
                <w:szCs w:val="24"/>
                <w:u w:val="single"/>
              </w:rPr>
              <w:t>款規定</w:t>
            </w:r>
            <w:r w:rsidR="00620410">
              <w:rPr>
                <w:rFonts w:ascii="Times New Roman" w:eastAsia="標楷體" w:hAnsi="Times New Roman" w:cs="Times New Roman" w:hint="eastAsia"/>
                <w:szCs w:val="24"/>
                <w:u w:val="single"/>
              </w:rPr>
              <w:t>對</w:t>
            </w:r>
            <w:r w:rsidR="00620410">
              <w:rPr>
                <w:rFonts w:ascii="Times New Roman" w:eastAsia="標楷體" w:hAnsi="Times New Roman" w:cs="Times New Roman"/>
                <w:szCs w:val="24"/>
                <w:u w:val="single"/>
              </w:rPr>
              <w:t>其上市之有價證券採行分盤集合競價交易方式</w:t>
            </w:r>
            <w:r w:rsidR="00620410" w:rsidRPr="00620410">
              <w:rPr>
                <w:rFonts w:ascii="Times New Roman" w:eastAsia="標楷體" w:hAnsi="Times New Roman" w:cs="Times New Roman"/>
                <w:szCs w:val="24"/>
                <w:u w:val="single"/>
              </w:rPr>
              <w:t>，</w:t>
            </w:r>
            <w:r w:rsidR="00DB6B0C">
              <w:rPr>
                <w:rFonts w:ascii="Times New Roman" w:eastAsia="標楷體" w:hAnsi="Times New Roman" w:cs="Times New Roman"/>
                <w:szCs w:val="24"/>
                <w:u w:val="single"/>
              </w:rPr>
              <w:t>且</w:t>
            </w:r>
            <w:r w:rsidR="00DB6B0C">
              <w:rPr>
                <w:rFonts w:ascii="Times New Roman" w:eastAsia="標楷體" w:hAnsi="Times New Roman" w:cs="Times New Roman" w:hint="eastAsia"/>
                <w:szCs w:val="24"/>
                <w:u w:val="single"/>
              </w:rPr>
              <w:t>自列為</w:t>
            </w:r>
            <w:r w:rsidR="00DB6B0C">
              <w:rPr>
                <w:rFonts w:ascii="Times New Roman" w:eastAsia="標楷體" w:hAnsi="Times New Roman" w:cs="Times New Roman"/>
                <w:szCs w:val="24"/>
                <w:u w:val="single"/>
              </w:rPr>
              <w:t>分盤集合競價交易方式後之次一營業日起，三年內</w:t>
            </w:r>
            <w:r w:rsidR="00DB6B0C">
              <w:rPr>
                <w:rFonts w:ascii="Times New Roman" w:eastAsia="標楷體" w:hAnsi="Times New Roman" w:cs="Times New Roman" w:hint="eastAsia"/>
                <w:szCs w:val="24"/>
                <w:u w:val="single"/>
              </w:rPr>
              <w:t>無</w:t>
            </w:r>
            <w:r w:rsidR="00DB6B0C">
              <w:rPr>
                <w:rFonts w:ascii="Times New Roman" w:eastAsia="標楷體" w:hAnsi="Times New Roman" w:cs="Times New Roman"/>
                <w:szCs w:val="24"/>
                <w:u w:val="single"/>
              </w:rPr>
              <w:t>法</w:t>
            </w:r>
            <w:r w:rsidR="00DB6B0C">
              <w:rPr>
                <w:rFonts w:ascii="Times New Roman" w:eastAsia="標楷體" w:hAnsi="Times New Roman" w:cs="Times New Roman" w:hint="eastAsia"/>
                <w:szCs w:val="24"/>
                <w:u w:val="single"/>
              </w:rPr>
              <w:t>達</w:t>
            </w:r>
            <w:r w:rsidR="00DB6B0C">
              <w:rPr>
                <w:rFonts w:ascii="Times New Roman" w:eastAsia="標楷體" w:hAnsi="Times New Roman" w:cs="Times New Roman"/>
                <w:szCs w:val="24"/>
                <w:u w:val="single"/>
              </w:rPr>
              <w:t>成</w:t>
            </w:r>
            <w:r w:rsidR="00DB6B0C">
              <w:rPr>
                <w:rFonts w:ascii="Times New Roman" w:eastAsia="標楷體" w:hAnsi="Times New Roman" w:cs="Times New Roman" w:hint="eastAsia"/>
                <w:szCs w:val="24"/>
                <w:u w:val="single"/>
              </w:rPr>
              <w:t>同</w:t>
            </w:r>
            <w:r w:rsidR="00DB6B0C">
              <w:rPr>
                <w:rFonts w:ascii="Times New Roman" w:eastAsia="標楷體" w:hAnsi="Times New Roman" w:cs="Times New Roman"/>
                <w:szCs w:val="24"/>
                <w:u w:val="single"/>
              </w:rPr>
              <w:t>條第二項第</w:t>
            </w:r>
            <w:r w:rsidR="00DB6B0C">
              <w:rPr>
                <w:rFonts w:ascii="Times New Roman" w:eastAsia="標楷體" w:hAnsi="Times New Roman" w:cs="Times New Roman" w:hint="eastAsia"/>
                <w:szCs w:val="24"/>
                <w:u w:val="single"/>
              </w:rPr>
              <w:t>四</w:t>
            </w:r>
            <w:r w:rsidR="00DB6B0C">
              <w:rPr>
                <w:rFonts w:ascii="Times New Roman" w:eastAsia="標楷體" w:hAnsi="Times New Roman" w:cs="Times New Roman"/>
                <w:szCs w:val="24"/>
                <w:u w:val="single"/>
              </w:rPr>
              <w:t>款之情事者。</w:t>
            </w:r>
          </w:p>
          <w:p w:rsidR="00620410" w:rsidRPr="004055A7" w:rsidRDefault="00620410" w:rsidP="00620410">
            <w:pPr>
              <w:pStyle w:val="a3"/>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480"/>
              <w:rPr>
                <w:rFonts w:ascii="Times New Roman" w:eastAsia="標楷體" w:hAnsi="Times New Roman" w:cs="Times New Roman"/>
                <w:szCs w:val="24"/>
                <w:u w:val="single"/>
              </w:rPr>
            </w:pPr>
            <w:r>
              <w:rPr>
                <w:rFonts w:ascii="Times New Roman" w:eastAsia="標楷體" w:hAnsi="Times New Roman" w:cs="Times New Roman" w:hint="eastAsia"/>
                <w:szCs w:val="24"/>
                <w:u w:val="single"/>
              </w:rPr>
              <w:t>十</w:t>
            </w:r>
            <w:r w:rsidR="00DB6B0C">
              <w:rPr>
                <w:rFonts w:ascii="Times New Roman" w:eastAsia="標楷體" w:hAnsi="Times New Roman" w:cs="Times New Roman" w:hint="eastAsia"/>
                <w:szCs w:val="24"/>
                <w:u w:val="single"/>
              </w:rPr>
              <w:t>八</w:t>
            </w:r>
            <w:r>
              <w:rPr>
                <w:rFonts w:ascii="Times New Roman" w:eastAsia="標楷體" w:hAnsi="Times New Roman" w:cs="Times New Roman"/>
                <w:szCs w:val="24"/>
                <w:u w:val="single"/>
              </w:rPr>
              <w:t>、</w:t>
            </w:r>
            <w:r w:rsidRPr="00DD6686">
              <w:rPr>
                <w:rFonts w:ascii="Times New Roman" w:eastAsia="標楷體" w:hAnsi="Times New Roman" w:cs="Times New Roman" w:hint="eastAsia"/>
                <w:szCs w:val="24"/>
              </w:rPr>
              <w:t>其他有停止有價證券買賣必要之情事者。</w:t>
            </w:r>
          </w:p>
          <w:p w:rsidR="00620410" w:rsidRPr="00892673" w:rsidRDefault="00620410" w:rsidP="006204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eastAsia="標楷體" w:hAnsi="Times New Roman" w:cs="Times New Roman"/>
                <w:szCs w:val="24"/>
              </w:rPr>
            </w:pPr>
            <w:r w:rsidRPr="00892673">
              <w:rPr>
                <w:rFonts w:ascii="Times New Roman" w:eastAsia="標楷體" w:hAnsi="Times New Roman" w:cs="Times New Roman" w:hint="eastAsia"/>
                <w:szCs w:val="24"/>
              </w:rPr>
              <w:t>上市公司因有前項各款規定情事之一，致其上市有價</w:t>
            </w:r>
            <w:r w:rsidRPr="00892673">
              <w:rPr>
                <w:rFonts w:ascii="Times New Roman" w:eastAsia="標楷體" w:hAnsi="Times New Roman" w:cs="Times New Roman" w:hint="eastAsia"/>
                <w:szCs w:val="24"/>
              </w:rPr>
              <w:lastRenderedPageBreak/>
              <w:t>證券經停止買賣者，符合下列各該款之規定，且無前項其他各款規定情事，本公司得依證券交易法第一百四十七條規定，公告恢復其有價證券之買賣，並報請主管機關備查：</w:t>
            </w:r>
          </w:p>
          <w:p w:rsidR="00620410" w:rsidRPr="00892673" w:rsidRDefault="00620410" w:rsidP="001731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ind w:firstLineChars="200" w:firstLine="480"/>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第</w:t>
            </w:r>
            <w:r>
              <w:rPr>
                <w:rFonts w:ascii="Times New Roman" w:eastAsia="標楷體" w:hAnsi="Times New Roman" w:cs="Times New Roman"/>
                <w:szCs w:val="24"/>
              </w:rPr>
              <w:t>一款至第十</w:t>
            </w:r>
            <w:r>
              <w:rPr>
                <w:rFonts w:ascii="Times New Roman" w:eastAsia="標楷體" w:hAnsi="Times New Roman" w:cs="Times New Roman" w:hint="eastAsia"/>
                <w:szCs w:val="24"/>
              </w:rPr>
              <w:t>四</w:t>
            </w:r>
            <w:r>
              <w:rPr>
                <w:rFonts w:ascii="Times New Roman" w:eastAsia="標楷體" w:hAnsi="Times New Roman" w:cs="Times New Roman"/>
                <w:szCs w:val="24"/>
              </w:rPr>
              <w:t>款略</w:t>
            </w:r>
            <w:r>
              <w:rPr>
                <w:rFonts w:ascii="Times New Roman" w:eastAsia="標楷體" w:hAnsi="Times New Roman" w:cs="Times New Roman" w:hint="eastAsia"/>
                <w:szCs w:val="24"/>
              </w:rPr>
              <w:t>)</w:t>
            </w:r>
          </w:p>
          <w:p w:rsidR="00DB6B0C" w:rsidRDefault="00620410" w:rsidP="00620410">
            <w:pPr>
              <w:pStyle w:val="a3"/>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480"/>
              <w:rPr>
                <w:rFonts w:ascii="Times New Roman" w:eastAsia="標楷體" w:hAnsi="Times New Roman" w:cs="Times New Roman"/>
                <w:szCs w:val="24"/>
                <w:u w:val="single"/>
              </w:rPr>
            </w:pPr>
            <w:r w:rsidRPr="00DD6686">
              <w:rPr>
                <w:rFonts w:ascii="Times New Roman" w:eastAsia="標楷體" w:hAnsi="Times New Roman" w:cs="Times New Roman" w:hint="eastAsia"/>
                <w:szCs w:val="24"/>
                <w:u w:val="single"/>
              </w:rPr>
              <w:t>十五、</w:t>
            </w:r>
            <w:r w:rsidR="00DB6B0C">
              <w:rPr>
                <w:rFonts w:ascii="Times New Roman" w:eastAsia="標楷體" w:hAnsi="Times New Roman" w:cs="Times New Roman" w:hint="eastAsia"/>
                <w:szCs w:val="24"/>
                <w:u w:val="single"/>
              </w:rPr>
              <w:t>因</w:t>
            </w:r>
            <w:r w:rsidR="00DB6B0C">
              <w:rPr>
                <w:rFonts w:ascii="Times New Roman" w:eastAsia="標楷體" w:hAnsi="Times New Roman" w:cs="Times New Roman"/>
                <w:szCs w:val="24"/>
                <w:u w:val="single"/>
              </w:rPr>
              <w:t>前項第十六</w:t>
            </w:r>
            <w:r w:rsidR="00DB6B0C">
              <w:rPr>
                <w:rFonts w:ascii="Times New Roman" w:eastAsia="標楷體" w:hAnsi="Times New Roman" w:cs="Times New Roman" w:hint="eastAsia"/>
                <w:szCs w:val="24"/>
                <w:u w:val="single"/>
              </w:rPr>
              <w:t>款</w:t>
            </w:r>
            <w:r w:rsidR="00547E1C">
              <w:rPr>
                <w:rFonts w:ascii="Times New Roman" w:eastAsia="標楷體" w:hAnsi="Times New Roman" w:cs="Times New Roman" w:hint="eastAsia"/>
                <w:szCs w:val="24"/>
                <w:u w:val="single"/>
              </w:rPr>
              <w:t>或</w:t>
            </w:r>
            <w:r w:rsidR="00DB6B0C">
              <w:rPr>
                <w:rFonts w:ascii="Times New Roman" w:eastAsia="標楷體" w:hAnsi="Times New Roman" w:cs="Times New Roman" w:hint="eastAsia"/>
                <w:szCs w:val="24"/>
                <w:u w:val="single"/>
              </w:rPr>
              <w:t>第</w:t>
            </w:r>
            <w:r w:rsidR="00DB6B0C">
              <w:rPr>
                <w:rFonts w:ascii="Times New Roman" w:eastAsia="標楷體" w:hAnsi="Times New Roman" w:cs="Times New Roman"/>
                <w:szCs w:val="24"/>
                <w:u w:val="single"/>
              </w:rPr>
              <w:t>十七款停</w:t>
            </w:r>
            <w:r w:rsidR="00DB6B0C">
              <w:rPr>
                <w:rFonts w:ascii="Times New Roman" w:eastAsia="標楷體" w:hAnsi="Times New Roman" w:cs="Times New Roman" w:hint="eastAsia"/>
                <w:szCs w:val="24"/>
                <w:u w:val="single"/>
              </w:rPr>
              <w:t>止</w:t>
            </w:r>
            <w:r w:rsidR="00DB6B0C">
              <w:rPr>
                <w:rFonts w:ascii="Times New Roman" w:eastAsia="標楷體" w:hAnsi="Times New Roman" w:cs="Times New Roman"/>
                <w:szCs w:val="24"/>
                <w:u w:val="single"/>
              </w:rPr>
              <w:t>買賣後，</w:t>
            </w:r>
            <w:r w:rsidR="00DB6B0C">
              <w:rPr>
                <w:rFonts w:ascii="Times New Roman" w:eastAsia="標楷體" w:hAnsi="Times New Roman" w:cs="Times New Roman" w:hint="eastAsia"/>
                <w:szCs w:val="24"/>
                <w:u w:val="single"/>
              </w:rPr>
              <w:t>經</w:t>
            </w:r>
            <w:r w:rsidR="00DB6B0C">
              <w:rPr>
                <w:rFonts w:ascii="Times New Roman" w:eastAsia="標楷體" w:hAnsi="Times New Roman" w:cs="Times New Roman"/>
                <w:szCs w:val="24"/>
                <w:u w:val="single"/>
              </w:rPr>
              <w:t>依規定予以補正或改善者。</w:t>
            </w:r>
          </w:p>
          <w:p w:rsidR="00892673" w:rsidRPr="00620410" w:rsidRDefault="00DB6B0C" w:rsidP="00DB6B0C">
            <w:pPr>
              <w:pStyle w:val="a3"/>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480"/>
              <w:rPr>
                <w:rFonts w:ascii="Times New Roman" w:eastAsia="標楷體" w:hAnsi="Times New Roman" w:cs="Times New Roman"/>
                <w:szCs w:val="24"/>
              </w:rPr>
            </w:pPr>
            <w:r>
              <w:rPr>
                <w:rFonts w:ascii="Times New Roman" w:eastAsia="標楷體" w:hAnsi="Times New Roman" w:cs="Times New Roman" w:hint="eastAsia"/>
                <w:szCs w:val="24"/>
                <w:u w:val="single"/>
              </w:rPr>
              <w:t>十</w:t>
            </w:r>
            <w:r>
              <w:rPr>
                <w:rFonts w:ascii="Times New Roman" w:eastAsia="標楷體" w:hAnsi="Times New Roman" w:cs="Times New Roman"/>
                <w:szCs w:val="24"/>
                <w:u w:val="single"/>
              </w:rPr>
              <w:t>六、</w:t>
            </w:r>
            <w:r w:rsidR="00620410" w:rsidRPr="00892673">
              <w:rPr>
                <w:rFonts w:ascii="Times New Roman" w:eastAsia="標楷體" w:hAnsi="Times New Roman" w:cs="Times New Roman" w:hint="eastAsia"/>
                <w:szCs w:val="24"/>
              </w:rPr>
              <w:t>因前項第十</w:t>
            </w:r>
            <w:r w:rsidRPr="00DB6B0C">
              <w:rPr>
                <w:rFonts w:ascii="Times New Roman" w:eastAsia="標楷體" w:hAnsi="Times New Roman" w:cs="Times New Roman" w:hint="eastAsia"/>
                <w:szCs w:val="24"/>
                <w:u w:val="single"/>
              </w:rPr>
              <w:t>八</w:t>
            </w:r>
            <w:r w:rsidR="00620410" w:rsidRPr="00892673">
              <w:rPr>
                <w:rFonts w:ascii="Times New Roman" w:eastAsia="標楷體" w:hAnsi="Times New Roman" w:cs="Times New Roman" w:hint="eastAsia"/>
                <w:szCs w:val="24"/>
              </w:rPr>
              <w:t>款規定停止買賣後，經依相關章則規定予以補正或改善者。</w:t>
            </w:r>
          </w:p>
        </w:tc>
        <w:tc>
          <w:tcPr>
            <w:tcW w:w="3119" w:type="dxa"/>
            <w:tcBorders>
              <w:top w:val="single" w:sz="4" w:space="0" w:color="auto"/>
              <w:bottom w:val="single" w:sz="4" w:space="0" w:color="auto"/>
            </w:tcBorders>
          </w:tcPr>
          <w:p w:rsidR="00892673" w:rsidRPr="00544B03" w:rsidRDefault="00892673" w:rsidP="00892673">
            <w:pPr>
              <w:rPr>
                <w:rFonts w:ascii="Times New Roman" w:eastAsia="標楷體" w:hAnsi="Times New Roman" w:cs="Times New Roman"/>
                <w:szCs w:val="24"/>
              </w:rPr>
            </w:pPr>
            <w:r w:rsidRPr="00544B03">
              <w:rPr>
                <w:rFonts w:ascii="Times New Roman" w:eastAsia="標楷體" w:hAnsi="Times New Roman" w:cs="Times New Roman" w:hint="eastAsia"/>
                <w:szCs w:val="24"/>
              </w:rPr>
              <w:lastRenderedPageBreak/>
              <w:t>第</w:t>
            </w:r>
            <w:r>
              <w:rPr>
                <w:rFonts w:ascii="Times New Roman" w:eastAsia="標楷體" w:hAnsi="Times New Roman" w:cs="Times New Roman" w:hint="eastAsia"/>
                <w:szCs w:val="24"/>
              </w:rPr>
              <w:t>五十</w:t>
            </w:r>
            <w:r w:rsidRPr="00544B03">
              <w:rPr>
                <w:rFonts w:ascii="Times New Roman" w:eastAsia="標楷體" w:hAnsi="Times New Roman" w:cs="Times New Roman"/>
                <w:szCs w:val="24"/>
              </w:rPr>
              <w:t>條</w:t>
            </w:r>
          </w:p>
          <w:p w:rsidR="00892673" w:rsidRDefault="00892673" w:rsidP="008926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eastAsia="標楷體" w:hAnsi="Times New Roman" w:cs="Times New Roman"/>
                <w:szCs w:val="24"/>
              </w:rPr>
            </w:pPr>
            <w:r w:rsidRPr="00892673">
              <w:rPr>
                <w:rFonts w:ascii="Times New Roman" w:eastAsia="標楷體" w:hAnsi="Times New Roman" w:cs="Times New Roman" w:hint="eastAsia"/>
                <w:szCs w:val="24"/>
              </w:rPr>
              <w:t>上市公司有下列情事之一者，對其上市之有價證券應由本公司依證券交易法第一百四十七條規定停止其買賣，並報請主管機關備查；或得由該上市公司依第五十條之一第五項規定申請終止上市。</w:t>
            </w:r>
          </w:p>
          <w:p w:rsidR="00892673" w:rsidRPr="004055A7" w:rsidRDefault="004055A7" w:rsidP="001731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ind w:firstLineChars="200" w:firstLine="480"/>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第</w:t>
            </w:r>
            <w:r>
              <w:rPr>
                <w:rFonts w:ascii="Times New Roman" w:eastAsia="標楷體" w:hAnsi="Times New Roman" w:cs="Times New Roman"/>
                <w:szCs w:val="24"/>
              </w:rPr>
              <w:t>一款至第十五款略</w:t>
            </w:r>
            <w:r>
              <w:rPr>
                <w:rFonts w:ascii="Times New Roman" w:eastAsia="標楷體" w:hAnsi="Times New Roman" w:cs="Times New Roman" w:hint="eastAsia"/>
                <w:szCs w:val="24"/>
              </w:rPr>
              <w:t>)</w:t>
            </w:r>
          </w:p>
          <w:p w:rsidR="00892673" w:rsidRPr="004055A7" w:rsidRDefault="00892673" w:rsidP="00892673">
            <w:pPr>
              <w:pStyle w:val="a3"/>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480"/>
              <w:rPr>
                <w:rFonts w:ascii="Times New Roman" w:eastAsia="標楷體" w:hAnsi="Times New Roman" w:cs="Times New Roman"/>
                <w:szCs w:val="24"/>
                <w:u w:val="single"/>
              </w:rPr>
            </w:pPr>
            <w:r w:rsidRPr="004055A7">
              <w:rPr>
                <w:rFonts w:ascii="Times New Roman" w:eastAsia="標楷體" w:hAnsi="Times New Roman" w:cs="Times New Roman" w:hint="eastAsia"/>
                <w:szCs w:val="24"/>
                <w:u w:val="single"/>
              </w:rPr>
              <w:t>十六、</w:t>
            </w:r>
            <w:r w:rsidRPr="00DD6686">
              <w:rPr>
                <w:rFonts w:ascii="Times New Roman" w:eastAsia="標楷體" w:hAnsi="Times New Roman" w:cs="Times New Roman" w:hint="eastAsia"/>
                <w:szCs w:val="24"/>
              </w:rPr>
              <w:t>其他有停止有價證券買賣必要之情事者。</w:t>
            </w:r>
          </w:p>
          <w:p w:rsidR="00D10407" w:rsidRDefault="00D10407" w:rsidP="008926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eastAsia="標楷體" w:hAnsi="Times New Roman" w:cs="Times New Roman"/>
                <w:szCs w:val="24"/>
              </w:rPr>
            </w:pPr>
          </w:p>
          <w:p w:rsidR="00D10407" w:rsidRDefault="00D10407" w:rsidP="008926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eastAsia="標楷體" w:hAnsi="Times New Roman" w:cs="Times New Roman"/>
                <w:szCs w:val="24"/>
              </w:rPr>
            </w:pPr>
          </w:p>
          <w:p w:rsidR="00D10407" w:rsidRDefault="00D10407" w:rsidP="008926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eastAsia="標楷體" w:hAnsi="Times New Roman" w:cs="Times New Roman"/>
                <w:szCs w:val="24"/>
              </w:rPr>
            </w:pPr>
          </w:p>
          <w:p w:rsidR="00D10407" w:rsidRDefault="00D10407" w:rsidP="008926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eastAsia="標楷體" w:hAnsi="Times New Roman" w:cs="Times New Roman"/>
                <w:szCs w:val="24"/>
              </w:rPr>
            </w:pPr>
          </w:p>
          <w:p w:rsidR="00D10407" w:rsidRDefault="00D10407" w:rsidP="008926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eastAsia="標楷體" w:hAnsi="Times New Roman" w:cs="Times New Roman"/>
                <w:szCs w:val="24"/>
              </w:rPr>
            </w:pPr>
          </w:p>
          <w:p w:rsidR="00D10407" w:rsidRDefault="00D10407" w:rsidP="008926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eastAsia="標楷體" w:hAnsi="Times New Roman" w:cs="Times New Roman"/>
                <w:szCs w:val="24"/>
              </w:rPr>
            </w:pPr>
          </w:p>
          <w:p w:rsidR="00D10407" w:rsidRDefault="00D10407" w:rsidP="008926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eastAsia="標楷體" w:hAnsi="Times New Roman" w:cs="Times New Roman"/>
                <w:szCs w:val="24"/>
              </w:rPr>
            </w:pPr>
          </w:p>
          <w:p w:rsidR="00D10407" w:rsidRDefault="00D10407" w:rsidP="008926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eastAsia="標楷體" w:hAnsi="Times New Roman" w:cs="Times New Roman"/>
                <w:szCs w:val="24"/>
              </w:rPr>
            </w:pPr>
          </w:p>
          <w:p w:rsidR="00D10407" w:rsidRDefault="00D10407" w:rsidP="008926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eastAsia="標楷體" w:hAnsi="Times New Roman" w:cs="Times New Roman"/>
                <w:szCs w:val="24"/>
              </w:rPr>
            </w:pPr>
          </w:p>
          <w:p w:rsidR="00D10407" w:rsidRDefault="00D10407" w:rsidP="008926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eastAsia="標楷體" w:hAnsi="Times New Roman" w:cs="Times New Roman"/>
                <w:szCs w:val="24"/>
              </w:rPr>
            </w:pPr>
          </w:p>
          <w:p w:rsidR="00D10407" w:rsidRDefault="00D10407" w:rsidP="008926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eastAsia="標楷體" w:hAnsi="Times New Roman" w:cs="Times New Roman"/>
                <w:szCs w:val="24"/>
              </w:rPr>
            </w:pPr>
          </w:p>
          <w:p w:rsidR="00D10407" w:rsidRDefault="00D10407" w:rsidP="008926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eastAsia="標楷體" w:hAnsi="Times New Roman" w:cs="Times New Roman"/>
                <w:szCs w:val="24"/>
              </w:rPr>
            </w:pPr>
          </w:p>
          <w:p w:rsidR="00D10407" w:rsidRDefault="00D10407" w:rsidP="008926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eastAsia="標楷體" w:hAnsi="Times New Roman" w:cs="Times New Roman"/>
                <w:szCs w:val="24"/>
              </w:rPr>
            </w:pPr>
          </w:p>
          <w:p w:rsidR="00D10407" w:rsidRDefault="00D10407" w:rsidP="008926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eastAsia="標楷體" w:hAnsi="Times New Roman" w:cs="Times New Roman"/>
                <w:szCs w:val="24"/>
              </w:rPr>
            </w:pPr>
          </w:p>
          <w:p w:rsidR="00D10407" w:rsidRDefault="00D10407" w:rsidP="008926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eastAsia="標楷體" w:hAnsi="Times New Roman" w:cs="Times New Roman"/>
                <w:szCs w:val="24"/>
              </w:rPr>
            </w:pPr>
          </w:p>
          <w:p w:rsidR="00D10407" w:rsidRDefault="00D10407" w:rsidP="008926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eastAsia="標楷體" w:hAnsi="Times New Roman" w:cs="Times New Roman"/>
                <w:szCs w:val="24"/>
              </w:rPr>
            </w:pPr>
          </w:p>
          <w:p w:rsidR="00D10407" w:rsidRDefault="00D10407" w:rsidP="008926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eastAsia="標楷體" w:hAnsi="Times New Roman" w:cs="Times New Roman"/>
                <w:szCs w:val="24"/>
              </w:rPr>
            </w:pPr>
          </w:p>
          <w:p w:rsidR="00D10407" w:rsidRDefault="00D10407" w:rsidP="008926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eastAsia="標楷體" w:hAnsi="Times New Roman" w:cs="Times New Roman"/>
                <w:szCs w:val="24"/>
              </w:rPr>
            </w:pPr>
          </w:p>
          <w:p w:rsidR="00D10407" w:rsidRDefault="00D10407" w:rsidP="008926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eastAsia="標楷體" w:hAnsi="Times New Roman" w:cs="Times New Roman"/>
                <w:szCs w:val="24"/>
              </w:rPr>
            </w:pPr>
          </w:p>
          <w:p w:rsidR="00D10407" w:rsidRDefault="00D10407" w:rsidP="008926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eastAsia="標楷體" w:hAnsi="Times New Roman" w:cs="Times New Roman"/>
                <w:szCs w:val="24"/>
              </w:rPr>
            </w:pPr>
          </w:p>
          <w:p w:rsidR="00892673" w:rsidRPr="00892673" w:rsidRDefault="00892673" w:rsidP="008926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eastAsia="標楷體" w:hAnsi="Times New Roman" w:cs="Times New Roman"/>
                <w:szCs w:val="24"/>
              </w:rPr>
            </w:pPr>
            <w:r w:rsidRPr="00892673">
              <w:rPr>
                <w:rFonts w:ascii="Times New Roman" w:eastAsia="標楷體" w:hAnsi="Times New Roman" w:cs="Times New Roman" w:hint="eastAsia"/>
                <w:szCs w:val="24"/>
              </w:rPr>
              <w:t>上市公司因有前項各款規定情事之一，致其上市有</w:t>
            </w:r>
            <w:r w:rsidRPr="00892673">
              <w:rPr>
                <w:rFonts w:ascii="Times New Roman" w:eastAsia="標楷體" w:hAnsi="Times New Roman" w:cs="Times New Roman" w:hint="eastAsia"/>
                <w:szCs w:val="24"/>
              </w:rPr>
              <w:lastRenderedPageBreak/>
              <w:t>價證券經停止買賣者，符合下列各該款之規定，且無前項其他各款規定情事，本公司得依證券交易法第一百四十七條規定，公告恢復其有價證券之買賣，並報請主管機關備查：</w:t>
            </w:r>
          </w:p>
          <w:p w:rsidR="00892673" w:rsidRPr="00892673" w:rsidRDefault="00DD6686" w:rsidP="001731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ind w:firstLineChars="200" w:firstLine="480"/>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第</w:t>
            </w:r>
            <w:r>
              <w:rPr>
                <w:rFonts w:ascii="Times New Roman" w:eastAsia="標楷體" w:hAnsi="Times New Roman" w:cs="Times New Roman"/>
                <w:szCs w:val="24"/>
              </w:rPr>
              <w:t>一款至第十</w:t>
            </w:r>
            <w:r>
              <w:rPr>
                <w:rFonts w:ascii="Times New Roman" w:eastAsia="標楷體" w:hAnsi="Times New Roman" w:cs="Times New Roman" w:hint="eastAsia"/>
                <w:szCs w:val="24"/>
              </w:rPr>
              <w:t>四</w:t>
            </w:r>
            <w:r>
              <w:rPr>
                <w:rFonts w:ascii="Times New Roman" w:eastAsia="標楷體" w:hAnsi="Times New Roman" w:cs="Times New Roman"/>
                <w:szCs w:val="24"/>
              </w:rPr>
              <w:t>款略</w:t>
            </w:r>
            <w:r>
              <w:rPr>
                <w:rFonts w:ascii="Times New Roman" w:eastAsia="標楷體" w:hAnsi="Times New Roman" w:cs="Times New Roman" w:hint="eastAsia"/>
                <w:szCs w:val="24"/>
              </w:rPr>
              <w:t>)</w:t>
            </w:r>
          </w:p>
          <w:p w:rsidR="00892673" w:rsidRPr="00544B03" w:rsidRDefault="00892673" w:rsidP="00620410">
            <w:pPr>
              <w:pStyle w:val="a3"/>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480"/>
              <w:rPr>
                <w:rFonts w:ascii="Times New Roman" w:eastAsia="標楷體" w:hAnsi="Times New Roman" w:cs="Times New Roman"/>
                <w:szCs w:val="24"/>
              </w:rPr>
            </w:pPr>
            <w:r w:rsidRPr="00DD6686">
              <w:rPr>
                <w:rFonts w:ascii="Times New Roman" w:eastAsia="標楷體" w:hAnsi="Times New Roman" w:cs="Times New Roman" w:hint="eastAsia"/>
                <w:szCs w:val="24"/>
                <w:u w:val="single"/>
              </w:rPr>
              <w:t>十五、</w:t>
            </w:r>
            <w:r w:rsidRPr="00892673">
              <w:rPr>
                <w:rFonts w:ascii="Times New Roman" w:eastAsia="標楷體" w:hAnsi="Times New Roman" w:cs="Times New Roman" w:hint="eastAsia"/>
                <w:szCs w:val="24"/>
              </w:rPr>
              <w:t>因前項第十</w:t>
            </w:r>
            <w:r w:rsidRPr="00DB6B0C">
              <w:rPr>
                <w:rFonts w:ascii="Times New Roman" w:eastAsia="標楷體" w:hAnsi="Times New Roman" w:cs="Times New Roman" w:hint="eastAsia"/>
                <w:szCs w:val="24"/>
                <w:u w:val="single"/>
              </w:rPr>
              <w:t>六</w:t>
            </w:r>
            <w:r w:rsidRPr="00892673">
              <w:rPr>
                <w:rFonts w:ascii="Times New Roman" w:eastAsia="標楷體" w:hAnsi="Times New Roman" w:cs="Times New Roman" w:hint="eastAsia"/>
                <w:szCs w:val="24"/>
              </w:rPr>
              <w:t>款規定停止買賣後，經依相關章則規定予以補正或改善者。</w:t>
            </w:r>
          </w:p>
        </w:tc>
        <w:tc>
          <w:tcPr>
            <w:tcW w:w="2585" w:type="dxa"/>
            <w:tcBorders>
              <w:top w:val="single" w:sz="4" w:space="0" w:color="auto"/>
              <w:bottom w:val="single" w:sz="4" w:space="0" w:color="auto"/>
            </w:tcBorders>
          </w:tcPr>
          <w:p w:rsidR="00892673" w:rsidRDefault="00DC2DBB" w:rsidP="00152DED">
            <w:pPr>
              <w:pStyle w:val="a3"/>
              <w:numPr>
                <w:ilvl w:val="0"/>
                <w:numId w:val="1"/>
              </w:numPr>
              <w:ind w:leftChars="0"/>
              <w:jc w:val="both"/>
              <w:rPr>
                <w:rFonts w:ascii="標楷體" w:eastAsia="標楷體" w:hAnsi="標楷體"/>
                <w:color w:val="000000"/>
              </w:rPr>
            </w:pPr>
            <w:r>
              <w:rPr>
                <w:rFonts w:ascii="標楷體" w:eastAsia="標楷體" w:hAnsi="標楷體" w:hint="eastAsia"/>
                <w:color w:val="000000"/>
              </w:rPr>
              <w:lastRenderedPageBreak/>
              <w:t>鑒</w:t>
            </w:r>
            <w:r>
              <w:rPr>
                <w:rFonts w:ascii="標楷體" w:eastAsia="標楷體" w:hAnsi="標楷體"/>
                <w:color w:val="000000"/>
              </w:rPr>
              <w:t>於</w:t>
            </w:r>
            <w:r w:rsidR="00152DED" w:rsidRPr="00152DED">
              <w:rPr>
                <w:rFonts w:ascii="標楷體" w:eastAsia="標楷體" w:hAnsi="標楷體" w:hint="eastAsia"/>
                <w:color w:val="000000"/>
              </w:rPr>
              <w:t>部分上市公司因簽證會計師出具繼續經營能力存在重大不確定性之查核報告或核閱報告、或其淨值已低於財務報告所列示股本十分之三等財務業務不佳原因，</w:t>
            </w:r>
            <w:r>
              <w:rPr>
                <w:rFonts w:ascii="標楷體" w:eastAsia="標楷體" w:hAnsi="標楷體" w:hint="eastAsia"/>
                <w:color w:val="000000"/>
              </w:rPr>
              <w:t>經</w:t>
            </w:r>
            <w:r>
              <w:rPr>
                <w:rFonts w:ascii="標楷體" w:eastAsia="標楷體" w:hAnsi="標楷體"/>
                <w:color w:val="000000"/>
              </w:rPr>
              <w:t>本</w:t>
            </w:r>
            <w:r>
              <w:rPr>
                <w:rFonts w:ascii="標楷體" w:eastAsia="標楷體" w:hAnsi="標楷體" w:hint="eastAsia"/>
                <w:color w:val="000000"/>
              </w:rPr>
              <w:t>公</w:t>
            </w:r>
            <w:r>
              <w:rPr>
                <w:rFonts w:ascii="標楷體" w:eastAsia="標楷體" w:hAnsi="標楷體"/>
                <w:color w:val="000000"/>
              </w:rPr>
              <w:t>司依規對其上市有價證券列為變更易</w:t>
            </w:r>
            <w:r>
              <w:rPr>
                <w:rFonts w:ascii="標楷體" w:eastAsia="標楷體" w:hAnsi="標楷體" w:hint="eastAsia"/>
                <w:color w:val="000000"/>
              </w:rPr>
              <w:t>方</w:t>
            </w:r>
            <w:r>
              <w:rPr>
                <w:rFonts w:ascii="標楷體" w:eastAsia="標楷體" w:hAnsi="標楷體"/>
                <w:color w:val="000000"/>
              </w:rPr>
              <w:t>法或採行分盤集合競價交易，</w:t>
            </w:r>
            <w:r>
              <w:rPr>
                <w:rFonts w:ascii="標楷體" w:eastAsia="標楷體" w:hAnsi="標楷體" w:hint="eastAsia"/>
                <w:color w:val="000000"/>
              </w:rPr>
              <w:t>惟長</w:t>
            </w:r>
            <w:r>
              <w:rPr>
                <w:rFonts w:ascii="標楷體" w:eastAsia="標楷體" w:hAnsi="標楷體"/>
                <w:color w:val="000000"/>
              </w:rPr>
              <w:t>期未能改善</w:t>
            </w:r>
            <w:r>
              <w:rPr>
                <w:rFonts w:ascii="標楷體" w:eastAsia="標楷體" w:hAnsi="標楷體" w:hint="eastAsia"/>
                <w:color w:val="000000"/>
              </w:rPr>
              <w:t>，</w:t>
            </w:r>
            <w:r>
              <w:rPr>
                <w:rFonts w:ascii="標楷體" w:eastAsia="標楷體" w:hAnsi="標楷體"/>
                <w:color w:val="000000"/>
              </w:rPr>
              <w:t>對整體上市公司品質及投資人權益保障有負面</w:t>
            </w:r>
            <w:r>
              <w:rPr>
                <w:rFonts w:ascii="標楷體" w:eastAsia="標楷體" w:hAnsi="標楷體" w:hint="eastAsia"/>
                <w:color w:val="000000"/>
              </w:rPr>
              <w:t>影</w:t>
            </w:r>
            <w:r>
              <w:rPr>
                <w:rFonts w:ascii="標楷體" w:eastAsia="標楷體" w:hAnsi="標楷體"/>
                <w:color w:val="000000"/>
              </w:rPr>
              <w:t>響，</w:t>
            </w:r>
            <w:r>
              <w:rPr>
                <w:rFonts w:ascii="標楷體" w:eastAsia="標楷體" w:hAnsi="標楷體" w:hint="eastAsia"/>
                <w:color w:val="000000"/>
              </w:rPr>
              <w:t>故</w:t>
            </w:r>
            <w:r>
              <w:rPr>
                <w:rFonts w:ascii="標楷體" w:eastAsia="標楷體" w:hAnsi="標楷體"/>
                <w:color w:val="000000"/>
              </w:rPr>
              <w:t>給予該等公司</w:t>
            </w:r>
            <w:r w:rsidR="00152DED">
              <w:rPr>
                <w:rFonts w:ascii="標楷體" w:eastAsia="標楷體" w:hAnsi="標楷體" w:hint="eastAsia"/>
                <w:color w:val="000000"/>
              </w:rPr>
              <w:t>三</w:t>
            </w:r>
            <w:r>
              <w:rPr>
                <w:rFonts w:ascii="標楷體" w:eastAsia="標楷體" w:hAnsi="標楷體" w:hint="eastAsia"/>
                <w:color w:val="000000"/>
              </w:rPr>
              <w:t>年</w:t>
            </w:r>
            <w:r>
              <w:rPr>
                <w:rFonts w:ascii="標楷體" w:eastAsia="標楷體" w:hAnsi="標楷體"/>
                <w:color w:val="000000"/>
              </w:rPr>
              <w:t>改</w:t>
            </w:r>
            <w:r>
              <w:rPr>
                <w:rFonts w:ascii="標楷體" w:eastAsia="標楷體" w:hAnsi="標楷體" w:hint="eastAsia"/>
                <w:color w:val="000000"/>
              </w:rPr>
              <w:t>善</w:t>
            </w:r>
            <w:r>
              <w:rPr>
                <w:rFonts w:ascii="標楷體" w:eastAsia="標楷體" w:hAnsi="標楷體"/>
                <w:color w:val="000000"/>
              </w:rPr>
              <w:t>期</w:t>
            </w:r>
            <w:r>
              <w:rPr>
                <w:rFonts w:ascii="標楷體" w:eastAsia="標楷體" w:hAnsi="標楷體" w:hint="eastAsia"/>
                <w:color w:val="000000"/>
              </w:rPr>
              <w:t>，</w:t>
            </w:r>
            <w:r>
              <w:rPr>
                <w:rFonts w:ascii="標楷體" w:eastAsia="標楷體" w:hAnsi="標楷體"/>
                <w:color w:val="000000"/>
              </w:rPr>
              <w:t>如未能改</w:t>
            </w:r>
            <w:r>
              <w:rPr>
                <w:rFonts w:ascii="標楷體" w:eastAsia="標楷體" w:hAnsi="標楷體" w:hint="eastAsia"/>
                <w:color w:val="000000"/>
              </w:rPr>
              <w:t>善者</w:t>
            </w:r>
            <w:r>
              <w:rPr>
                <w:rFonts w:ascii="標楷體" w:eastAsia="標楷體" w:hAnsi="標楷體"/>
                <w:color w:val="000000"/>
              </w:rPr>
              <w:t>，將</w:t>
            </w:r>
            <w:r>
              <w:rPr>
                <w:rFonts w:ascii="標楷體" w:eastAsia="標楷體" w:hAnsi="標楷體" w:hint="eastAsia"/>
                <w:color w:val="000000"/>
              </w:rPr>
              <w:t>停</w:t>
            </w:r>
            <w:r>
              <w:rPr>
                <w:rFonts w:ascii="標楷體" w:eastAsia="標楷體" w:hAnsi="標楷體"/>
                <w:color w:val="000000"/>
              </w:rPr>
              <w:t>止其上市有價證券之買賣，爰</w:t>
            </w:r>
            <w:r>
              <w:rPr>
                <w:rFonts w:ascii="標楷體" w:eastAsia="標楷體" w:hAnsi="標楷體" w:hint="eastAsia"/>
                <w:color w:val="000000"/>
              </w:rPr>
              <w:t>於</w:t>
            </w:r>
            <w:r>
              <w:rPr>
                <w:rFonts w:ascii="標楷體" w:eastAsia="標楷體" w:hAnsi="標楷體"/>
                <w:color w:val="000000"/>
              </w:rPr>
              <w:t>第</w:t>
            </w:r>
            <w:r>
              <w:rPr>
                <w:rFonts w:ascii="標楷體" w:eastAsia="標楷體" w:hAnsi="標楷體" w:hint="eastAsia"/>
                <w:color w:val="000000"/>
              </w:rPr>
              <w:t>一</w:t>
            </w:r>
            <w:r>
              <w:rPr>
                <w:rFonts w:ascii="標楷體" w:eastAsia="標楷體" w:hAnsi="標楷體"/>
                <w:color w:val="000000"/>
              </w:rPr>
              <w:t>項</w:t>
            </w:r>
            <w:r>
              <w:rPr>
                <w:rFonts w:ascii="標楷體" w:eastAsia="標楷體" w:hAnsi="標楷體" w:hint="eastAsia"/>
                <w:color w:val="000000"/>
              </w:rPr>
              <w:t>增</w:t>
            </w:r>
            <w:r>
              <w:rPr>
                <w:rFonts w:ascii="標楷體" w:eastAsia="標楷體" w:hAnsi="標楷體"/>
                <w:color w:val="000000"/>
              </w:rPr>
              <w:t>訂第十</w:t>
            </w:r>
            <w:r>
              <w:rPr>
                <w:rFonts w:ascii="標楷體" w:eastAsia="標楷體" w:hAnsi="標楷體" w:hint="eastAsia"/>
                <w:color w:val="000000"/>
              </w:rPr>
              <w:t>六</w:t>
            </w:r>
            <w:r>
              <w:rPr>
                <w:rFonts w:ascii="標楷體" w:eastAsia="標楷體" w:hAnsi="標楷體"/>
                <w:color w:val="000000"/>
              </w:rPr>
              <w:t>款及第十七款</w:t>
            </w:r>
            <w:r>
              <w:rPr>
                <w:rFonts w:ascii="標楷體" w:eastAsia="標楷體" w:hAnsi="標楷體" w:hint="eastAsia"/>
                <w:color w:val="000000"/>
              </w:rPr>
              <w:t>，</w:t>
            </w:r>
            <w:r>
              <w:rPr>
                <w:rFonts w:ascii="標楷體" w:eastAsia="標楷體" w:hAnsi="標楷體"/>
                <w:color w:val="000000"/>
              </w:rPr>
              <w:t>原第十六</w:t>
            </w:r>
            <w:r>
              <w:rPr>
                <w:rFonts w:ascii="標楷體" w:eastAsia="標楷體" w:hAnsi="標楷體" w:hint="eastAsia"/>
                <w:color w:val="000000"/>
              </w:rPr>
              <w:t>款移列</w:t>
            </w:r>
            <w:r>
              <w:rPr>
                <w:rFonts w:ascii="標楷體" w:eastAsia="標楷體" w:hAnsi="標楷體"/>
                <w:color w:val="000000"/>
              </w:rPr>
              <w:t>為第十八款</w:t>
            </w:r>
            <w:r>
              <w:rPr>
                <w:rFonts w:ascii="標楷體" w:eastAsia="標楷體" w:hAnsi="標楷體" w:hint="eastAsia"/>
                <w:color w:val="000000"/>
              </w:rPr>
              <w:t>。</w:t>
            </w:r>
          </w:p>
          <w:p w:rsidR="0017314C" w:rsidRPr="0017314C" w:rsidRDefault="0017314C" w:rsidP="001731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p>
          <w:p w:rsidR="0017314C" w:rsidRPr="0017314C" w:rsidRDefault="0017314C" w:rsidP="001731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ind w:firstLineChars="200" w:firstLine="480"/>
              <w:jc w:val="both"/>
              <w:rPr>
                <w:rFonts w:ascii="Times New Roman" w:eastAsia="標楷體" w:hAnsi="Times New Roman" w:cs="Times New Roman"/>
                <w:szCs w:val="24"/>
              </w:rPr>
            </w:pPr>
          </w:p>
          <w:p w:rsidR="0017314C" w:rsidRPr="0017314C" w:rsidRDefault="0017314C" w:rsidP="001731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ind w:firstLineChars="200" w:firstLine="480"/>
              <w:jc w:val="both"/>
              <w:rPr>
                <w:rFonts w:ascii="Times New Roman" w:eastAsia="標楷體" w:hAnsi="Times New Roman" w:cs="Times New Roman"/>
                <w:szCs w:val="24"/>
              </w:rPr>
            </w:pPr>
          </w:p>
          <w:p w:rsidR="0017314C" w:rsidRPr="0017314C" w:rsidRDefault="0017314C" w:rsidP="001731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ind w:firstLineChars="200" w:firstLine="480"/>
              <w:jc w:val="both"/>
              <w:rPr>
                <w:rFonts w:ascii="Times New Roman" w:eastAsia="標楷體" w:hAnsi="Times New Roman" w:cs="Times New Roman"/>
                <w:szCs w:val="24"/>
              </w:rPr>
            </w:pPr>
          </w:p>
          <w:p w:rsidR="00DC2DBB" w:rsidRPr="00DC2DBB" w:rsidRDefault="00DC2DBB" w:rsidP="00DC2DBB">
            <w:pPr>
              <w:pStyle w:val="a3"/>
              <w:numPr>
                <w:ilvl w:val="0"/>
                <w:numId w:val="1"/>
              </w:numPr>
              <w:ind w:leftChars="0"/>
              <w:jc w:val="both"/>
              <w:rPr>
                <w:rFonts w:ascii="標楷體" w:eastAsia="標楷體" w:hAnsi="標楷體"/>
                <w:color w:val="000000"/>
              </w:rPr>
            </w:pPr>
            <w:r>
              <w:rPr>
                <w:rFonts w:ascii="標楷體" w:eastAsia="標楷體" w:hAnsi="標楷體"/>
                <w:color w:val="000000"/>
              </w:rPr>
              <w:t>配合</w:t>
            </w:r>
            <w:r>
              <w:rPr>
                <w:rFonts w:ascii="標楷體" w:eastAsia="標楷體" w:hAnsi="標楷體" w:hint="eastAsia"/>
                <w:color w:val="000000"/>
              </w:rPr>
              <w:t>前</w:t>
            </w:r>
            <w:r>
              <w:rPr>
                <w:rFonts w:ascii="標楷體" w:eastAsia="標楷體" w:hAnsi="標楷體"/>
                <w:color w:val="000000"/>
              </w:rPr>
              <w:t>開修正，</w:t>
            </w:r>
            <w:r>
              <w:rPr>
                <w:rFonts w:ascii="標楷體" w:eastAsia="標楷體" w:hAnsi="標楷體" w:hint="eastAsia"/>
                <w:color w:val="000000"/>
              </w:rPr>
              <w:t>明</w:t>
            </w:r>
            <w:r>
              <w:rPr>
                <w:rFonts w:ascii="標楷體" w:eastAsia="標楷體" w:hAnsi="標楷體"/>
                <w:color w:val="000000"/>
              </w:rPr>
              <w:t>定</w:t>
            </w:r>
            <w:r>
              <w:rPr>
                <w:rFonts w:ascii="標楷體" w:eastAsia="標楷體" w:hAnsi="標楷體" w:hint="eastAsia"/>
                <w:color w:val="000000"/>
              </w:rPr>
              <w:t>恢</w:t>
            </w:r>
            <w:r>
              <w:rPr>
                <w:rFonts w:ascii="標楷體" w:eastAsia="標楷體" w:hAnsi="標楷體"/>
                <w:color w:val="000000"/>
              </w:rPr>
              <w:t>復</w:t>
            </w:r>
            <w:r>
              <w:rPr>
                <w:rFonts w:ascii="標楷體" w:eastAsia="標楷體" w:hAnsi="標楷體" w:hint="eastAsia"/>
                <w:color w:val="000000"/>
              </w:rPr>
              <w:t>其</w:t>
            </w:r>
            <w:r>
              <w:rPr>
                <w:rFonts w:ascii="標楷體" w:eastAsia="標楷體" w:hAnsi="標楷體"/>
                <w:color w:val="000000"/>
              </w:rPr>
              <w:t>有價證</w:t>
            </w:r>
            <w:r>
              <w:rPr>
                <w:rFonts w:ascii="標楷體" w:eastAsia="標楷體" w:hAnsi="標楷體"/>
                <w:color w:val="000000"/>
              </w:rPr>
              <w:lastRenderedPageBreak/>
              <w:t>券買賣之</w:t>
            </w:r>
            <w:r>
              <w:rPr>
                <w:rFonts w:ascii="標楷體" w:eastAsia="標楷體" w:hAnsi="標楷體" w:hint="eastAsia"/>
                <w:color w:val="000000"/>
              </w:rPr>
              <w:t>條</w:t>
            </w:r>
            <w:r>
              <w:rPr>
                <w:rFonts w:ascii="標楷體" w:eastAsia="標楷體" w:hAnsi="標楷體"/>
                <w:color w:val="000000"/>
              </w:rPr>
              <w:t>件，爰於第二項增訂第</w:t>
            </w:r>
            <w:r>
              <w:rPr>
                <w:rFonts w:ascii="標楷體" w:eastAsia="標楷體" w:hAnsi="標楷體" w:hint="eastAsia"/>
                <w:color w:val="000000"/>
              </w:rPr>
              <w:t>十</w:t>
            </w:r>
            <w:r>
              <w:rPr>
                <w:rFonts w:ascii="標楷體" w:eastAsia="標楷體" w:hAnsi="標楷體"/>
                <w:color w:val="000000"/>
              </w:rPr>
              <w:t>五款，原第十五款</w:t>
            </w:r>
            <w:r>
              <w:rPr>
                <w:rFonts w:ascii="標楷體" w:eastAsia="標楷體" w:hAnsi="標楷體" w:hint="eastAsia"/>
                <w:color w:val="000000"/>
              </w:rPr>
              <w:t>移</w:t>
            </w:r>
            <w:r>
              <w:rPr>
                <w:rFonts w:ascii="標楷體" w:eastAsia="標楷體" w:hAnsi="標楷體"/>
                <w:color w:val="000000"/>
              </w:rPr>
              <w:t>列為第十</w:t>
            </w:r>
            <w:r>
              <w:rPr>
                <w:rFonts w:ascii="標楷體" w:eastAsia="標楷體" w:hAnsi="標楷體" w:hint="eastAsia"/>
                <w:color w:val="000000"/>
              </w:rPr>
              <w:t>六</w:t>
            </w:r>
            <w:r>
              <w:rPr>
                <w:rFonts w:ascii="標楷體" w:eastAsia="標楷體" w:hAnsi="標楷體"/>
                <w:color w:val="000000"/>
              </w:rPr>
              <w:t>款</w:t>
            </w:r>
            <w:r w:rsidR="00833205">
              <w:rPr>
                <w:rFonts w:ascii="標楷體" w:eastAsia="標楷體" w:hAnsi="標楷體" w:hint="eastAsia"/>
                <w:color w:val="000000"/>
              </w:rPr>
              <w:t>並</w:t>
            </w:r>
            <w:r w:rsidR="00833205">
              <w:rPr>
                <w:rFonts w:ascii="標楷體" w:eastAsia="標楷體" w:hAnsi="標楷體"/>
                <w:color w:val="000000"/>
              </w:rPr>
              <w:t>配合文字修正</w:t>
            </w:r>
            <w:r>
              <w:rPr>
                <w:rFonts w:ascii="標楷體" w:eastAsia="標楷體" w:hAnsi="標楷體"/>
                <w:color w:val="000000"/>
              </w:rPr>
              <w:t>。</w:t>
            </w:r>
          </w:p>
        </w:tc>
      </w:tr>
      <w:tr w:rsidR="00CE0FAF" w:rsidRPr="006F0A2A" w:rsidTr="00CE0FAF">
        <w:trPr>
          <w:trHeight w:val="768"/>
        </w:trPr>
        <w:tc>
          <w:tcPr>
            <w:tcW w:w="3227" w:type="dxa"/>
            <w:tcBorders>
              <w:top w:val="single" w:sz="4" w:space="0" w:color="auto"/>
              <w:bottom w:val="single" w:sz="4" w:space="0" w:color="auto"/>
            </w:tcBorders>
          </w:tcPr>
          <w:p w:rsidR="00CE0FAF" w:rsidRDefault="00CE0FAF" w:rsidP="00AB4777">
            <w:pPr>
              <w:rPr>
                <w:rFonts w:ascii="Times New Roman" w:eastAsia="標楷體" w:hAnsi="Times New Roman" w:cs="Times New Roman"/>
                <w:szCs w:val="24"/>
              </w:rPr>
            </w:pPr>
            <w:r w:rsidRPr="00544B03">
              <w:rPr>
                <w:rFonts w:ascii="Times New Roman" w:eastAsia="標楷體" w:hAnsi="Times New Roman" w:cs="Times New Roman" w:hint="eastAsia"/>
                <w:szCs w:val="24"/>
              </w:rPr>
              <w:lastRenderedPageBreak/>
              <w:t>第</w:t>
            </w:r>
            <w:r>
              <w:rPr>
                <w:rFonts w:ascii="Times New Roman" w:eastAsia="標楷體" w:hAnsi="Times New Roman" w:cs="Times New Roman" w:hint="eastAsia"/>
                <w:szCs w:val="24"/>
              </w:rPr>
              <w:t>五十</w:t>
            </w:r>
            <w:r w:rsidRPr="00544B03">
              <w:rPr>
                <w:rFonts w:ascii="Times New Roman" w:eastAsia="標楷體" w:hAnsi="Times New Roman" w:cs="Times New Roman"/>
                <w:szCs w:val="24"/>
              </w:rPr>
              <w:t>條</w:t>
            </w:r>
            <w:r>
              <w:rPr>
                <w:rFonts w:ascii="Times New Roman" w:eastAsia="標楷體" w:hAnsi="Times New Roman" w:cs="Times New Roman" w:hint="eastAsia"/>
                <w:szCs w:val="24"/>
              </w:rPr>
              <w:t>之三</w:t>
            </w:r>
          </w:p>
          <w:p w:rsidR="00CE0FAF" w:rsidRPr="00544B03" w:rsidRDefault="00CE0FAF" w:rsidP="00AB4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9E621A">
              <w:rPr>
                <w:rFonts w:ascii="Times New Roman" w:eastAsia="標楷體" w:hAnsi="Times New Roman" w:cs="Times New Roman" w:hint="eastAsia"/>
                <w:szCs w:val="24"/>
              </w:rPr>
              <w:t>第一上市公司有下列情事之一者，對其上市之有價證券應由本公司依證券交易法第一百六十五條之一準用第一百四十七條規定停止其買賣，並報請主管機關備查：</w:t>
            </w:r>
          </w:p>
          <w:p w:rsidR="00CE0FAF" w:rsidRDefault="00CE0FAF" w:rsidP="00DA7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ind w:firstLineChars="200" w:firstLine="480"/>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第</w:t>
            </w:r>
            <w:r>
              <w:rPr>
                <w:rFonts w:ascii="Times New Roman" w:eastAsia="標楷體" w:hAnsi="Times New Roman" w:cs="Times New Roman"/>
                <w:szCs w:val="24"/>
              </w:rPr>
              <w:t>一款至第十</w:t>
            </w:r>
            <w:r>
              <w:rPr>
                <w:rFonts w:ascii="Times New Roman" w:eastAsia="標楷體" w:hAnsi="Times New Roman" w:cs="Times New Roman" w:hint="eastAsia"/>
                <w:szCs w:val="24"/>
              </w:rPr>
              <w:t>二</w:t>
            </w:r>
            <w:r>
              <w:rPr>
                <w:rFonts w:ascii="Times New Roman" w:eastAsia="標楷體" w:hAnsi="Times New Roman" w:cs="Times New Roman"/>
                <w:szCs w:val="24"/>
              </w:rPr>
              <w:t>款略</w:t>
            </w:r>
            <w:r>
              <w:rPr>
                <w:rFonts w:ascii="Times New Roman" w:eastAsia="標楷體" w:hAnsi="Times New Roman" w:cs="Times New Roman" w:hint="eastAsia"/>
                <w:szCs w:val="24"/>
              </w:rPr>
              <w:t>)</w:t>
            </w:r>
          </w:p>
          <w:p w:rsidR="00CE0FAF" w:rsidRDefault="00CE0FAF" w:rsidP="00AB4777">
            <w:pPr>
              <w:ind w:left="746" w:hangingChars="311" w:hanging="746"/>
              <w:jc w:val="both"/>
              <w:rPr>
                <w:rFonts w:ascii="Times New Roman" w:eastAsia="標楷體" w:hAnsi="Times New Roman" w:cs="Times New Roman"/>
                <w:szCs w:val="24"/>
                <w:u w:val="single"/>
              </w:rPr>
            </w:pPr>
            <w:r>
              <w:rPr>
                <w:rFonts w:ascii="Times New Roman" w:eastAsia="標楷體" w:hAnsi="Times New Roman" w:cs="Times New Roman" w:hint="eastAsia"/>
                <w:szCs w:val="24"/>
              </w:rPr>
              <w:t>十三、</w:t>
            </w:r>
            <w:r>
              <w:rPr>
                <w:rFonts w:ascii="Times New Roman" w:eastAsia="標楷體" w:hAnsi="Times New Roman" w:cs="Times New Roman" w:hint="eastAsia"/>
                <w:szCs w:val="24"/>
                <w:u w:val="single"/>
              </w:rPr>
              <w:t>因第</w:t>
            </w:r>
            <w:r>
              <w:rPr>
                <w:rFonts w:ascii="Times New Roman" w:eastAsia="標楷體" w:hAnsi="Times New Roman" w:cs="Times New Roman"/>
                <w:szCs w:val="24"/>
                <w:u w:val="single"/>
              </w:rPr>
              <w:t>四十九條</w:t>
            </w:r>
            <w:r>
              <w:rPr>
                <w:rFonts w:ascii="Times New Roman" w:eastAsia="標楷體" w:hAnsi="Times New Roman" w:cs="Times New Roman" w:hint="eastAsia"/>
                <w:szCs w:val="24"/>
                <w:u w:val="single"/>
              </w:rPr>
              <w:t>之一第</w:t>
            </w:r>
            <w:r>
              <w:rPr>
                <w:rFonts w:ascii="Times New Roman" w:eastAsia="標楷體" w:hAnsi="Times New Roman" w:cs="Times New Roman" w:hint="eastAsia"/>
                <w:szCs w:val="24"/>
                <w:u w:val="single"/>
              </w:rPr>
              <w:t xml:space="preserve">   </w:t>
            </w:r>
            <w:r>
              <w:rPr>
                <w:rFonts w:ascii="Times New Roman" w:eastAsia="標楷體" w:hAnsi="Times New Roman" w:cs="Times New Roman"/>
                <w:szCs w:val="24"/>
                <w:u w:val="single"/>
              </w:rPr>
              <w:t>一項</w:t>
            </w:r>
            <w:r>
              <w:rPr>
                <w:rFonts w:ascii="Times New Roman" w:eastAsia="標楷體" w:hAnsi="Times New Roman" w:cs="Times New Roman" w:hint="eastAsia"/>
                <w:szCs w:val="24"/>
                <w:u w:val="single"/>
              </w:rPr>
              <w:t>第</w:t>
            </w:r>
            <w:r>
              <w:rPr>
                <w:rFonts w:ascii="Times New Roman" w:eastAsia="標楷體" w:hAnsi="Times New Roman" w:cs="Times New Roman"/>
                <w:szCs w:val="24"/>
                <w:u w:val="single"/>
              </w:rPr>
              <w:t>三款</w:t>
            </w:r>
            <w:r w:rsidRPr="000F4690">
              <w:rPr>
                <w:rFonts w:ascii="Times New Roman" w:eastAsia="標楷體" w:hAnsi="Times New Roman" w:cs="Times New Roman"/>
                <w:szCs w:val="24"/>
                <w:u w:val="single"/>
              </w:rPr>
              <w:t>簽證會計師出具繼續經營能力存在重大不確定性之查核報告或核閱報告</w:t>
            </w:r>
            <w:r>
              <w:rPr>
                <w:rFonts w:ascii="Times New Roman" w:eastAsia="標楷體" w:hAnsi="Times New Roman" w:cs="Times New Roman" w:hint="eastAsia"/>
                <w:szCs w:val="24"/>
                <w:u w:val="single"/>
              </w:rPr>
              <w:t>，經本公司對</w:t>
            </w:r>
            <w:r>
              <w:rPr>
                <w:rFonts w:ascii="Times New Roman" w:eastAsia="標楷體" w:hAnsi="Times New Roman" w:cs="Times New Roman"/>
                <w:szCs w:val="24"/>
                <w:u w:val="single"/>
              </w:rPr>
              <w:t>其上市之有價證券列為變更交易方法</w:t>
            </w:r>
            <w:r>
              <w:rPr>
                <w:rFonts w:ascii="Times New Roman" w:eastAsia="標楷體" w:hAnsi="Times New Roman" w:cs="Times New Roman" w:hint="eastAsia"/>
                <w:szCs w:val="24"/>
                <w:u w:val="single"/>
              </w:rPr>
              <w:t>有價證券</w:t>
            </w:r>
            <w:r>
              <w:rPr>
                <w:rFonts w:ascii="Times New Roman" w:eastAsia="標楷體" w:hAnsi="Times New Roman" w:cs="Times New Roman"/>
                <w:szCs w:val="24"/>
                <w:u w:val="single"/>
              </w:rPr>
              <w:t>，且</w:t>
            </w:r>
            <w:r>
              <w:rPr>
                <w:rFonts w:ascii="Times New Roman" w:eastAsia="標楷體" w:hAnsi="Times New Roman" w:cs="Times New Roman" w:hint="eastAsia"/>
                <w:szCs w:val="24"/>
                <w:u w:val="single"/>
              </w:rPr>
              <w:t>自</w:t>
            </w:r>
            <w:r>
              <w:rPr>
                <w:rFonts w:ascii="Times New Roman" w:eastAsia="標楷體" w:hAnsi="Times New Roman" w:cs="Times New Roman"/>
                <w:szCs w:val="24"/>
                <w:u w:val="single"/>
              </w:rPr>
              <w:t>變更易方法後之次一營業日起，三年內</w:t>
            </w:r>
            <w:r>
              <w:rPr>
                <w:rFonts w:ascii="Times New Roman" w:eastAsia="標楷體" w:hAnsi="Times New Roman" w:cs="Times New Roman" w:hint="eastAsia"/>
                <w:szCs w:val="24"/>
                <w:u w:val="single"/>
              </w:rPr>
              <w:t>無</w:t>
            </w:r>
            <w:r>
              <w:rPr>
                <w:rFonts w:ascii="Times New Roman" w:eastAsia="標楷體" w:hAnsi="Times New Roman" w:cs="Times New Roman"/>
                <w:szCs w:val="24"/>
                <w:u w:val="single"/>
              </w:rPr>
              <w:t>法</w:t>
            </w:r>
            <w:r>
              <w:rPr>
                <w:rFonts w:ascii="Times New Roman" w:eastAsia="標楷體" w:hAnsi="Times New Roman" w:cs="Times New Roman" w:hint="eastAsia"/>
                <w:szCs w:val="24"/>
                <w:u w:val="single"/>
              </w:rPr>
              <w:t>達</w:t>
            </w:r>
            <w:r>
              <w:rPr>
                <w:rFonts w:ascii="Times New Roman" w:eastAsia="標楷體" w:hAnsi="Times New Roman" w:cs="Times New Roman"/>
                <w:szCs w:val="24"/>
                <w:u w:val="single"/>
              </w:rPr>
              <w:t>成</w:t>
            </w:r>
            <w:r>
              <w:rPr>
                <w:rFonts w:ascii="Times New Roman" w:eastAsia="標楷體" w:hAnsi="Times New Roman" w:cs="Times New Roman" w:hint="eastAsia"/>
                <w:szCs w:val="24"/>
                <w:u w:val="single"/>
              </w:rPr>
              <w:t>同</w:t>
            </w:r>
            <w:r>
              <w:rPr>
                <w:rFonts w:ascii="Times New Roman" w:eastAsia="標楷體" w:hAnsi="Times New Roman" w:cs="Times New Roman"/>
                <w:szCs w:val="24"/>
                <w:u w:val="single"/>
              </w:rPr>
              <w:t>條第二項第三款之情事</w:t>
            </w:r>
            <w:r>
              <w:rPr>
                <w:rFonts w:ascii="Times New Roman" w:eastAsia="標楷體" w:hAnsi="Times New Roman" w:cs="Times New Roman"/>
                <w:szCs w:val="24"/>
                <w:u w:val="single"/>
              </w:rPr>
              <w:lastRenderedPageBreak/>
              <w:t>者。</w:t>
            </w:r>
          </w:p>
          <w:p w:rsidR="00CE0FAF" w:rsidRDefault="00CE0FAF" w:rsidP="00AB4777">
            <w:pPr>
              <w:ind w:left="746" w:hangingChars="311" w:hanging="746"/>
              <w:rPr>
                <w:rFonts w:ascii="Times New Roman" w:eastAsia="標楷體" w:hAnsi="Times New Roman" w:cs="Times New Roman"/>
                <w:szCs w:val="24"/>
                <w:u w:val="single"/>
              </w:rPr>
            </w:pPr>
            <w:r>
              <w:rPr>
                <w:rFonts w:ascii="Times New Roman" w:eastAsia="標楷體" w:hAnsi="Times New Roman" w:cs="Times New Roman" w:hint="eastAsia"/>
                <w:szCs w:val="24"/>
                <w:u w:val="single"/>
              </w:rPr>
              <w:t>十四、因</w:t>
            </w:r>
            <w:r w:rsidRPr="00620410">
              <w:rPr>
                <w:rFonts w:ascii="Times New Roman" w:eastAsia="標楷體" w:hAnsi="Times New Roman" w:cs="Times New Roman"/>
                <w:szCs w:val="24"/>
                <w:u w:val="single"/>
              </w:rPr>
              <w:t>第四十九條</w:t>
            </w:r>
            <w:r>
              <w:rPr>
                <w:rFonts w:ascii="Times New Roman" w:eastAsia="標楷體" w:hAnsi="Times New Roman" w:cs="Times New Roman" w:hint="eastAsia"/>
                <w:szCs w:val="24"/>
                <w:u w:val="single"/>
              </w:rPr>
              <w:t>之三</w:t>
            </w:r>
            <w:r>
              <w:rPr>
                <w:rFonts w:ascii="Times New Roman" w:eastAsia="標楷體" w:hAnsi="Times New Roman" w:cs="Times New Roman"/>
                <w:szCs w:val="24"/>
                <w:u w:val="single"/>
              </w:rPr>
              <w:t>第一項第</w:t>
            </w:r>
            <w:r>
              <w:rPr>
                <w:rFonts w:ascii="Times New Roman" w:eastAsia="標楷體" w:hAnsi="Times New Roman" w:cs="Times New Roman" w:hint="eastAsia"/>
                <w:szCs w:val="24"/>
                <w:u w:val="single"/>
              </w:rPr>
              <w:t>四</w:t>
            </w:r>
            <w:r w:rsidRPr="00620410">
              <w:rPr>
                <w:rFonts w:ascii="Times New Roman" w:eastAsia="標楷體" w:hAnsi="Times New Roman" w:cs="Times New Roman"/>
                <w:szCs w:val="24"/>
                <w:u w:val="single"/>
              </w:rPr>
              <w:t>款規定</w:t>
            </w:r>
            <w:r>
              <w:rPr>
                <w:rFonts w:ascii="Times New Roman" w:eastAsia="標楷體" w:hAnsi="Times New Roman" w:cs="Times New Roman" w:hint="eastAsia"/>
                <w:szCs w:val="24"/>
                <w:u w:val="single"/>
              </w:rPr>
              <w:t>對</w:t>
            </w:r>
            <w:r>
              <w:rPr>
                <w:rFonts w:ascii="Times New Roman" w:eastAsia="標楷體" w:hAnsi="Times New Roman" w:cs="Times New Roman"/>
                <w:szCs w:val="24"/>
                <w:u w:val="single"/>
              </w:rPr>
              <w:t>其上市之有價證券採行分盤集合競價交易方式</w:t>
            </w:r>
            <w:r w:rsidRPr="00620410">
              <w:rPr>
                <w:rFonts w:ascii="Times New Roman" w:eastAsia="標楷體" w:hAnsi="Times New Roman" w:cs="Times New Roman"/>
                <w:szCs w:val="24"/>
                <w:u w:val="single"/>
              </w:rPr>
              <w:t>，</w:t>
            </w:r>
            <w:r>
              <w:rPr>
                <w:rFonts w:ascii="Times New Roman" w:eastAsia="標楷體" w:hAnsi="Times New Roman" w:cs="Times New Roman"/>
                <w:szCs w:val="24"/>
                <w:u w:val="single"/>
              </w:rPr>
              <w:t>且</w:t>
            </w:r>
            <w:r>
              <w:rPr>
                <w:rFonts w:ascii="Times New Roman" w:eastAsia="標楷體" w:hAnsi="Times New Roman" w:cs="Times New Roman" w:hint="eastAsia"/>
                <w:szCs w:val="24"/>
                <w:u w:val="single"/>
              </w:rPr>
              <w:t>自列為</w:t>
            </w:r>
            <w:r>
              <w:rPr>
                <w:rFonts w:ascii="Times New Roman" w:eastAsia="標楷體" w:hAnsi="Times New Roman" w:cs="Times New Roman"/>
                <w:szCs w:val="24"/>
                <w:u w:val="single"/>
              </w:rPr>
              <w:t>分盤集合競價交易方式後之次一營業日起，三年內</w:t>
            </w:r>
            <w:r>
              <w:rPr>
                <w:rFonts w:ascii="Times New Roman" w:eastAsia="標楷體" w:hAnsi="Times New Roman" w:cs="Times New Roman" w:hint="eastAsia"/>
                <w:szCs w:val="24"/>
                <w:u w:val="single"/>
              </w:rPr>
              <w:t>無</w:t>
            </w:r>
            <w:r>
              <w:rPr>
                <w:rFonts w:ascii="Times New Roman" w:eastAsia="標楷體" w:hAnsi="Times New Roman" w:cs="Times New Roman"/>
                <w:szCs w:val="24"/>
                <w:u w:val="single"/>
              </w:rPr>
              <w:t>法</w:t>
            </w:r>
            <w:r>
              <w:rPr>
                <w:rFonts w:ascii="Times New Roman" w:eastAsia="標楷體" w:hAnsi="Times New Roman" w:cs="Times New Roman" w:hint="eastAsia"/>
                <w:szCs w:val="24"/>
                <w:u w:val="single"/>
              </w:rPr>
              <w:t>達</w:t>
            </w:r>
            <w:r>
              <w:rPr>
                <w:rFonts w:ascii="Times New Roman" w:eastAsia="標楷體" w:hAnsi="Times New Roman" w:cs="Times New Roman"/>
                <w:szCs w:val="24"/>
                <w:u w:val="single"/>
              </w:rPr>
              <w:t>成</w:t>
            </w:r>
            <w:r>
              <w:rPr>
                <w:rFonts w:ascii="Times New Roman" w:eastAsia="標楷體" w:hAnsi="Times New Roman" w:cs="Times New Roman" w:hint="eastAsia"/>
                <w:szCs w:val="24"/>
                <w:u w:val="single"/>
              </w:rPr>
              <w:t>同</w:t>
            </w:r>
            <w:r>
              <w:rPr>
                <w:rFonts w:ascii="Times New Roman" w:eastAsia="標楷體" w:hAnsi="Times New Roman" w:cs="Times New Roman"/>
                <w:szCs w:val="24"/>
                <w:u w:val="single"/>
              </w:rPr>
              <w:t>條第二項第</w:t>
            </w:r>
            <w:r>
              <w:rPr>
                <w:rFonts w:ascii="Times New Roman" w:eastAsia="標楷體" w:hAnsi="Times New Roman" w:cs="Times New Roman" w:hint="eastAsia"/>
                <w:szCs w:val="24"/>
                <w:u w:val="single"/>
              </w:rPr>
              <w:t>四</w:t>
            </w:r>
            <w:r>
              <w:rPr>
                <w:rFonts w:ascii="Times New Roman" w:eastAsia="標楷體" w:hAnsi="Times New Roman" w:cs="Times New Roman"/>
                <w:szCs w:val="24"/>
                <w:u w:val="single"/>
              </w:rPr>
              <w:t>款之情事者。</w:t>
            </w:r>
          </w:p>
          <w:p w:rsidR="00CE0FAF" w:rsidRDefault="00CE0FAF" w:rsidP="00AB4777">
            <w:pPr>
              <w:ind w:left="746" w:hangingChars="311" w:hanging="746"/>
              <w:rPr>
                <w:rFonts w:ascii="標楷體" w:eastAsia="標楷體" w:hAnsi="標楷體" w:cs="細明體"/>
                <w:color w:val="000000"/>
              </w:rPr>
            </w:pPr>
            <w:r w:rsidRPr="00172F4B">
              <w:rPr>
                <w:rFonts w:ascii="標楷體" w:eastAsia="標楷體" w:hAnsi="標楷體" w:cs="細明體" w:hint="eastAsia"/>
                <w:color w:val="000000"/>
                <w:u w:val="single"/>
              </w:rPr>
              <w:t>十五、</w:t>
            </w:r>
            <w:r w:rsidRPr="00B22F0E">
              <w:rPr>
                <w:rFonts w:ascii="標楷體" w:eastAsia="標楷體" w:hAnsi="標楷體" w:cs="細明體" w:hint="eastAsia"/>
                <w:color w:val="000000"/>
              </w:rPr>
              <w:t>其他有停止有價證券買賣必要之情事者。</w:t>
            </w:r>
          </w:p>
          <w:p w:rsidR="00CE0FAF" w:rsidRPr="00B22F0E" w:rsidRDefault="00CE0FAF" w:rsidP="00AB4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B22F0E">
              <w:rPr>
                <w:rFonts w:ascii="Times New Roman" w:eastAsia="標楷體" w:hAnsi="Times New Roman" w:cs="Times New Roman" w:hint="eastAsia"/>
                <w:szCs w:val="24"/>
              </w:rPr>
              <w:t>第一上市公司因有前項各款規定情事之一，致其上市之有價證券經停止買賣者，符合下列各該款之規定，且無前項其他各款規定情事，本公司得依證券交易法第一百六十五條之一準用第一百四十七條規定，公告恢復其有價證券之買賣，並報請主管機關備查：</w:t>
            </w:r>
          </w:p>
          <w:p w:rsidR="00CE0FAF" w:rsidRPr="00892673" w:rsidRDefault="00CE0FAF" w:rsidP="00DA7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ind w:firstLineChars="200" w:firstLine="480"/>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第</w:t>
            </w:r>
            <w:r>
              <w:rPr>
                <w:rFonts w:ascii="Times New Roman" w:eastAsia="標楷體" w:hAnsi="Times New Roman" w:cs="Times New Roman"/>
                <w:szCs w:val="24"/>
              </w:rPr>
              <w:t>一款至第十</w:t>
            </w:r>
            <w:r>
              <w:rPr>
                <w:rFonts w:ascii="Times New Roman" w:eastAsia="標楷體" w:hAnsi="Times New Roman" w:cs="Times New Roman" w:hint="eastAsia"/>
                <w:szCs w:val="24"/>
              </w:rPr>
              <w:t>二</w:t>
            </w:r>
            <w:r>
              <w:rPr>
                <w:rFonts w:ascii="Times New Roman" w:eastAsia="標楷體" w:hAnsi="Times New Roman" w:cs="Times New Roman"/>
                <w:szCs w:val="24"/>
              </w:rPr>
              <w:t>款略</w:t>
            </w:r>
            <w:r>
              <w:rPr>
                <w:rFonts w:ascii="Times New Roman" w:eastAsia="標楷體" w:hAnsi="Times New Roman" w:cs="Times New Roman" w:hint="eastAsia"/>
                <w:szCs w:val="24"/>
              </w:rPr>
              <w:t>)</w:t>
            </w:r>
          </w:p>
          <w:p w:rsidR="00CE0FAF" w:rsidRDefault="00CE0FAF" w:rsidP="00AB4777">
            <w:pPr>
              <w:ind w:left="746" w:hangingChars="311" w:hanging="746"/>
              <w:rPr>
                <w:rFonts w:ascii="Times New Roman" w:eastAsia="標楷體" w:hAnsi="Times New Roman" w:cs="Times New Roman"/>
                <w:szCs w:val="24"/>
                <w:u w:val="single"/>
              </w:rPr>
            </w:pPr>
            <w:r w:rsidRPr="00DD6686">
              <w:rPr>
                <w:rFonts w:ascii="Times New Roman" w:eastAsia="標楷體" w:hAnsi="Times New Roman" w:cs="Times New Roman" w:hint="eastAsia"/>
                <w:szCs w:val="24"/>
                <w:u w:val="single"/>
              </w:rPr>
              <w:t>十</w:t>
            </w:r>
            <w:r>
              <w:rPr>
                <w:rFonts w:ascii="Times New Roman" w:eastAsia="標楷體" w:hAnsi="Times New Roman" w:cs="Times New Roman" w:hint="eastAsia"/>
                <w:szCs w:val="24"/>
                <w:u w:val="single"/>
              </w:rPr>
              <w:t>三</w:t>
            </w:r>
            <w:r w:rsidRPr="00DD6686">
              <w:rPr>
                <w:rFonts w:ascii="Times New Roman" w:eastAsia="標楷體" w:hAnsi="Times New Roman" w:cs="Times New Roman" w:hint="eastAsia"/>
                <w:szCs w:val="24"/>
                <w:u w:val="single"/>
              </w:rPr>
              <w:t>、</w:t>
            </w:r>
            <w:r>
              <w:rPr>
                <w:rFonts w:ascii="Times New Roman" w:eastAsia="標楷體" w:hAnsi="Times New Roman" w:cs="Times New Roman" w:hint="eastAsia"/>
                <w:szCs w:val="24"/>
                <w:u w:val="single"/>
              </w:rPr>
              <w:t>因</w:t>
            </w:r>
            <w:r>
              <w:rPr>
                <w:rFonts w:ascii="Times New Roman" w:eastAsia="標楷體" w:hAnsi="Times New Roman" w:cs="Times New Roman"/>
                <w:szCs w:val="24"/>
                <w:u w:val="single"/>
              </w:rPr>
              <w:t>前項第十</w:t>
            </w:r>
            <w:r>
              <w:rPr>
                <w:rFonts w:ascii="Times New Roman" w:eastAsia="標楷體" w:hAnsi="Times New Roman" w:cs="Times New Roman" w:hint="eastAsia"/>
                <w:szCs w:val="24"/>
                <w:u w:val="single"/>
              </w:rPr>
              <w:t>三款或</w:t>
            </w:r>
            <w:r w:rsidRPr="00921DE2">
              <w:rPr>
                <w:rFonts w:ascii="Times New Roman" w:eastAsia="標楷體" w:hAnsi="Times New Roman" w:cs="Times New Roman" w:hint="eastAsia"/>
                <w:szCs w:val="24"/>
                <w:u w:val="single"/>
              </w:rPr>
              <w:t>第</w:t>
            </w:r>
            <w:r w:rsidRPr="00921DE2">
              <w:rPr>
                <w:rFonts w:ascii="Times New Roman" w:eastAsia="標楷體" w:hAnsi="Times New Roman" w:cs="Times New Roman"/>
                <w:szCs w:val="24"/>
                <w:u w:val="single"/>
              </w:rPr>
              <w:t>十</w:t>
            </w:r>
            <w:r w:rsidRPr="00921DE2">
              <w:rPr>
                <w:rFonts w:ascii="Times New Roman" w:eastAsia="標楷體" w:hAnsi="Times New Roman" w:cs="Times New Roman" w:hint="eastAsia"/>
                <w:szCs w:val="24"/>
                <w:u w:val="single"/>
              </w:rPr>
              <w:t>四</w:t>
            </w:r>
            <w:r>
              <w:rPr>
                <w:rFonts w:ascii="Times New Roman" w:eastAsia="標楷體" w:hAnsi="Times New Roman" w:cs="Times New Roman"/>
                <w:szCs w:val="24"/>
                <w:u w:val="single"/>
              </w:rPr>
              <w:t>款停</w:t>
            </w:r>
            <w:r>
              <w:rPr>
                <w:rFonts w:ascii="Times New Roman" w:eastAsia="標楷體" w:hAnsi="Times New Roman" w:cs="Times New Roman" w:hint="eastAsia"/>
                <w:szCs w:val="24"/>
                <w:u w:val="single"/>
              </w:rPr>
              <w:t>止</w:t>
            </w:r>
            <w:r>
              <w:rPr>
                <w:rFonts w:ascii="Times New Roman" w:eastAsia="標楷體" w:hAnsi="Times New Roman" w:cs="Times New Roman"/>
                <w:szCs w:val="24"/>
                <w:u w:val="single"/>
              </w:rPr>
              <w:t>買賣後，</w:t>
            </w:r>
            <w:r>
              <w:rPr>
                <w:rFonts w:ascii="Times New Roman" w:eastAsia="標楷體" w:hAnsi="Times New Roman" w:cs="Times New Roman" w:hint="eastAsia"/>
                <w:szCs w:val="24"/>
                <w:u w:val="single"/>
              </w:rPr>
              <w:t>經</w:t>
            </w:r>
            <w:r>
              <w:rPr>
                <w:rFonts w:ascii="Times New Roman" w:eastAsia="標楷體" w:hAnsi="Times New Roman" w:cs="Times New Roman"/>
                <w:szCs w:val="24"/>
                <w:u w:val="single"/>
              </w:rPr>
              <w:t>依規定予以補正或改善者。</w:t>
            </w:r>
          </w:p>
          <w:p w:rsidR="00CE0FAF" w:rsidRPr="00172F4B" w:rsidRDefault="00CE0FAF" w:rsidP="00AB4777">
            <w:pPr>
              <w:ind w:left="746" w:hangingChars="311" w:hanging="746"/>
              <w:rPr>
                <w:rFonts w:ascii="標楷體" w:eastAsia="標楷體" w:hAnsi="標楷體" w:cs="細明體"/>
                <w:color w:val="000000"/>
                <w:kern w:val="0"/>
                <w:szCs w:val="24"/>
              </w:rPr>
            </w:pPr>
            <w:r w:rsidRPr="00172F4B">
              <w:rPr>
                <w:rFonts w:ascii="標楷體" w:eastAsia="標楷體" w:hAnsi="標楷體" w:cs="Times New Roman" w:hint="eastAsia"/>
                <w:szCs w:val="24"/>
                <w:u w:val="single"/>
              </w:rPr>
              <w:t>十四、</w:t>
            </w:r>
            <w:r w:rsidRPr="00172F4B">
              <w:rPr>
                <w:rFonts w:ascii="標楷體" w:eastAsia="標楷體" w:hAnsi="標楷體" w:cs="細明體" w:hint="eastAsia"/>
                <w:color w:val="000000"/>
                <w:kern w:val="0"/>
                <w:szCs w:val="24"/>
              </w:rPr>
              <w:t>因前項第十</w:t>
            </w:r>
            <w:r w:rsidRPr="00172F4B">
              <w:rPr>
                <w:rFonts w:ascii="標楷體" w:eastAsia="標楷體" w:hAnsi="標楷體" w:cs="細明體" w:hint="eastAsia"/>
                <w:color w:val="000000"/>
                <w:kern w:val="0"/>
                <w:szCs w:val="24"/>
                <w:u w:val="single"/>
              </w:rPr>
              <w:t>五</w:t>
            </w:r>
            <w:r w:rsidRPr="00172F4B">
              <w:rPr>
                <w:rFonts w:ascii="標楷體" w:eastAsia="標楷體" w:hAnsi="標楷體" w:cs="細明體" w:hint="eastAsia"/>
                <w:color w:val="000000"/>
                <w:kern w:val="0"/>
                <w:szCs w:val="24"/>
              </w:rPr>
              <w:t>款規定停止買賣後，經依相關章則規定予以補正或改善者。</w:t>
            </w:r>
          </w:p>
          <w:p w:rsidR="00CE0FAF" w:rsidRPr="00172F4B" w:rsidRDefault="00CE0FAF" w:rsidP="00DA7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ind w:firstLineChars="200" w:firstLine="480"/>
              <w:jc w:val="both"/>
              <w:rPr>
                <w:rFonts w:ascii="標楷體" w:eastAsia="標楷體" w:hAnsi="標楷體" w:cs="Times New Roman"/>
                <w:szCs w:val="24"/>
              </w:rPr>
            </w:pPr>
            <w:r>
              <w:rPr>
                <w:rFonts w:ascii="標楷體" w:eastAsia="標楷體" w:hAnsi="標楷體" w:cs="Times New Roman" w:hint="eastAsia"/>
                <w:szCs w:val="24"/>
              </w:rPr>
              <w:t>(以下略)</w:t>
            </w:r>
          </w:p>
        </w:tc>
        <w:tc>
          <w:tcPr>
            <w:tcW w:w="3119" w:type="dxa"/>
            <w:tcBorders>
              <w:top w:val="single" w:sz="4" w:space="0" w:color="auto"/>
              <w:bottom w:val="single" w:sz="4" w:space="0" w:color="auto"/>
            </w:tcBorders>
          </w:tcPr>
          <w:p w:rsidR="00CE0FAF" w:rsidRDefault="00CE0FAF" w:rsidP="00AB4777">
            <w:pPr>
              <w:rPr>
                <w:rFonts w:ascii="Times New Roman" w:eastAsia="標楷體" w:hAnsi="Times New Roman" w:cs="Times New Roman"/>
                <w:szCs w:val="24"/>
              </w:rPr>
            </w:pPr>
            <w:r w:rsidRPr="00544B03">
              <w:rPr>
                <w:rFonts w:ascii="Times New Roman" w:eastAsia="標楷體" w:hAnsi="Times New Roman" w:cs="Times New Roman" w:hint="eastAsia"/>
                <w:szCs w:val="24"/>
              </w:rPr>
              <w:lastRenderedPageBreak/>
              <w:t>第</w:t>
            </w:r>
            <w:r>
              <w:rPr>
                <w:rFonts w:ascii="Times New Roman" w:eastAsia="標楷體" w:hAnsi="Times New Roman" w:cs="Times New Roman" w:hint="eastAsia"/>
                <w:szCs w:val="24"/>
              </w:rPr>
              <w:t>五十</w:t>
            </w:r>
            <w:r w:rsidRPr="00544B03">
              <w:rPr>
                <w:rFonts w:ascii="Times New Roman" w:eastAsia="標楷體" w:hAnsi="Times New Roman" w:cs="Times New Roman"/>
                <w:szCs w:val="24"/>
              </w:rPr>
              <w:t>條</w:t>
            </w:r>
            <w:r>
              <w:rPr>
                <w:rFonts w:ascii="Times New Roman" w:eastAsia="標楷體" w:hAnsi="Times New Roman" w:cs="Times New Roman" w:hint="eastAsia"/>
                <w:szCs w:val="24"/>
              </w:rPr>
              <w:t>之三</w:t>
            </w:r>
          </w:p>
          <w:p w:rsidR="00CE0FAF" w:rsidRPr="00544B03" w:rsidRDefault="00CE0FAF" w:rsidP="00AB4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9E621A">
              <w:rPr>
                <w:rFonts w:ascii="Times New Roman" w:eastAsia="標楷體" w:hAnsi="Times New Roman" w:cs="Times New Roman" w:hint="eastAsia"/>
                <w:szCs w:val="24"/>
              </w:rPr>
              <w:t>第一上市公司有下列情事之一者，對其上市之有價證券應由本公司依證券交易法第一百六十五條之一準用第一百四十七條規定停止其買賣，並報請主管機關備查：</w:t>
            </w:r>
          </w:p>
          <w:p w:rsidR="00CE0FAF" w:rsidRDefault="00CE0FAF" w:rsidP="00DA7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ind w:firstLineChars="200" w:firstLine="480"/>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第</w:t>
            </w:r>
            <w:r>
              <w:rPr>
                <w:rFonts w:ascii="Times New Roman" w:eastAsia="標楷體" w:hAnsi="Times New Roman" w:cs="Times New Roman"/>
                <w:szCs w:val="24"/>
              </w:rPr>
              <w:t>一款至第十</w:t>
            </w:r>
            <w:r>
              <w:rPr>
                <w:rFonts w:ascii="Times New Roman" w:eastAsia="標楷體" w:hAnsi="Times New Roman" w:cs="Times New Roman" w:hint="eastAsia"/>
                <w:szCs w:val="24"/>
              </w:rPr>
              <w:t>二</w:t>
            </w:r>
            <w:r>
              <w:rPr>
                <w:rFonts w:ascii="Times New Roman" w:eastAsia="標楷體" w:hAnsi="Times New Roman" w:cs="Times New Roman"/>
                <w:szCs w:val="24"/>
              </w:rPr>
              <w:t>款略</w:t>
            </w:r>
            <w:r>
              <w:rPr>
                <w:rFonts w:ascii="Times New Roman" w:eastAsia="標楷體" w:hAnsi="Times New Roman" w:cs="Times New Roman" w:hint="eastAsia"/>
                <w:szCs w:val="24"/>
              </w:rPr>
              <w:t>)</w:t>
            </w:r>
          </w:p>
          <w:p w:rsidR="00CE0FAF" w:rsidRDefault="00CE0FAF" w:rsidP="00AB4777">
            <w:pPr>
              <w:ind w:left="746" w:hangingChars="311" w:hanging="746"/>
              <w:jc w:val="both"/>
              <w:rPr>
                <w:rFonts w:ascii="Times New Roman" w:eastAsia="標楷體" w:hAnsi="Times New Roman" w:cs="Times New Roman"/>
                <w:szCs w:val="24"/>
              </w:rPr>
            </w:pPr>
            <w:r w:rsidRPr="00CE0FAF">
              <w:rPr>
                <w:rFonts w:ascii="Times New Roman" w:eastAsia="標楷體" w:hAnsi="Times New Roman" w:cs="Times New Roman" w:hint="eastAsia"/>
                <w:szCs w:val="24"/>
                <w:u w:val="single"/>
              </w:rPr>
              <w:t>十三、</w:t>
            </w:r>
            <w:r w:rsidRPr="001D235B">
              <w:rPr>
                <w:rFonts w:ascii="Times New Roman" w:eastAsia="標楷體" w:hAnsi="Times New Roman" w:cs="Times New Roman" w:hint="eastAsia"/>
                <w:szCs w:val="24"/>
              </w:rPr>
              <w:t>其他有停止有價證券買賣必要之</w:t>
            </w:r>
            <w:r w:rsidRPr="009266EA">
              <w:rPr>
                <w:rFonts w:ascii="標楷體" w:eastAsia="標楷體" w:hAnsi="標楷體" w:cs="細明體" w:hint="eastAsia"/>
                <w:color w:val="000000"/>
              </w:rPr>
              <w:t>情事</w:t>
            </w:r>
            <w:r w:rsidRPr="001D235B">
              <w:rPr>
                <w:rFonts w:ascii="Times New Roman" w:eastAsia="標楷體" w:hAnsi="Times New Roman" w:cs="Times New Roman" w:hint="eastAsia"/>
                <w:szCs w:val="24"/>
              </w:rPr>
              <w:t>者。</w:t>
            </w:r>
          </w:p>
          <w:p w:rsidR="00CE0FAF" w:rsidRDefault="00CE0FAF" w:rsidP="00AB4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p>
          <w:p w:rsidR="00CE0FAF" w:rsidRDefault="00CE0FAF" w:rsidP="00AB4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jc w:val="both"/>
              <w:rPr>
                <w:rFonts w:ascii="Times New Roman" w:eastAsia="標楷體" w:hAnsi="Times New Roman" w:cs="Times New Roman"/>
                <w:szCs w:val="24"/>
              </w:rPr>
            </w:pPr>
          </w:p>
          <w:p w:rsidR="00CE0FAF" w:rsidRDefault="00CE0FAF" w:rsidP="00AB4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jc w:val="both"/>
              <w:rPr>
                <w:rFonts w:ascii="Times New Roman" w:eastAsia="標楷體" w:hAnsi="Times New Roman" w:cs="Times New Roman"/>
                <w:szCs w:val="24"/>
              </w:rPr>
            </w:pPr>
          </w:p>
          <w:p w:rsidR="00CE0FAF" w:rsidRDefault="00CE0FAF" w:rsidP="00AB4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jc w:val="both"/>
              <w:rPr>
                <w:rFonts w:ascii="Times New Roman" w:eastAsia="標楷體" w:hAnsi="Times New Roman" w:cs="Times New Roman"/>
                <w:szCs w:val="24"/>
              </w:rPr>
            </w:pPr>
          </w:p>
          <w:p w:rsidR="00CE0FAF" w:rsidRDefault="00CE0FAF" w:rsidP="00AB4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jc w:val="both"/>
              <w:rPr>
                <w:rFonts w:ascii="Times New Roman" w:eastAsia="標楷體" w:hAnsi="Times New Roman" w:cs="Times New Roman"/>
                <w:szCs w:val="24"/>
              </w:rPr>
            </w:pPr>
          </w:p>
          <w:p w:rsidR="00CE0FAF" w:rsidRDefault="00CE0FAF" w:rsidP="00AB4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jc w:val="both"/>
              <w:rPr>
                <w:rFonts w:ascii="Times New Roman" w:eastAsia="標楷體" w:hAnsi="Times New Roman" w:cs="Times New Roman"/>
                <w:szCs w:val="24"/>
              </w:rPr>
            </w:pPr>
          </w:p>
          <w:p w:rsidR="00CE0FAF" w:rsidRDefault="00CE0FAF" w:rsidP="00AB4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jc w:val="both"/>
              <w:rPr>
                <w:rFonts w:ascii="Times New Roman" w:eastAsia="標楷體" w:hAnsi="Times New Roman" w:cs="Times New Roman"/>
                <w:szCs w:val="24"/>
              </w:rPr>
            </w:pPr>
          </w:p>
          <w:p w:rsidR="00CE0FAF" w:rsidRDefault="00CE0FAF" w:rsidP="00AB4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jc w:val="both"/>
              <w:rPr>
                <w:rFonts w:ascii="Times New Roman" w:eastAsia="標楷體" w:hAnsi="Times New Roman" w:cs="Times New Roman"/>
                <w:szCs w:val="24"/>
              </w:rPr>
            </w:pPr>
          </w:p>
          <w:p w:rsidR="00CE0FAF" w:rsidRDefault="00CE0FAF" w:rsidP="00AB4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jc w:val="both"/>
              <w:rPr>
                <w:rFonts w:ascii="Times New Roman" w:eastAsia="標楷體" w:hAnsi="Times New Roman" w:cs="Times New Roman"/>
                <w:szCs w:val="24"/>
              </w:rPr>
            </w:pPr>
          </w:p>
          <w:p w:rsidR="00CE0FAF" w:rsidRDefault="00CE0FAF" w:rsidP="00AB4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jc w:val="both"/>
              <w:rPr>
                <w:rFonts w:ascii="Times New Roman" w:eastAsia="標楷體" w:hAnsi="Times New Roman" w:cs="Times New Roman"/>
                <w:szCs w:val="24"/>
              </w:rPr>
            </w:pPr>
          </w:p>
          <w:p w:rsidR="00CE0FAF" w:rsidRDefault="00CE0FAF" w:rsidP="00AB4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jc w:val="both"/>
              <w:rPr>
                <w:rFonts w:ascii="Times New Roman" w:eastAsia="標楷體" w:hAnsi="Times New Roman" w:cs="Times New Roman"/>
                <w:szCs w:val="24"/>
              </w:rPr>
            </w:pPr>
          </w:p>
          <w:p w:rsidR="00CE0FAF" w:rsidRDefault="00CE0FAF" w:rsidP="00AB4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jc w:val="both"/>
              <w:rPr>
                <w:rFonts w:ascii="Times New Roman" w:eastAsia="標楷體" w:hAnsi="Times New Roman" w:cs="Times New Roman"/>
                <w:szCs w:val="24"/>
              </w:rPr>
            </w:pPr>
          </w:p>
          <w:p w:rsidR="00CE0FAF" w:rsidRDefault="00CE0FAF" w:rsidP="00AB4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jc w:val="both"/>
              <w:rPr>
                <w:rFonts w:ascii="Times New Roman" w:eastAsia="標楷體" w:hAnsi="Times New Roman" w:cs="Times New Roman"/>
                <w:szCs w:val="24"/>
              </w:rPr>
            </w:pPr>
          </w:p>
          <w:p w:rsidR="00CE0FAF" w:rsidRDefault="00CE0FAF" w:rsidP="00AB4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jc w:val="both"/>
              <w:rPr>
                <w:rFonts w:ascii="Times New Roman" w:eastAsia="標楷體" w:hAnsi="Times New Roman" w:cs="Times New Roman"/>
                <w:szCs w:val="24"/>
              </w:rPr>
            </w:pPr>
          </w:p>
          <w:p w:rsidR="001E535F" w:rsidRDefault="001E535F" w:rsidP="001E535F">
            <w:pPr>
              <w:rPr>
                <w:rFonts w:ascii="Times New Roman" w:eastAsia="標楷體" w:hAnsi="Times New Roman" w:cs="Times New Roman"/>
                <w:szCs w:val="24"/>
              </w:rPr>
            </w:pPr>
          </w:p>
          <w:p w:rsidR="00DA7921" w:rsidRDefault="00DA7921" w:rsidP="00DA7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jc w:val="both"/>
              <w:rPr>
                <w:rFonts w:ascii="Times New Roman" w:eastAsia="標楷體" w:hAnsi="Times New Roman" w:cs="Times New Roman"/>
                <w:szCs w:val="24"/>
              </w:rPr>
            </w:pPr>
          </w:p>
          <w:p w:rsidR="00CE0FAF" w:rsidRPr="00B22F0E" w:rsidRDefault="00CE0FAF" w:rsidP="00AB4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jc w:val="both"/>
              <w:rPr>
                <w:rFonts w:ascii="Times New Roman" w:eastAsia="標楷體" w:hAnsi="Times New Roman" w:cs="Times New Roman"/>
                <w:szCs w:val="24"/>
              </w:rPr>
            </w:pPr>
            <w:r w:rsidRPr="00B22F0E">
              <w:rPr>
                <w:rFonts w:ascii="Times New Roman" w:eastAsia="標楷體" w:hAnsi="Times New Roman" w:cs="Times New Roman" w:hint="eastAsia"/>
                <w:szCs w:val="24"/>
              </w:rPr>
              <w:t>第一上市公司因有前項各款規定情事之一，致其上市之有價證券經停止買賣者，符合下列各該款之規定，且無前項其他各款規定情事，本公司得依證券交易法第一百六十五條之一準用第一百四十七條規定，公告恢復其有價證券之買賣，並報請主管機關備查：</w:t>
            </w:r>
          </w:p>
          <w:p w:rsidR="00CE0FAF" w:rsidRDefault="00CE0FAF" w:rsidP="00DA7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ind w:firstLineChars="200" w:firstLine="480"/>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第</w:t>
            </w:r>
            <w:r>
              <w:rPr>
                <w:rFonts w:ascii="Times New Roman" w:eastAsia="標楷體" w:hAnsi="Times New Roman" w:cs="Times New Roman"/>
                <w:szCs w:val="24"/>
              </w:rPr>
              <w:t>一款至第十</w:t>
            </w:r>
            <w:r>
              <w:rPr>
                <w:rFonts w:ascii="Times New Roman" w:eastAsia="標楷體" w:hAnsi="Times New Roman" w:cs="Times New Roman" w:hint="eastAsia"/>
                <w:szCs w:val="24"/>
              </w:rPr>
              <w:t>二</w:t>
            </w:r>
            <w:r>
              <w:rPr>
                <w:rFonts w:ascii="Times New Roman" w:eastAsia="標楷體" w:hAnsi="Times New Roman" w:cs="Times New Roman"/>
                <w:szCs w:val="24"/>
              </w:rPr>
              <w:t>款略</w:t>
            </w:r>
            <w:r>
              <w:rPr>
                <w:rFonts w:ascii="Times New Roman" w:eastAsia="標楷體" w:hAnsi="Times New Roman" w:cs="Times New Roman" w:hint="eastAsia"/>
                <w:szCs w:val="24"/>
              </w:rPr>
              <w:t>)</w:t>
            </w:r>
          </w:p>
          <w:p w:rsidR="00CE0FAF" w:rsidRDefault="00CE0FAF" w:rsidP="00AB4777">
            <w:pPr>
              <w:ind w:left="746" w:hangingChars="311" w:hanging="746"/>
              <w:jc w:val="both"/>
              <w:rPr>
                <w:rFonts w:ascii="標楷體" w:eastAsia="標楷體" w:hAnsi="標楷體" w:cs="細明體"/>
                <w:color w:val="000000"/>
                <w:kern w:val="0"/>
                <w:szCs w:val="24"/>
              </w:rPr>
            </w:pPr>
            <w:r w:rsidRPr="00DB05B1">
              <w:rPr>
                <w:rFonts w:ascii="Times New Roman" w:eastAsia="標楷體" w:hAnsi="Times New Roman" w:cs="Times New Roman" w:hint="eastAsia"/>
                <w:szCs w:val="24"/>
                <w:u w:val="single"/>
              </w:rPr>
              <w:t>十三</w:t>
            </w:r>
            <w:r>
              <w:rPr>
                <w:rFonts w:ascii="Times New Roman" w:eastAsia="標楷體" w:hAnsi="Times New Roman" w:cs="Times New Roman" w:hint="eastAsia"/>
                <w:szCs w:val="24"/>
              </w:rPr>
              <w:t>、</w:t>
            </w:r>
            <w:r w:rsidRPr="00172F4B">
              <w:rPr>
                <w:rFonts w:ascii="標楷體" w:eastAsia="標楷體" w:hAnsi="標楷體" w:cs="細明體" w:hint="eastAsia"/>
                <w:color w:val="000000"/>
                <w:kern w:val="0"/>
                <w:szCs w:val="24"/>
              </w:rPr>
              <w:t>因前項第十</w:t>
            </w:r>
            <w:r w:rsidRPr="00DB05B1">
              <w:rPr>
                <w:rFonts w:ascii="標楷體" w:eastAsia="標楷體" w:hAnsi="標楷體" w:cs="細明體" w:hint="eastAsia"/>
                <w:color w:val="000000"/>
                <w:kern w:val="0"/>
                <w:szCs w:val="24"/>
                <w:u w:val="single"/>
              </w:rPr>
              <w:t>三</w:t>
            </w:r>
            <w:r w:rsidRPr="00172F4B">
              <w:rPr>
                <w:rFonts w:ascii="標楷體" w:eastAsia="標楷體" w:hAnsi="標楷體" w:cs="細明體" w:hint="eastAsia"/>
                <w:color w:val="000000"/>
                <w:kern w:val="0"/>
                <w:szCs w:val="24"/>
              </w:rPr>
              <w:t>款規定停止買賣後，經依相關章則規定予以補正或改善者。</w:t>
            </w:r>
          </w:p>
          <w:p w:rsidR="00CE0FAF" w:rsidRPr="00544B03" w:rsidRDefault="00CE0FAF" w:rsidP="00DA79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ind w:firstLineChars="200" w:firstLine="480"/>
              <w:jc w:val="both"/>
              <w:rPr>
                <w:rFonts w:ascii="Times New Roman" w:eastAsia="標楷體" w:hAnsi="Times New Roman" w:cs="Times New Roman"/>
                <w:szCs w:val="24"/>
              </w:rPr>
            </w:pPr>
            <w:r>
              <w:rPr>
                <w:rFonts w:ascii="標楷體" w:eastAsia="標楷體" w:hAnsi="標楷體" w:cs="Times New Roman" w:hint="eastAsia"/>
                <w:szCs w:val="24"/>
              </w:rPr>
              <w:t>(以下略)</w:t>
            </w:r>
          </w:p>
        </w:tc>
        <w:tc>
          <w:tcPr>
            <w:tcW w:w="2585" w:type="dxa"/>
            <w:tcBorders>
              <w:top w:val="single" w:sz="4" w:space="0" w:color="auto"/>
              <w:bottom w:val="single" w:sz="4" w:space="0" w:color="auto"/>
            </w:tcBorders>
          </w:tcPr>
          <w:p w:rsidR="00CE0FAF" w:rsidRPr="001E400A" w:rsidRDefault="00CE0FAF" w:rsidP="00ED6A34">
            <w:pPr>
              <w:jc w:val="both"/>
              <w:rPr>
                <w:rFonts w:ascii="標楷體" w:eastAsia="標楷體" w:hAnsi="標楷體"/>
                <w:color w:val="000000"/>
              </w:rPr>
            </w:pPr>
            <w:r>
              <w:rPr>
                <w:rFonts w:ascii="標楷體" w:eastAsia="標楷體" w:hAnsi="標楷體" w:hint="eastAsia"/>
                <w:color w:val="000000"/>
              </w:rPr>
              <w:lastRenderedPageBreak/>
              <w:t>修正理由同第</w:t>
            </w:r>
            <w:r w:rsidR="00ED6A34">
              <w:rPr>
                <w:rFonts w:ascii="標楷體" w:eastAsia="標楷體" w:hAnsi="標楷體" w:hint="eastAsia"/>
                <w:color w:val="000000"/>
              </w:rPr>
              <w:t>五十</w:t>
            </w:r>
            <w:r>
              <w:rPr>
                <w:rFonts w:ascii="標楷體" w:eastAsia="標楷體" w:hAnsi="標楷體" w:hint="eastAsia"/>
                <w:color w:val="000000"/>
              </w:rPr>
              <w:t>條。</w:t>
            </w:r>
          </w:p>
        </w:tc>
      </w:tr>
    </w:tbl>
    <w:p w:rsidR="00D1361B" w:rsidRPr="00931614" w:rsidRDefault="00D1361B" w:rsidP="0048102E"/>
    <w:sectPr w:rsidR="00D1361B" w:rsidRPr="009316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889" w:rsidRDefault="00A91889" w:rsidP="0048102E">
      <w:r>
        <w:separator/>
      </w:r>
    </w:p>
  </w:endnote>
  <w:endnote w:type="continuationSeparator" w:id="0">
    <w:p w:rsidR="00A91889" w:rsidRDefault="00A91889" w:rsidP="0048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889" w:rsidRDefault="00A91889" w:rsidP="0048102E">
      <w:r>
        <w:separator/>
      </w:r>
    </w:p>
  </w:footnote>
  <w:footnote w:type="continuationSeparator" w:id="0">
    <w:p w:rsidR="00A91889" w:rsidRDefault="00A91889" w:rsidP="00481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D4D31"/>
    <w:multiLevelType w:val="hybridMultilevel"/>
    <w:tmpl w:val="C756AC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14"/>
    <w:rsid w:val="000F4690"/>
    <w:rsid w:val="00152DED"/>
    <w:rsid w:val="0017314C"/>
    <w:rsid w:val="001E535F"/>
    <w:rsid w:val="002B07BC"/>
    <w:rsid w:val="0037743A"/>
    <w:rsid w:val="004055A7"/>
    <w:rsid w:val="0048102E"/>
    <w:rsid w:val="004C6EBB"/>
    <w:rsid w:val="00547E1C"/>
    <w:rsid w:val="00620410"/>
    <w:rsid w:val="006C1210"/>
    <w:rsid w:val="00833205"/>
    <w:rsid w:val="00892673"/>
    <w:rsid w:val="008B6957"/>
    <w:rsid w:val="00906CAB"/>
    <w:rsid w:val="00931614"/>
    <w:rsid w:val="00A91889"/>
    <w:rsid w:val="00B578F0"/>
    <w:rsid w:val="00C87D65"/>
    <w:rsid w:val="00CD3649"/>
    <w:rsid w:val="00CE0FAF"/>
    <w:rsid w:val="00D10407"/>
    <w:rsid w:val="00D1361B"/>
    <w:rsid w:val="00D24E56"/>
    <w:rsid w:val="00DA7921"/>
    <w:rsid w:val="00DB6B0C"/>
    <w:rsid w:val="00DC2DBB"/>
    <w:rsid w:val="00DD6686"/>
    <w:rsid w:val="00EC6361"/>
    <w:rsid w:val="00ED6A34"/>
    <w:rsid w:val="00EF1F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C5DDD"/>
  <w15:chartTrackingRefBased/>
  <w15:docId w15:val="{F2872100-470E-46E8-9E22-B5F84AFD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61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926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rPr>
  </w:style>
  <w:style w:type="character" w:customStyle="1" w:styleId="HTML0">
    <w:name w:val="HTML 預設格式 字元"/>
    <w:basedOn w:val="a0"/>
    <w:link w:val="HTML"/>
    <w:uiPriority w:val="99"/>
    <w:rsid w:val="00892673"/>
    <w:rPr>
      <w:rFonts w:ascii="細明體" w:eastAsia="細明體" w:hAnsi="細明體" w:cs="細明體"/>
      <w:kern w:val="0"/>
      <w:sz w:val="22"/>
    </w:rPr>
  </w:style>
  <w:style w:type="paragraph" w:styleId="a3">
    <w:name w:val="List Paragraph"/>
    <w:basedOn w:val="a"/>
    <w:uiPriority w:val="34"/>
    <w:qFormat/>
    <w:rsid w:val="00892673"/>
    <w:pPr>
      <w:ind w:leftChars="200" w:left="480"/>
    </w:pPr>
  </w:style>
  <w:style w:type="paragraph" w:styleId="a4">
    <w:name w:val="Balloon Text"/>
    <w:basedOn w:val="a"/>
    <w:link w:val="a5"/>
    <w:uiPriority w:val="99"/>
    <w:semiHidden/>
    <w:unhideWhenUsed/>
    <w:rsid w:val="00906CA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06CAB"/>
    <w:rPr>
      <w:rFonts w:asciiTheme="majorHAnsi" w:eastAsiaTheme="majorEastAsia" w:hAnsiTheme="majorHAnsi" w:cstheme="majorBidi"/>
      <w:sz w:val="18"/>
      <w:szCs w:val="18"/>
    </w:rPr>
  </w:style>
  <w:style w:type="paragraph" w:styleId="a6">
    <w:name w:val="header"/>
    <w:basedOn w:val="a"/>
    <w:link w:val="a7"/>
    <w:uiPriority w:val="99"/>
    <w:unhideWhenUsed/>
    <w:rsid w:val="0048102E"/>
    <w:pPr>
      <w:tabs>
        <w:tab w:val="center" w:pos="4153"/>
        <w:tab w:val="right" w:pos="8306"/>
      </w:tabs>
      <w:snapToGrid w:val="0"/>
    </w:pPr>
    <w:rPr>
      <w:sz w:val="20"/>
      <w:szCs w:val="20"/>
    </w:rPr>
  </w:style>
  <w:style w:type="character" w:customStyle="1" w:styleId="a7">
    <w:name w:val="頁首 字元"/>
    <w:basedOn w:val="a0"/>
    <w:link w:val="a6"/>
    <w:uiPriority w:val="99"/>
    <w:rsid w:val="0048102E"/>
    <w:rPr>
      <w:sz w:val="20"/>
      <w:szCs w:val="20"/>
    </w:rPr>
  </w:style>
  <w:style w:type="paragraph" w:styleId="a8">
    <w:name w:val="footer"/>
    <w:basedOn w:val="a"/>
    <w:link w:val="a9"/>
    <w:uiPriority w:val="99"/>
    <w:unhideWhenUsed/>
    <w:rsid w:val="0048102E"/>
    <w:pPr>
      <w:tabs>
        <w:tab w:val="center" w:pos="4153"/>
        <w:tab w:val="right" w:pos="8306"/>
      </w:tabs>
      <w:snapToGrid w:val="0"/>
    </w:pPr>
    <w:rPr>
      <w:sz w:val="20"/>
      <w:szCs w:val="20"/>
    </w:rPr>
  </w:style>
  <w:style w:type="character" w:customStyle="1" w:styleId="a9">
    <w:name w:val="頁尾 字元"/>
    <w:basedOn w:val="a0"/>
    <w:link w:val="a8"/>
    <w:uiPriority w:val="99"/>
    <w:rsid w:val="0048102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48712">
      <w:bodyDiv w:val="1"/>
      <w:marLeft w:val="0"/>
      <w:marRight w:val="0"/>
      <w:marTop w:val="0"/>
      <w:marBottom w:val="0"/>
      <w:divBdr>
        <w:top w:val="none" w:sz="0" w:space="0" w:color="auto"/>
        <w:left w:val="none" w:sz="0" w:space="0" w:color="auto"/>
        <w:bottom w:val="none" w:sz="0" w:space="0" w:color="auto"/>
        <w:right w:val="none" w:sz="0" w:space="0" w:color="auto"/>
      </w:divBdr>
    </w:div>
    <w:div w:id="110422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陳怡靜</dc:creator>
  <cp:keywords/>
  <dc:description/>
  <cp:lastModifiedBy>陳怡靜</cp:lastModifiedBy>
  <cp:revision>2</cp:revision>
  <cp:lastPrinted>2019-02-12T10:11:00Z</cp:lastPrinted>
  <dcterms:created xsi:type="dcterms:W3CDTF">2019-03-20T08:37:00Z</dcterms:created>
  <dcterms:modified xsi:type="dcterms:W3CDTF">2019-03-20T08:37:00Z</dcterms:modified>
</cp:coreProperties>
</file>