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B2" w:rsidRDefault="00E123B0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>臺灣證券交易所股份有限公司　公告</w:t>
      </w:r>
    </w:p>
    <w:p w:rsidR="002078B2" w:rsidRDefault="002078B2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2078B2" w:rsidRDefault="00E123B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發文日期：中華民國</w:t>
      </w:r>
      <w:r>
        <w:rPr>
          <w:rFonts w:ascii="標楷體" w:eastAsia="標楷體" w:cs="標楷體"/>
          <w:kern w:val="0"/>
          <w:szCs w:val="24"/>
          <w:lang w:val="zh-TW"/>
        </w:rPr>
        <w:t>106</w:t>
      </w:r>
      <w:r>
        <w:rPr>
          <w:rFonts w:ascii="標楷體" w:eastAsia="標楷體" w:cs="標楷體" w:hint="eastAsia"/>
          <w:kern w:val="0"/>
          <w:szCs w:val="24"/>
          <w:lang w:val="zh-TW"/>
        </w:rPr>
        <w:t>年</w:t>
      </w:r>
      <w:r>
        <w:rPr>
          <w:rFonts w:ascii="標楷體" w:eastAsia="標楷體" w:cs="標楷體"/>
          <w:kern w:val="0"/>
          <w:szCs w:val="24"/>
          <w:lang w:val="zh-TW"/>
        </w:rPr>
        <w:t>5</w:t>
      </w:r>
      <w:r>
        <w:rPr>
          <w:rFonts w:ascii="標楷體" w:eastAsia="標楷體" w:cs="標楷體" w:hint="eastAsia"/>
          <w:kern w:val="0"/>
          <w:szCs w:val="24"/>
          <w:lang w:val="zh-TW"/>
        </w:rPr>
        <w:t>月</w:t>
      </w:r>
      <w:r>
        <w:rPr>
          <w:rFonts w:ascii="標楷體" w:eastAsia="標楷體" w:cs="標楷體"/>
          <w:kern w:val="0"/>
          <w:szCs w:val="24"/>
          <w:lang w:val="zh-TW"/>
        </w:rPr>
        <w:t>2</w:t>
      </w:r>
      <w:r>
        <w:rPr>
          <w:rFonts w:ascii="標楷體" w:eastAsia="標楷體" w:cs="標楷體" w:hint="eastAsia"/>
          <w:kern w:val="0"/>
          <w:szCs w:val="24"/>
          <w:lang w:val="zh-TW"/>
        </w:rPr>
        <w:t>日</w:t>
      </w:r>
    </w:p>
    <w:p w:rsidR="002078B2" w:rsidRDefault="00E123B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文　號：</w:t>
      </w:r>
      <w:proofErr w:type="gramStart"/>
      <w:r>
        <w:rPr>
          <w:rFonts w:ascii="標楷體" w:eastAsia="標楷體" w:cs="標楷體" w:hint="eastAsia"/>
          <w:kern w:val="0"/>
          <w:szCs w:val="24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Cs w:val="24"/>
          <w:lang w:val="zh-TW"/>
        </w:rPr>
        <w:t>證上一字第</w:t>
      </w:r>
      <w:r>
        <w:rPr>
          <w:rFonts w:ascii="標楷體" w:eastAsia="標楷體" w:cs="標楷體"/>
          <w:kern w:val="0"/>
          <w:szCs w:val="24"/>
          <w:lang w:val="zh-TW"/>
        </w:rPr>
        <w:t>1060007496</w:t>
      </w:r>
      <w:r>
        <w:rPr>
          <w:rFonts w:ascii="標楷體" w:eastAsia="標楷體" w:cs="標楷體" w:hint="eastAsia"/>
          <w:kern w:val="0"/>
          <w:szCs w:val="24"/>
          <w:lang w:val="zh-TW"/>
        </w:rPr>
        <w:t>號</w:t>
      </w:r>
    </w:p>
    <w:p w:rsidR="002078B2" w:rsidRDefault="002078B2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2078B2" w:rsidRDefault="00E123B0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主旨：修訂「金融業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會計項目及代碼」及「金融控股公司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會計項目及代碼」如附件。</w:t>
      </w:r>
    </w:p>
    <w:p w:rsidR="002078B2" w:rsidRDefault="00E123B0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依據：案經報奉金融監督管理委員會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下稱金管會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日銀局（法）字第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10600085410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號准</w:t>
      </w:r>
      <w:r w:rsidR="001107FA">
        <w:rPr>
          <w:rFonts w:ascii="標楷體" w:eastAsia="標楷體" w:cs="標楷體" w:hint="eastAsia"/>
          <w:kern w:val="0"/>
          <w:sz w:val="32"/>
          <w:szCs w:val="32"/>
          <w:lang w:val="zh-TW"/>
        </w:rPr>
        <w:t>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備查。</w:t>
      </w:r>
    </w:p>
    <w:p w:rsidR="002078B2" w:rsidRDefault="00E123B0">
      <w:pPr>
        <w:autoSpaceDE w:val="0"/>
        <w:autoSpaceDN w:val="0"/>
        <w:adjustRightInd w:val="0"/>
        <w:ind w:left="1600" w:hanging="160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公告事項：　</w:t>
      </w:r>
    </w:p>
    <w:p w:rsidR="002078B2" w:rsidRDefault="00E123B0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一、為我國於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採逐號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認可之國際財務報導準則（以下簡稱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），經參酌金管會銀行局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日金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管銀法字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10610000830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號修訂發布之「金融控股公司財務報告編製準則」、「公開發行銀行財務報告編製準則」、「公開發行票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金融公司財務報告編製準則」、檢查局單一申報窗口之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AI201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AI210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CI201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CI210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報表及金管會認可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年適用之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內容，配合修改本公司之「金融業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會計項目及代碼」及「金融控股公司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會計項目及代碼」如附件。前開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附件亦置於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本公司網站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http://www.twse.com.tw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市場公告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公文查詢」供下載。</w:t>
      </w:r>
    </w:p>
    <w:p w:rsidR="002078B2" w:rsidRDefault="00E123B0">
      <w:pPr>
        <w:autoSpaceDE w:val="0"/>
        <w:autoSpaceDN w:val="0"/>
        <w:adjustRightInd w:val="0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二、本次修正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內容摘述如下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2078B2" w:rsidRDefault="00E123B0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金融控股公司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會計項目及代碼：</w:t>
      </w:r>
    </w:p>
    <w:p w:rsidR="002078B2" w:rsidRDefault="00E123B0">
      <w:pPr>
        <w:autoSpaceDE w:val="0"/>
        <w:autoSpaceDN w:val="0"/>
        <w:adjustRightInd w:val="0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１、新增「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13400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淨額」、「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13403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13404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累計減損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32553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與待分配予業主之資產直接相關之權益」、「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分類至待出售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資產之現金及約當現金」及「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E00214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分類至待分配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與業主之資產之現金及約當現金」等項目。</w:t>
      </w:r>
    </w:p>
    <w:p w:rsidR="002078B2" w:rsidRDefault="00E123B0">
      <w:pPr>
        <w:autoSpaceDE w:val="0"/>
        <w:autoSpaceDN w:val="0"/>
        <w:adjustRightInd w:val="0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酌修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累計減損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待出售資產」等項目。</w:t>
      </w:r>
    </w:p>
    <w:p w:rsidR="002078B2" w:rsidRDefault="00E123B0">
      <w:pPr>
        <w:autoSpaceDE w:val="0"/>
        <w:autoSpaceDN w:val="0"/>
        <w:adjustRightInd w:val="0"/>
        <w:ind w:left="128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金融業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IFRSs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會計項目及代碼：</w:t>
      </w:r>
    </w:p>
    <w:p w:rsidR="002078B2" w:rsidRDefault="00E123B0">
      <w:pPr>
        <w:autoSpaceDE w:val="0"/>
        <w:autoSpaceDN w:val="0"/>
        <w:adjustRightInd w:val="0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１、新增「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13400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淨額」、「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13403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13404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累計減損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待分配予業主之資產」、「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32553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與待分配予業主之資產直接相關之權益」、「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E00212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分類至待出售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資產之現金及約當現金」及「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E00214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分類至待分配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與業主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之資產之現金及約當現金」等項目。</w:t>
      </w:r>
    </w:p>
    <w:p w:rsidR="002078B2" w:rsidRDefault="00E123B0">
      <w:pPr>
        <w:autoSpaceDE w:val="0"/>
        <w:autoSpaceDN w:val="0"/>
        <w:adjustRightInd w:val="0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酌修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13311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13312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累計減損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-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45041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待出售資產減損迴轉利益」、「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55041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待出售資產減損損失」等項目。</w:t>
      </w:r>
    </w:p>
    <w:p w:rsidR="002078B2" w:rsidRDefault="00D8179B">
      <w:pPr>
        <w:autoSpaceDE w:val="0"/>
        <w:autoSpaceDN w:val="0"/>
        <w:adjustRightInd w:val="0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078B2">
        <w:rPr>
          <w:rFonts w:ascii="標楷體" w:eastAsia="標楷體" w:cs="標楷體"/>
          <w:kern w:val="0"/>
          <w:sz w:val="32"/>
          <w:szCs w:val="32"/>
          <w:lang w:val="zh-TW"/>
        </w:rPr>
        <w:object w:dxaOrig="1501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46.2pt" o:ole="">
            <v:imagedata r:id="rId6" o:title=""/>
          </v:shape>
          <o:OLEObject Type="Embed" ProgID="Excel.Sheet.12" ShapeID="_x0000_i1025" DrawAspect="Icon" ObjectID="_1555313844" r:id="rId7"/>
        </w:object>
      </w:r>
      <w:r w:rsidRPr="002078B2">
        <w:rPr>
          <w:rFonts w:ascii="標楷體" w:eastAsia="標楷體" w:cs="標楷體"/>
          <w:kern w:val="0"/>
          <w:sz w:val="32"/>
          <w:szCs w:val="32"/>
          <w:lang w:val="zh-TW"/>
        </w:rPr>
        <w:object w:dxaOrig="1501" w:dyaOrig="920">
          <v:shape id="_x0000_i1026" type="#_x0000_t75" style="width:74.9pt;height:46.2pt" o:ole="">
            <v:imagedata r:id="rId8" o:title=""/>
          </v:shape>
          <o:OLEObject Type="Embed" ProgID="Excel.Sheet.12" ShapeID="_x0000_i1026" DrawAspect="Icon" ObjectID="_1555313845" r:id="rId9"/>
        </w:object>
      </w:r>
    </w:p>
    <w:p w:rsidR="002078B2" w:rsidRDefault="00E123B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正本：</w:t>
      </w:r>
    </w:p>
    <w:p w:rsidR="00E123B0" w:rsidRDefault="00E123B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副本：</w:t>
      </w:r>
    </w:p>
    <w:sectPr w:rsidR="00E123B0" w:rsidSect="002078B2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4C" w:rsidRDefault="003A354C" w:rsidP="00DE087E">
      <w:r>
        <w:separator/>
      </w:r>
    </w:p>
  </w:endnote>
  <w:endnote w:type="continuationSeparator" w:id="0">
    <w:p w:rsidR="003A354C" w:rsidRDefault="003A354C" w:rsidP="00DE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4C" w:rsidRDefault="003A354C" w:rsidP="00DE087E">
      <w:r>
        <w:separator/>
      </w:r>
    </w:p>
  </w:footnote>
  <w:footnote w:type="continuationSeparator" w:id="0">
    <w:p w:rsidR="003A354C" w:rsidRDefault="003A354C" w:rsidP="00DE0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87E"/>
    <w:rsid w:val="001107FA"/>
    <w:rsid w:val="002078B2"/>
    <w:rsid w:val="003A354C"/>
    <w:rsid w:val="00423BF0"/>
    <w:rsid w:val="00D8179B"/>
    <w:rsid w:val="00DE087E"/>
    <w:rsid w:val="00E1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087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E0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087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2.xls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5</cp:revision>
  <dcterms:created xsi:type="dcterms:W3CDTF">2017-05-03T02:48:00Z</dcterms:created>
  <dcterms:modified xsi:type="dcterms:W3CDTF">2017-05-03T02:51:00Z</dcterms:modified>
</cp:coreProperties>
</file>