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DFD" w:rsidRPr="006E3B2D" w:rsidRDefault="006E3B2D">
      <w:pPr>
        <w:rPr>
          <w:szCs w:val="24"/>
        </w:rPr>
      </w:pPr>
      <w:r>
        <w:rPr>
          <w:rFonts w:hint="eastAsia"/>
        </w:rPr>
        <w:t>113 vs 1</w:t>
      </w:r>
      <w:r w:rsidRPr="006E3B2D">
        <w:rPr>
          <w:rFonts w:hint="eastAsia"/>
          <w:szCs w:val="24"/>
        </w:rPr>
        <w:t>12</w:t>
      </w:r>
    </w:p>
    <w:tbl>
      <w:tblPr>
        <w:tblW w:w="0" w:type="auto"/>
        <w:tblInd w:w="13" w:type="dxa"/>
        <w:tblLayout w:type="fixed"/>
        <w:tblCellMar>
          <w:left w:w="28" w:type="dxa"/>
          <w:right w:w="28" w:type="dxa"/>
        </w:tblCellMar>
        <w:tblLook w:val="04A0" w:firstRow="1" w:lastRow="0" w:firstColumn="1" w:lastColumn="0" w:noHBand="0" w:noVBand="1"/>
      </w:tblPr>
      <w:tblGrid>
        <w:gridCol w:w="537"/>
        <w:gridCol w:w="1705"/>
        <w:gridCol w:w="1175"/>
        <w:gridCol w:w="1134"/>
        <w:gridCol w:w="1985"/>
        <w:gridCol w:w="7465"/>
      </w:tblGrid>
      <w:tr w:rsidR="00D23B47" w:rsidRPr="006E3B2D" w:rsidTr="007D0E56">
        <w:trPr>
          <w:tblHeader/>
        </w:trPr>
        <w:tc>
          <w:tcPr>
            <w:tcW w:w="3417" w:type="dxa"/>
            <w:gridSpan w:val="3"/>
            <w:tcBorders>
              <w:top w:val="nil"/>
              <w:left w:val="nil"/>
              <w:bottom w:val="nil"/>
              <w:right w:val="nil"/>
            </w:tcBorders>
            <w:shd w:val="clear" w:color="auto" w:fill="auto"/>
            <w:noWrap/>
            <w:vAlign w:val="center"/>
            <w:hideMark/>
          </w:tcPr>
          <w:p w:rsidR="006E3B2D" w:rsidRPr="006E3B2D" w:rsidRDefault="006E3B2D" w:rsidP="006E3B2D">
            <w:pPr>
              <w:widowControl/>
              <w:rPr>
                <w:rFonts w:ascii="Times New Roman" w:eastAsia="新細明體" w:hAnsi="Times New Roman" w:cs="Times New Roman"/>
                <w:b/>
                <w:bCs/>
                <w:color w:val="0000FF"/>
                <w:kern w:val="0"/>
                <w:szCs w:val="24"/>
              </w:rPr>
            </w:pPr>
            <w:bookmarkStart w:id="0" w:name="RANGE!A1:F7"/>
            <w:r w:rsidRPr="006E3B2D">
              <w:rPr>
                <w:rFonts w:ascii="標楷體" w:eastAsia="標楷體" w:hAnsi="標楷體" w:cs="Times New Roman" w:hint="eastAsia"/>
                <w:b/>
                <w:bCs/>
                <w:color w:val="0000FF"/>
                <w:kern w:val="0"/>
                <w:szCs w:val="24"/>
              </w:rPr>
              <w:t>一、重大影響財報表達</w:t>
            </w:r>
            <w:bookmarkEnd w:id="0"/>
          </w:p>
        </w:tc>
        <w:tc>
          <w:tcPr>
            <w:tcW w:w="1134" w:type="dxa"/>
            <w:tcBorders>
              <w:top w:val="nil"/>
              <w:left w:val="nil"/>
              <w:bottom w:val="nil"/>
              <w:right w:val="nil"/>
            </w:tcBorders>
            <w:shd w:val="clear" w:color="auto" w:fill="auto"/>
            <w:noWrap/>
            <w:vAlign w:val="center"/>
            <w:hideMark/>
          </w:tcPr>
          <w:p w:rsidR="006E3B2D" w:rsidRPr="006E3B2D" w:rsidRDefault="006E3B2D" w:rsidP="006E3B2D">
            <w:pPr>
              <w:widowControl/>
              <w:rPr>
                <w:rFonts w:ascii="Times New Roman" w:eastAsia="新細明體" w:hAnsi="Times New Roman" w:cs="Times New Roman"/>
                <w:color w:val="000000"/>
                <w:kern w:val="0"/>
                <w:szCs w:val="24"/>
              </w:rPr>
            </w:pPr>
          </w:p>
        </w:tc>
        <w:tc>
          <w:tcPr>
            <w:tcW w:w="1985" w:type="dxa"/>
            <w:tcBorders>
              <w:top w:val="nil"/>
              <w:left w:val="nil"/>
              <w:bottom w:val="nil"/>
              <w:right w:val="nil"/>
            </w:tcBorders>
            <w:shd w:val="clear" w:color="auto" w:fill="auto"/>
            <w:noWrap/>
            <w:vAlign w:val="center"/>
            <w:hideMark/>
          </w:tcPr>
          <w:p w:rsidR="006E3B2D" w:rsidRPr="006E3B2D" w:rsidRDefault="006E3B2D" w:rsidP="006E3B2D">
            <w:pPr>
              <w:widowControl/>
              <w:rPr>
                <w:rFonts w:ascii="Times New Roman" w:eastAsia="新細明體" w:hAnsi="Times New Roman" w:cs="Times New Roman"/>
                <w:color w:val="000000"/>
                <w:kern w:val="0"/>
                <w:szCs w:val="24"/>
              </w:rPr>
            </w:pPr>
          </w:p>
        </w:tc>
        <w:tc>
          <w:tcPr>
            <w:tcW w:w="7465" w:type="dxa"/>
            <w:tcBorders>
              <w:top w:val="nil"/>
              <w:left w:val="nil"/>
              <w:bottom w:val="nil"/>
              <w:right w:val="nil"/>
            </w:tcBorders>
            <w:shd w:val="clear" w:color="auto" w:fill="auto"/>
            <w:noWrap/>
            <w:vAlign w:val="center"/>
            <w:hideMark/>
          </w:tcPr>
          <w:p w:rsidR="006E3B2D" w:rsidRPr="006E3B2D" w:rsidRDefault="006E3B2D" w:rsidP="006E3B2D">
            <w:pPr>
              <w:widowControl/>
              <w:rPr>
                <w:rFonts w:ascii="Times New Roman" w:eastAsia="新細明體" w:hAnsi="Times New Roman" w:cs="Times New Roman"/>
                <w:color w:val="000000"/>
                <w:kern w:val="0"/>
                <w:szCs w:val="24"/>
              </w:rPr>
            </w:pPr>
          </w:p>
        </w:tc>
      </w:tr>
      <w:tr w:rsidR="00B47BDF" w:rsidRPr="006E3B2D" w:rsidTr="007D0E56">
        <w:trPr>
          <w:tblHeader/>
        </w:trPr>
        <w:tc>
          <w:tcPr>
            <w:tcW w:w="53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項次</w:t>
            </w:r>
          </w:p>
        </w:tc>
        <w:tc>
          <w:tcPr>
            <w:tcW w:w="1705" w:type="dxa"/>
            <w:tcBorders>
              <w:top w:val="single" w:sz="4" w:space="0" w:color="auto"/>
              <w:left w:val="nil"/>
              <w:bottom w:val="single" w:sz="4" w:space="0" w:color="auto"/>
              <w:right w:val="single" w:sz="4" w:space="0" w:color="auto"/>
            </w:tcBorders>
            <w:shd w:val="clear" w:color="000000" w:fill="FFFF0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議題</w:t>
            </w:r>
          </w:p>
        </w:tc>
        <w:tc>
          <w:tcPr>
            <w:tcW w:w="1175" w:type="dxa"/>
            <w:tcBorders>
              <w:top w:val="single" w:sz="4" w:space="0" w:color="auto"/>
              <w:left w:val="nil"/>
              <w:bottom w:val="single" w:sz="4" w:space="0" w:color="auto"/>
              <w:right w:val="single" w:sz="4" w:space="0" w:color="auto"/>
            </w:tcBorders>
            <w:shd w:val="clear" w:color="000000" w:fill="FFFF0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影響報表</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會計項目</w:t>
            </w:r>
          </w:p>
        </w:tc>
        <w:tc>
          <w:tcPr>
            <w:tcW w:w="1985" w:type="dxa"/>
            <w:tcBorders>
              <w:top w:val="single" w:sz="4" w:space="0" w:color="auto"/>
              <w:left w:val="nil"/>
              <w:bottom w:val="single" w:sz="4" w:space="0" w:color="auto"/>
              <w:right w:val="single" w:sz="4" w:space="0" w:color="auto"/>
            </w:tcBorders>
            <w:shd w:val="clear" w:color="000000" w:fill="FFFF0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公報號次及段落</w:t>
            </w:r>
          </w:p>
        </w:tc>
        <w:tc>
          <w:tcPr>
            <w:tcW w:w="7465" w:type="dxa"/>
            <w:tcBorders>
              <w:top w:val="single" w:sz="4" w:space="0" w:color="auto"/>
              <w:left w:val="nil"/>
              <w:bottom w:val="single" w:sz="4" w:space="0" w:color="auto"/>
              <w:right w:val="single" w:sz="4" w:space="0" w:color="auto"/>
            </w:tcBorders>
            <w:shd w:val="clear" w:color="000000" w:fill="FFFF0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差異內容說明</w:t>
            </w:r>
          </w:p>
        </w:tc>
      </w:tr>
      <w:tr w:rsidR="00B47BDF" w:rsidRPr="006E3B2D" w:rsidTr="007D0E56">
        <w:trPr>
          <w:tblHeader/>
        </w:trPr>
        <w:tc>
          <w:tcPr>
            <w:tcW w:w="537" w:type="dxa"/>
            <w:tcBorders>
              <w:top w:val="nil"/>
              <w:left w:val="single" w:sz="4" w:space="0" w:color="auto"/>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color w:val="000000"/>
                <w:kern w:val="0"/>
                <w:szCs w:val="24"/>
              </w:rPr>
            </w:pPr>
            <w:r w:rsidRPr="006E3B2D">
              <w:rPr>
                <w:rFonts w:ascii="Times New Roman" w:eastAsia="新細明體" w:hAnsi="Times New Roman" w:cs="Times New Roman"/>
                <w:color w:val="000000"/>
                <w:kern w:val="0"/>
                <w:szCs w:val="24"/>
              </w:rPr>
              <w:t>1</w:t>
            </w:r>
          </w:p>
        </w:tc>
        <w:tc>
          <w:tcPr>
            <w:tcW w:w="1705" w:type="dxa"/>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kern w:val="0"/>
                <w:szCs w:val="24"/>
              </w:rPr>
            </w:pPr>
            <w:r w:rsidRPr="006E3B2D">
              <w:rPr>
                <w:rFonts w:ascii="標楷體" w:eastAsia="標楷體" w:hAnsi="標楷體" w:cs="Times New Roman" w:hint="eastAsia"/>
                <w:kern w:val="0"/>
                <w:szCs w:val="24"/>
              </w:rPr>
              <w:t>負債流動性分類</w:t>
            </w:r>
            <w:r w:rsidRPr="006E3B2D">
              <w:rPr>
                <w:rFonts w:ascii="Times New Roman" w:eastAsia="新細明體" w:hAnsi="Times New Roman" w:cs="Times New Roman"/>
                <w:kern w:val="0"/>
                <w:szCs w:val="24"/>
              </w:rPr>
              <w:t>-</w:t>
            </w:r>
            <w:r w:rsidRPr="006E3B2D">
              <w:rPr>
                <w:rFonts w:ascii="標楷體" w:eastAsia="標楷體" w:hAnsi="標楷體" w:cs="Times New Roman" w:hint="eastAsia"/>
                <w:kern w:val="0"/>
                <w:szCs w:val="24"/>
              </w:rPr>
              <w:t>闡明負債遞延清償之權利</w:t>
            </w:r>
          </w:p>
        </w:tc>
        <w:tc>
          <w:tcPr>
            <w:tcW w:w="1175" w:type="dxa"/>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kern w:val="0"/>
                <w:szCs w:val="24"/>
              </w:rPr>
            </w:pPr>
            <w:r w:rsidRPr="006E3B2D">
              <w:rPr>
                <w:rFonts w:ascii="標楷體" w:eastAsia="標楷體" w:hAnsi="標楷體" w:cs="Times New Roman" w:hint="eastAsia"/>
                <w:kern w:val="0"/>
                <w:szCs w:val="24"/>
              </w:rPr>
              <w:t>資產負債表</w:t>
            </w:r>
          </w:p>
        </w:tc>
        <w:tc>
          <w:tcPr>
            <w:tcW w:w="1134" w:type="dxa"/>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kern w:val="0"/>
                <w:szCs w:val="24"/>
              </w:rPr>
            </w:pPr>
            <w:r w:rsidRPr="006E3B2D">
              <w:rPr>
                <w:rFonts w:ascii="標楷體" w:eastAsia="標楷體" w:hAnsi="標楷體" w:cs="Times New Roman" w:hint="eastAsia"/>
                <w:kern w:val="0"/>
                <w:szCs w:val="24"/>
              </w:rPr>
              <w:t>短期借款</w:t>
            </w:r>
            <w:r w:rsidRPr="006E3B2D">
              <w:rPr>
                <w:rFonts w:ascii="標楷體" w:eastAsia="標楷體" w:hAnsi="標楷體" w:cs="Times New Roman" w:hint="eastAsia"/>
                <w:kern w:val="0"/>
                <w:szCs w:val="24"/>
              </w:rPr>
              <w:br/>
              <w:t>長期借款</w:t>
            </w:r>
          </w:p>
        </w:tc>
        <w:tc>
          <w:tcPr>
            <w:tcW w:w="1985" w:type="dxa"/>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kern w:val="0"/>
                <w:szCs w:val="24"/>
                <w:lang w:val="fr-FR"/>
              </w:rPr>
            </w:pPr>
            <w:r w:rsidRPr="006E3B2D">
              <w:rPr>
                <w:rFonts w:ascii="Times New Roman" w:eastAsia="新細明體" w:hAnsi="Times New Roman" w:cs="Times New Roman"/>
                <w:kern w:val="0"/>
                <w:szCs w:val="24"/>
                <w:lang w:val="fr-FR"/>
              </w:rPr>
              <w:t>113</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lang w:val="fr-FR"/>
              </w:rPr>
              <w:t>：</w:t>
            </w:r>
            <w:r w:rsidRPr="006E3B2D">
              <w:rPr>
                <w:rFonts w:ascii="Times New Roman" w:eastAsia="新細明體" w:hAnsi="Times New Roman" w:cs="Times New Roman"/>
                <w:kern w:val="0"/>
                <w:szCs w:val="24"/>
                <w:lang w:val="fr-FR"/>
              </w:rPr>
              <w:t>IAS1.69(d)</w:t>
            </w:r>
            <w:r w:rsidRPr="006E3B2D">
              <w:rPr>
                <w:rFonts w:ascii="標楷體" w:eastAsia="標楷體" w:hAnsi="標楷體" w:cs="Times New Roman" w:hint="eastAsia"/>
                <w:kern w:val="0"/>
                <w:szCs w:val="24"/>
              </w:rPr>
              <w:t>、</w:t>
            </w:r>
            <w:r w:rsidRPr="006E3B2D">
              <w:rPr>
                <w:rFonts w:ascii="Times New Roman" w:eastAsia="新細明體" w:hAnsi="Times New Roman" w:cs="Times New Roman"/>
                <w:kern w:val="0"/>
                <w:szCs w:val="24"/>
                <w:lang w:val="fr-FR"/>
              </w:rPr>
              <w:t>72A</w:t>
            </w:r>
            <w:r w:rsidRPr="006E3B2D">
              <w:rPr>
                <w:rFonts w:ascii="Times New Roman" w:eastAsia="新細明體" w:hAnsi="Times New Roman" w:cs="Times New Roman"/>
                <w:kern w:val="0"/>
                <w:szCs w:val="24"/>
                <w:lang w:val="fr-FR"/>
              </w:rPr>
              <w:br/>
            </w:r>
            <w:r w:rsidRPr="006E3B2D">
              <w:rPr>
                <w:rFonts w:ascii="Times New Roman" w:eastAsia="新細明體" w:hAnsi="Times New Roman" w:cs="Times New Roman"/>
                <w:kern w:val="0"/>
                <w:szCs w:val="24"/>
                <w:lang w:val="fr-FR"/>
              </w:rPr>
              <w:br/>
              <w:t>112</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lang w:val="fr-FR"/>
              </w:rPr>
              <w:t>：</w:t>
            </w:r>
            <w:r w:rsidRPr="006E3B2D">
              <w:rPr>
                <w:rFonts w:ascii="Times New Roman" w:eastAsia="新細明體" w:hAnsi="Times New Roman" w:cs="Times New Roman"/>
                <w:kern w:val="0"/>
                <w:szCs w:val="24"/>
                <w:lang w:val="fr-FR"/>
              </w:rPr>
              <w:t>IAS1.69(d)</w:t>
            </w:r>
          </w:p>
        </w:tc>
        <w:tc>
          <w:tcPr>
            <w:tcW w:w="7465" w:type="dxa"/>
            <w:tcBorders>
              <w:top w:val="nil"/>
              <w:left w:val="nil"/>
              <w:bottom w:val="single" w:sz="4" w:space="0" w:color="auto"/>
              <w:right w:val="single" w:sz="4" w:space="0" w:color="auto"/>
            </w:tcBorders>
            <w:shd w:val="clear" w:color="auto" w:fill="auto"/>
            <w:hideMark/>
          </w:tcPr>
          <w:p w:rsidR="006E3B2D" w:rsidRPr="006E3B2D" w:rsidRDefault="006E3B2D" w:rsidP="00B47BDF">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r>
            <w:r w:rsidR="00B47BDF">
              <w:rPr>
                <w:rFonts w:ascii="標楷體" w:eastAsia="標楷體" w:hAnsi="標楷體" w:cs="Times New Roman" w:hint="eastAsia"/>
                <w:kern w:val="0"/>
                <w:szCs w:val="24"/>
              </w:rPr>
              <w:t>若</w:t>
            </w:r>
            <w:r w:rsidRPr="006E3B2D">
              <w:rPr>
                <w:rFonts w:ascii="標楷體" w:eastAsia="標楷體" w:hAnsi="標楷體" w:cs="Times New Roman" w:hint="eastAsia"/>
                <w:kern w:val="0"/>
                <w:szCs w:val="24"/>
              </w:rPr>
              <w:t>企業不具有將負債之清償遞延至報導期間後至少十二</w:t>
            </w:r>
            <w:proofErr w:type="gramStart"/>
            <w:r w:rsidRPr="006E3B2D">
              <w:rPr>
                <w:rFonts w:ascii="標楷體" w:eastAsia="標楷體" w:hAnsi="標楷體" w:cs="Times New Roman" w:hint="eastAsia"/>
                <w:kern w:val="0"/>
                <w:szCs w:val="24"/>
              </w:rPr>
              <w:t>個</w:t>
            </w:r>
            <w:proofErr w:type="gramEnd"/>
            <w:r w:rsidRPr="006E3B2D">
              <w:rPr>
                <w:rFonts w:ascii="標楷體" w:eastAsia="標楷體" w:hAnsi="標楷體" w:cs="Times New Roman" w:hint="eastAsia"/>
                <w:kern w:val="0"/>
                <w:szCs w:val="24"/>
              </w:rPr>
              <w:t>月之權利，應將該負債分類為流動。本次修正刪除該權利應為無條件的規定，改為規定該權利</w:t>
            </w:r>
            <w:r w:rsidR="00B47BDF" w:rsidRPr="006E3B2D">
              <w:rPr>
                <w:rFonts w:ascii="標楷體" w:eastAsia="標楷體" w:hAnsi="標楷體" w:cs="Times New Roman" w:hint="eastAsia"/>
                <w:kern w:val="0"/>
                <w:szCs w:val="24"/>
              </w:rPr>
              <w:t>須具有實質且</w:t>
            </w:r>
            <w:r w:rsidR="00B47BDF">
              <w:rPr>
                <w:rFonts w:ascii="標楷體" w:eastAsia="標楷體" w:hAnsi="標楷體" w:cs="Times New Roman" w:hint="eastAsia"/>
                <w:kern w:val="0"/>
                <w:szCs w:val="24"/>
              </w:rPr>
              <w:t>須</w:t>
            </w:r>
            <w:r w:rsidRPr="006E3B2D">
              <w:rPr>
                <w:rFonts w:ascii="標楷體" w:eastAsia="標楷體" w:hAnsi="標楷體" w:cs="Times New Roman" w:hint="eastAsia"/>
                <w:kern w:val="0"/>
                <w:szCs w:val="24"/>
              </w:rPr>
              <w:t>於報導期間結束日存在。</w:t>
            </w:r>
            <w:r w:rsidRPr="006E3B2D">
              <w:rPr>
                <w:rFonts w:ascii="標楷體" w:eastAsia="標楷體" w:hAnsi="標楷體" w:cs="Times New Roman" w:hint="eastAsia"/>
                <w:kern w:val="0"/>
                <w:szCs w:val="24"/>
              </w:rPr>
              <w:br/>
            </w:r>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t>112</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r>
            <w:r w:rsidR="00B47BDF">
              <w:rPr>
                <w:rFonts w:ascii="標楷體" w:eastAsia="標楷體" w:hAnsi="標楷體" w:cs="Times New Roman" w:hint="eastAsia"/>
                <w:kern w:val="0"/>
                <w:szCs w:val="24"/>
              </w:rPr>
              <w:t>若</w:t>
            </w:r>
            <w:r w:rsidRPr="006E3B2D">
              <w:rPr>
                <w:rFonts w:ascii="標楷體" w:eastAsia="標楷體" w:hAnsi="標楷體" w:cs="Times New Roman" w:hint="eastAsia"/>
                <w:kern w:val="0"/>
                <w:szCs w:val="24"/>
              </w:rPr>
              <w:t>企業不具有無條件將負債之清償遞延至報導期間後至少十二</w:t>
            </w:r>
            <w:proofErr w:type="gramStart"/>
            <w:r w:rsidRPr="006E3B2D">
              <w:rPr>
                <w:rFonts w:ascii="標楷體" w:eastAsia="標楷體" w:hAnsi="標楷體" w:cs="Times New Roman" w:hint="eastAsia"/>
                <w:kern w:val="0"/>
                <w:szCs w:val="24"/>
              </w:rPr>
              <w:t>個</w:t>
            </w:r>
            <w:proofErr w:type="gramEnd"/>
            <w:r w:rsidRPr="006E3B2D">
              <w:rPr>
                <w:rFonts w:ascii="標楷體" w:eastAsia="標楷體" w:hAnsi="標楷體" w:cs="Times New Roman" w:hint="eastAsia"/>
                <w:kern w:val="0"/>
                <w:szCs w:val="24"/>
              </w:rPr>
              <w:t>月之權利，應將該負債分類為流動。</w:t>
            </w:r>
          </w:p>
        </w:tc>
      </w:tr>
      <w:tr w:rsidR="00B47BDF" w:rsidRPr="006E3B2D" w:rsidTr="007D0E56">
        <w:trPr>
          <w:tblHeader/>
        </w:trPr>
        <w:tc>
          <w:tcPr>
            <w:tcW w:w="537" w:type="dxa"/>
            <w:tcBorders>
              <w:top w:val="nil"/>
              <w:left w:val="single" w:sz="4" w:space="0" w:color="auto"/>
              <w:bottom w:val="single" w:sz="4" w:space="0" w:color="auto"/>
              <w:right w:val="single" w:sz="4" w:space="0" w:color="auto"/>
            </w:tcBorders>
            <w:shd w:val="clear" w:color="auto" w:fill="auto"/>
            <w:noWrap/>
            <w:hideMark/>
          </w:tcPr>
          <w:p w:rsidR="006E3B2D" w:rsidRPr="006E3B2D" w:rsidRDefault="006E3B2D" w:rsidP="006E3B2D">
            <w:pPr>
              <w:widowControl/>
              <w:rPr>
                <w:rFonts w:ascii="Times New Roman" w:eastAsia="新細明體" w:hAnsi="Times New Roman" w:cs="Times New Roman"/>
                <w:color w:val="000000"/>
                <w:kern w:val="0"/>
                <w:szCs w:val="24"/>
              </w:rPr>
            </w:pPr>
            <w:r w:rsidRPr="006E3B2D">
              <w:rPr>
                <w:rFonts w:ascii="Times New Roman" w:eastAsia="新細明體" w:hAnsi="Times New Roman" w:cs="Times New Roman"/>
                <w:color w:val="000000"/>
                <w:kern w:val="0"/>
                <w:szCs w:val="24"/>
              </w:rPr>
              <w:t>2</w:t>
            </w:r>
          </w:p>
        </w:tc>
        <w:tc>
          <w:tcPr>
            <w:tcW w:w="1705" w:type="dxa"/>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kern w:val="0"/>
                <w:szCs w:val="24"/>
              </w:rPr>
            </w:pPr>
            <w:r w:rsidRPr="006E3B2D">
              <w:rPr>
                <w:rFonts w:ascii="標楷體" w:eastAsia="標楷體" w:hAnsi="標楷體" w:cs="Times New Roman" w:hint="eastAsia"/>
                <w:kern w:val="0"/>
                <w:szCs w:val="24"/>
              </w:rPr>
              <w:t>負債流動性分類僅受報導期間結束日以前須遵循之合約條款影響</w:t>
            </w:r>
          </w:p>
        </w:tc>
        <w:tc>
          <w:tcPr>
            <w:tcW w:w="1175" w:type="dxa"/>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kern w:val="0"/>
                <w:szCs w:val="24"/>
              </w:rPr>
            </w:pPr>
            <w:r w:rsidRPr="006E3B2D">
              <w:rPr>
                <w:rFonts w:ascii="標楷體" w:eastAsia="標楷體" w:hAnsi="標楷體" w:cs="Times New Roman" w:hint="eastAsia"/>
                <w:kern w:val="0"/>
                <w:szCs w:val="24"/>
              </w:rPr>
              <w:t>資產負債表</w:t>
            </w:r>
          </w:p>
        </w:tc>
        <w:tc>
          <w:tcPr>
            <w:tcW w:w="1134" w:type="dxa"/>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kern w:val="0"/>
                <w:szCs w:val="24"/>
              </w:rPr>
            </w:pPr>
            <w:r w:rsidRPr="006E3B2D">
              <w:rPr>
                <w:rFonts w:ascii="標楷體" w:eastAsia="標楷體" w:hAnsi="標楷體" w:cs="Times New Roman" w:hint="eastAsia"/>
                <w:kern w:val="0"/>
                <w:szCs w:val="24"/>
              </w:rPr>
              <w:t>短期借款</w:t>
            </w:r>
            <w:r w:rsidRPr="006E3B2D">
              <w:rPr>
                <w:rFonts w:ascii="標楷體" w:eastAsia="標楷體" w:hAnsi="標楷體" w:cs="Times New Roman" w:hint="eastAsia"/>
                <w:kern w:val="0"/>
                <w:szCs w:val="24"/>
              </w:rPr>
              <w:br/>
              <w:t>長期借款</w:t>
            </w:r>
          </w:p>
        </w:tc>
        <w:tc>
          <w:tcPr>
            <w:tcW w:w="1985" w:type="dxa"/>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Times New Roman" w:eastAsia="新細明體" w:hAnsi="Times New Roman" w:cs="Times New Roman"/>
                <w:kern w:val="0"/>
                <w:szCs w:val="24"/>
              </w:rPr>
              <w:t>IAS1.72B</w:t>
            </w:r>
            <w:r w:rsidRPr="006E3B2D">
              <w:rPr>
                <w:rFonts w:ascii="Times New Roman" w:eastAsia="新細明體" w:hAnsi="Times New Roman" w:cs="Times New Roman"/>
                <w:kern w:val="0"/>
                <w:szCs w:val="24"/>
              </w:rPr>
              <w:br/>
            </w:r>
            <w:r w:rsidRPr="006E3B2D">
              <w:rPr>
                <w:rFonts w:ascii="Times New Roman" w:eastAsia="新細明體" w:hAnsi="Times New Roman" w:cs="Times New Roman"/>
                <w:kern w:val="0"/>
                <w:szCs w:val="24"/>
              </w:rPr>
              <w:br/>
              <w:t>112</w:t>
            </w:r>
            <w:r w:rsidRPr="006E3B2D">
              <w:rPr>
                <w:rFonts w:ascii="標楷體" w:eastAsia="標楷體" w:hAnsi="標楷體" w:cs="Times New Roman" w:hint="eastAsia"/>
                <w:kern w:val="0"/>
                <w:szCs w:val="24"/>
              </w:rPr>
              <w:t>年版：無</w:t>
            </w:r>
          </w:p>
        </w:tc>
        <w:tc>
          <w:tcPr>
            <w:tcW w:w="7465" w:type="dxa"/>
            <w:tcBorders>
              <w:top w:val="nil"/>
              <w:left w:val="nil"/>
              <w:bottom w:val="single" w:sz="4" w:space="0" w:color="auto"/>
              <w:right w:val="single" w:sz="4" w:space="0" w:color="auto"/>
            </w:tcBorders>
            <w:shd w:val="clear" w:color="auto" w:fill="auto"/>
            <w:hideMark/>
          </w:tcPr>
          <w:p w:rsidR="006E3B2D" w:rsidRPr="006E3B2D" w:rsidRDefault="006E3B2D" w:rsidP="0039639F">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t>企業將因借款協議所產生之負債之清償遞延至報導期間後至少十二</w:t>
            </w:r>
            <w:proofErr w:type="gramStart"/>
            <w:r w:rsidRPr="006E3B2D">
              <w:rPr>
                <w:rFonts w:ascii="標楷體" w:eastAsia="標楷體" w:hAnsi="標楷體" w:cs="Times New Roman" w:hint="eastAsia"/>
                <w:kern w:val="0"/>
                <w:szCs w:val="24"/>
              </w:rPr>
              <w:t>個</w:t>
            </w:r>
            <w:proofErr w:type="gramEnd"/>
            <w:r w:rsidRPr="006E3B2D">
              <w:rPr>
                <w:rFonts w:ascii="標楷體" w:eastAsia="標楷體" w:hAnsi="標楷體" w:cs="Times New Roman" w:hint="eastAsia"/>
                <w:kern w:val="0"/>
                <w:szCs w:val="24"/>
              </w:rPr>
              <w:t>月之權利可能受限於企業遵循該借款協議中之特定條件（以下稱為「合約條款」）。若企業須於報導期間結束日以前遵循該合約條款，則此種合約條款將影響負債於報導期間結束日之流動性分類</w:t>
            </w:r>
            <w:r w:rsidR="0039639F">
              <w:rPr>
                <w:rFonts w:ascii="標楷體" w:eastAsia="標楷體" w:hAnsi="標楷體" w:cs="Times New Roman" w:hint="eastAsia"/>
                <w:kern w:val="0"/>
                <w:szCs w:val="24"/>
              </w:rPr>
              <w:t>；</w:t>
            </w:r>
            <w:r w:rsidRPr="006E3B2D">
              <w:rPr>
                <w:rFonts w:ascii="標楷體" w:eastAsia="標楷體" w:hAnsi="標楷體" w:cs="Times New Roman" w:hint="eastAsia"/>
                <w:kern w:val="0"/>
                <w:szCs w:val="24"/>
              </w:rPr>
              <w:t>於報導期間結束</w:t>
            </w:r>
            <w:proofErr w:type="gramStart"/>
            <w:r w:rsidRPr="006E3B2D">
              <w:rPr>
                <w:rFonts w:ascii="標楷體" w:eastAsia="標楷體" w:hAnsi="標楷體" w:cs="Times New Roman" w:hint="eastAsia"/>
                <w:kern w:val="0"/>
                <w:szCs w:val="24"/>
              </w:rPr>
              <w:t>日後</w:t>
            </w:r>
            <w:r w:rsidR="0039639F">
              <w:rPr>
                <w:rFonts w:ascii="標楷體" w:eastAsia="標楷體" w:hAnsi="標楷體" w:cs="Times New Roman" w:hint="eastAsia"/>
                <w:kern w:val="0"/>
                <w:szCs w:val="24"/>
              </w:rPr>
              <w:t>始須</w:t>
            </w:r>
            <w:r w:rsidRPr="006E3B2D">
              <w:rPr>
                <w:rFonts w:ascii="標楷體" w:eastAsia="標楷體" w:hAnsi="標楷體" w:cs="Times New Roman" w:hint="eastAsia"/>
                <w:kern w:val="0"/>
                <w:szCs w:val="24"/>
              </w:rPr>
              <w:t>遵循</w:t>
            </w:r>
            <w:proofErr w:type="gramEnd"/>
            <w:r w:rsidRPr="006E3B2D">
              <w:rPr>
                <w:rFonts w:ascii="標楷體" w:eastAsia="標楷體" w:hAnsi="標楷體" w:cs="Times New Roman" w:hint="eastAsia"/>
                <w:kern w:val="0"/>
                <w:szCs w:val="24"/>
              </w:rPr>
              <w:t>之合約條款不影響負債於報導期間結束日之流動性分類。</w:t>
            </w:r>
            <w:r w:rsidRPr="006E3B2D">
              <w:rPr>
                <w:rFonts w:ascii="標楷體" w:eastAsia="標楷體" w:hAnsi="標楷體" w:cs="Times New Roman" w:hint="eastAsia"/>
                <w:kern w:val="0"/>
                <w:szCs w:val="24"/>
              </w:rPr>
              <w:br/>
            </w:r>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t>112</w:t>
            </w:r>
            <w:r w:rsidRPr="006E3B2D">
              <w:rPr>
                <w:rFonts w:ascii="標楷體" w:eastAsia="標楷體" w:hAnsi="標楷體" w:cs="Times New Roman" w:hint="eastAsia"/>
                <w:kern w:val="0"/>
                <w:szCs w:val="24"/>
              </w:rPr>
              <w:t>年版：無</w:t>
            </w:r>
          </w:p>
        </w:tc>
      </w:tr>
    </w:tbl>
    <w:p w:rsidR="006E3B2D" w:rsidRPr="006E3B2D" w:rsidRDefault="006E3B2D">
      <w:pPr>
        <w:rPr>
          <w:szCs w:val="24"/>
        </w:rPr>
      </w:pPr>
    </w:p>
    <w:tbl>
      <w:tblPr>
        <w:tblW w:w="0" w:type="auto"/>
        <w:tblInd w:w="13" w:type="dxa"/>
        <w:tblCellMar>
          <w:left w:w="28" w:type="dxa"/>
          <w:right w:w="28" w:type="dxa"/>
        </w:tblCellMar>
        <w:tblLook w:val="04A0" w:firstRow="1" w:lastRow="0" w:firstColumn="1" w:lastColumn="0" w:noHBand="0" w:noVBand="1"/>
      </w:tblPr>
      <w:tblGrid>
        <w:gridCol w:w="508"/>
        <w:gridCol w:w="3456"/>
        <w:gridCol w:w="518"/>
        <w:gridCol w:w="1752"/>
        <w:gridCol w:w="7767"/>
      </w:tblGrid>
      <w:tr w:rsidR="00E966A3" w:rsidRPr="006E3B2D" w:rsidTr="006E3B2D">
        <w:tc>
          <w:tcPr>
            <w:tcW w:w="0" w:type="auto"/>
            <w:gridSpan w:val="2"/>
            <w:tcBorders>
              <w:top w:val="nil"/>
              <w:left w:val="nil"/>
              <w:bottom w:val="nil"/>
              <w:right w:val="nil"/>
            </w:tcBorders>
            <w:shd w:val="clear" w:color="auto" w:fill="auto"/>
            <w:noWrap/>
            <w:vAlign w:val="center"/>
            <w:hideMark/>
          </w:tcPr>
          <w:p w:rsidR="006E3B2D" w:rsidRPr="006E3B2D" w:rsidRDefault="006E3B2D" w:rsidP="006E3B2D">
            <w:pPr>
              <w:widowControl/>
              <w:rPr>
                <w:rFonts w:ascii="標楷體" w:eastAsia="標楷體" w:hAnsi="標楷體" w:cs="新細明體"/>
                <w:b/>
                <w:bCs/>
                <w:color w:val="0000FF"/>
                <w:kern w:val="0"/>
                <w:szCs w:val="24"/>
              </w:rPr>
            </w:pPr>
            <w:r w:rsidRPr="006E3B2D">
              <w:rPr>
                <w:rFonts w:ascii="標楷體" w:eastAsia="標楷體" w:hAnsi="標楷體" w:cs="新細明體" w:hint="eastAsia"/>
                <w:b/>
                <w:bCs/>
                <w:color w:val="0000FF"/>
                <w:kern w:val="0"/>
                <w:szCs w:val="24"/>
              </w:rPr>
              <w:t>二、重大影響財報附註</w:t>
            </w:r>
          </w:p>
        </w:tc>
        <w:tc>
          <w:tcPr>
            <w:tcW w:w="0" w:type="auto"/>
            <w:tcBorders>
              <w:top w:val="nil"/>
              <w:left w:val="nil"/>
              <w:bottom w:val="nil"/>
              <w:right w:val="nil"/>
            </w:tcBorders>
            <w:shd w:val="clear" w:color="auto" w:fill="auto"/>
            <w:noWrap/>
            <w:vAlign w:val="center"/>
            <w:hideMark/>
          </w:tcPr>
          <w:p w:rsidR="006E3B2D" w:rsidRPr="006E3B2D" w:rsidRDefault="006E3B2D" w:rsidP="006E3B2D">
            <w:pPr>
              <w:widowControl/>
              <w:rPr>
                <w:rFonts w:ascii="Times New Roman" w:eastAsia="新細明體" w:hAnsi="Times New Roman" w:cs="Times New Roman"/>
                <w:color w:val="000000"/>
                <w:kern w:val="0"/>
                <w:szCs w:val="24"/>
              </w:rPr>
            </w:pPr>
          </w:p>
        </w:tc>
        <w:tc>
          <w:tcPr>
            <w:tcW w:w="0" w:type="auto"/>
            <w:tcBorders>
              <w:top w:val="nil"/>
              <w:left w:val="nil"/>
              <w:bottom w:val="nil"/>
              <w:right w:val="nil"/>
            </w:tcBorders>
            <w:shd w:val="clear" w:color="auto" w:fill="auto"/>
            <w:noWrap/>
            <w:vAlign w:val="center"/>
            <w:hideMark/>
          </w:tcPr>
          <w:p w:rsidR="006E3B2D" w:rsidRPr="006E3B2D" w:rsidRDefault="006E3B2D" w:rsidP="006E3B2D">
            <w:pPr>
              <w:widowControl/>
              <w:rPr>
                <w:rFonts w:ascii="Times New Roman" w:eastAsia="新細明體" w:hAnsi="Times New Roman" w:cs="Times New Roman"/>
                <w:color w:val="000000"/>
                <w:kern w:val="0"/>
                <w:szCs w:val="24"/>
              </w:rPr>
            </w:pPr>
          </w:p>
        </w:tc>
        <w:tc>
          <w:tcPr>
            <w:tcW w:w="0" w:type="auto"/>
            <w:tcBorders>
              <w:top w:val="nil"/>
              <w:left w:val="nil"/>
              <w:bottom w:val="nil"/>
              <w:right w:val="nil"/>
            </w:tcBorders>
            <w:shd w:val="clear" w:color="auto" w:fill="auto"/>
            <w:noWrap/>
            <w:vAlign w:val="center"/>
            <w:hideMark/>
          </w:tcPr>
          <w:p w:rsidR="006E3B2D" w:rsidRPr="006E3B2D" w:rsidRDefault="006E3B2D" w:rsidP="006E3B2D">
            <w:pPr>
              <w:widowControl/>
              <w:rPr>
                <w:rFonts w:ascii="Times New Roman" w:eastAsia="新細明體" w:hAnsi="Times New Roman" w:cs="Times New Roman"/>
                <w:color w:val="000000"/>
                <w:kern w:val="0"/>
                <w:szCs w:val="24"/>
              </w:rPr>
            </w:pPr>
          </w:p>
        </w:tc>
      </w:tr>
      <w:tr w:rsidR="00B47BDF" w:rsidRPr="006E3B2D" w:rsidTr="006E3B2D">
        <w:tc>
          <w:tcPr>
            <w:tcW w:w="0" w:type="auto"/>
            <w:tcBorders>
              <w:top w:val="single" w:sz="4" w:space="0" w:color="auto"/>
              <w:left w:val="single" w:sz="4" w:space="0" w:color="auto"/>
              <w:bottom w:val="single" w:sz="4" w:space="0" w:color="auto"/>
              <w:right w:val="single" w:sz="4" w:space="0" w:color="auto"/>
            </w:tcBorders>
            <w:shd w:val="clear" w:color="000000" w:fill="92D05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項</w:t>
            </w:r>
            <w:r w:rsidRPr="006E3B2D">
              <w:rPr>
                <w:rFonts w:ascii="標楷體" w:eastAsia="標楷體" w:hAnsi="標楷體" w:cs="Times New Roman" w:hint="eastAsia"/>
                <w:b/>
                <w:bCs/>
                <w:kern w:val="0"/>
                <w:szCs w:val="24"/>
              </w:rPr>
              <w:lastRenderedPageBreak/>
              <w:t>次</w:t>
            </w:r>
          </w:p>
        </w:tc>
        <w:tc>
          <w:tcPr>
            <w:tcW w:w="0" w:type="auto"/>
            <w:tcBorders>
              <w:top w:val="single" w:sz="4" w:space="0" w:color="auto"/>
              <w:left w:val="nil"/>
              <w:bottom w:val="single" w:sz="4" w:space="0" w:color="auto"/>
              <w:right w:val="single" w:sz="4" w:space="0" w:color="auto"/>
            </w:tcBorders>
            <w:shd w:val="clear" w:color="000000" w:fill="92D05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lastRenderedPageBreak/>
              <w:t>議題</w:t>
            </w:r>
          </w:p>
        </w:tc>
        <w:tc>
          <w:tcPr>
            <w:tcW w:w="0" w:type="auto"/>
            <w:tcBorders>
              <w:top w:val="single" w:sz="4" w:space="0" w:color="auto"/>
              <w:left w:val="nil"/>
              <w:bottom w:val="single" w:sz="4" w:space="0" w:color="auto"/>
              <w:right w:val="single" w:sz="4" w:space="0" w:color="auto"/>
            </w:tcBorders>
            <w:shd w:val="clear" w:color="000000" w:fill="92D050"/>
            <w:vAlign w:val="center"/>
            <w:hideMark/>
          </w:tcPr>
          <w:p w:rsidR="006E3B2D" w:rsidRPr="006E3B2D" w:rsidRDefault="006E3B2D" w:rsidP="006E3B2D">
            <w:pPr>
              <w:widowControl/>
              <w:rPr>
                <w:rFonts w:ascii="標楷體" w:eastAsia="標楷體" w:hAnsi="標楷體" w:cs="新細明體"/>
                <w:b/>
                <w:bCs/>
                <w:kern w:val="0"/>
                <w:szCs w:val="24"/>
              </w:rPr>
            </w:pPr>
            <w:r w:rsidRPr="006E3B2D">
              <w:rPr>
                <w:rFonts w:ascii="標楷體" w:eastAsia="標楷體" w:hAnsi="標楷體" w:cs="新細明體" w:hint="eastAsia"/>
                <w:b/>
                <w:bCs/>
                <w:kern w:val="0"/>
                <w:szCs w:val="24"/>
              </w:rPr>
              <w:t>會</w:t>
            </w:r>
            <w:r w:rsidRPr="006E3B2D">
              <w:rPr>
                <w:rFonts w:ascii="標楷體" w:eastAsia="標楷體" w:hAnsi="標楷體" w:cs="新細明體" w:hint="eastAsia"/>
                <w:b/>
                <w:bCs/>
                <w:kern w:val="0"/>
                <w:szCs w:val="24"/>
              </w:rPr>
              <w:lastRenderedPageBreak/>
              <w:t>計項目</w:t>
            </w:r>
          </w:p>
        </w:tc>
        <w:tc>
          <w:tcPr>
            <w:tcW w:w="0" w:type="auto"/>
            <w:tcBorders>
              <w:top w:val="single" w:sz="4" w:space="0" w:color="auto"/>
              <w:left w:val="nil"/>
              <w:bottom w:val="single" w:sz="4" w:space="0" w:color="auto"/>
              <w:right w:val="single" w:sz="4" w:space="0" w:color="auto"/>
            </w:tcBorders>
            <w:shd w:val="clear" w:color="000000" w:fill="92D05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lastRenderedPageBreak/>
              <w:t>公報號次及段落</w:t>
            </w:r>
          </w:p>
        </w:tc>
        <w:tc>
          <w:tcPr>
            <w:tcW w:w="0" w:type="auto"/>
            <w:tcBorders>
              <w:top w:val="single" w:sz="4" w:space="0" w:color="auto"/>
              <w:left w:val="nil"/>
              <w:bottom w:val="single" w:sz="4" w:space="0" w:color="auto"/>
              <w:right w:val="single" w:sz="4" w:space="0" w:color="auto"/>
            </w:tcBorders>
            <w:shd w:val="clear" w:color="000000" w:fill="92D050"/>
            <w:vAlign w:val="center"/>
            <w:hideMark/>
          </w:tcPr>
          <w:p w:rsidR="006E3B2D" w:rsidRPr="006E3B2D" w:rsidRDefault="006E3B2D" w:rsidP="006E3B2D">
            <w:pPr>
              <w:widowControl/>
              <w:rPr>
                <w:rFonts w:ascii="標楷體" w:eastAsia="標楷體" w:hAnsi="標楷體" w:cs="新細明體"/>
                <w:b/>
                <w:bCs/>
                <w:kern w:val="0"/>
                <w:szCs w:val="24"/>
              </w:rPr>
            </w:pPr>
            <w:r w:rsidRPr="006E3B2D">
              <w:rPr>
                <w:rFonts w:ascii="標楷體" w:eastAsia="標楷體" w:hAnsi="標楷體" w:cs="新細明體" w:hint="eastAsia"/>
                <w:b/>
                <w:bCs/>
                <w:kern w:val="0"/>
                <w:szCs w:val="24"/>
              </w:rPr>
              <w:t>差異內容說明</w:t>
            </w:r>
          </w:p>
        </w:tc>
      </w:tr>
      <w:tr w:rsidR="00B47BDF" w:rsidRPr="006E3B2D" w:rsidTr="007D0E56">
        <w:tc>
          <w:tcPr>
            <w:tcW w:w="0" w:type="auto"/>
            <w:tcBorders>
              <w:top w:val="nil"/>
              <w:left w:val="single" w:sz="4" w:space="0" w:color="auto"/>
              <w:bottom w:val="single" w:sz="4" w:space="0" w:color="auto"/>
              <w:right w:val="single" w:sz="4" w:space="0" w:color="auto"/>
            </w:tcBorders>
            <w:shd w:val="clear" w:color="auto" w:fill="auto"/>
            <w:noWrap/>
            <w:hideMark/>
          </w:tcPr>
          <w:p w:rsidR="006E3B2D" w:rsidRPr="006E3B2D" w:rsidRDefault="006E3B2D" w:rsidP="006E3B2D">
            <w:pPr>
              <w:widowControl/>
              <w:rPr>
                <w:rFonts w:ascii="Times New Roman" w:eastAsia="新細明體" w:hAnsi="Times New Roman" w:cs="Times New Roman"/>
                <w:color w:val="000000"/>
                <w:kern w:val="0"/>
                <w:szCs w:val="24"/>
              </w:rPr>
            </w:pPr>
            <w:r w:rsidRPr="006E3B2D">
              <w:rPr>
                <w:rFonts w:ascii="Times New Roman" w:eastAsia="新細明體" w:hAnsi="Times New Roman" w:cs="Times New Roman"/>
                <w:color w:val="000000"/>
                <w:kern w:val="0"/>
                <w:szCs w:val="24"/>
              </w:rPr>
              <w:t>1</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color w:val="000000"/>
                <w:kern w:val="0"/>
                <w:szCs w:val="24"/>
              </w:rPr>
            </w:pPr>
            <w:r w:rsidRPr="006E3B2D">
              <w:rPr>
                <w:rFonts w:ascii="標楷體" w:eastAsia="標楷體" w:hAnsi="標楷體" w:cs="Times New Roman" w:hint="eastAsia"/>
                <w:color w:val="000000"/>
                <w:kern w:val="0"/>
                <w:szCs w:val="24"/>
              </w:rPr>
              <w:t>供應商融資安排之揭露</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color w:val="000000"/>
                <w:kern w:val="0"/>
                <w:szCs w:val="24"/>
              </w:rPr>
            </w:pPr>
            <w:r w:rsidRPr="006E3B2D">
              <w:rPr>
                <w:rFonts w:ascii="標楷體" w:eastAsia="標楷體" w:hAnsi="標楷體" w:cs="Times New Roman" w:hint="eastAsia"/>
                <w:color w:val="000000"/>
                <w:kern w:val="0"/>
                <w:szCs w:val="24"/>
              </w:rPr>
              <w:t>金融負債</w:t>
            </w:r>
            <w:r w:rsidRPr="006E3B2D">
              <w:rPr>
                <w:rFonts w:ascii="標楷體" w:eastAsia="標楷體" w:hAnsi="標楷體" w:cs="Times New Roman" w:hint="eastAsia"/>
                <w:color w:val="000000"/>
                <w:kern w:val="0"/>
                <w:szCs w:val="24"/>
              </w:rPr>
              <w:br/>
              <w:t>現金流量表</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Times New Roman" w:eastAsia="新細明體" w:hAnsi="Times New Roman" w:cs="Times New Roman"/>
                <w:kern w:val="0"/>
                <w:szCs w:val="24"/>
              </w:rPr>
              <w:t>IAS7.44F-44H</w:t>
            </w:r>
            <w:r w:rsidRPr="006E3B2D">
              <w:rPr>
                <w:rFonts w:ascii="Times New Roman" w:eastAsia="新細明體" w:hAnsi="Times New Roman" w:cs="Times New Roman"/>
                <w:kern w:val="0"/>
                <w:szCs w:val="24"/>
              </w:rPr>
              <w:br/>
            </w:r>
            <w:r w:rsidRPr="006E3B2D">
              <w:rPr>
                <w:rFonts w:ascii="Times New Roman" w:eastAsia="新細明體" w:hAnsi="Times New Roman" w:cs="Times New Roman"/>
                <w:kern w:val="0"/>
                <w:szCs w:val="24"/>
              </w:rPr>
              <w:br/>
              <w:t>112</w:t>
            </w:r>
            <w:r w:rsidRPr="006E3B2D">
              <w:rPr>
                <w:rFonts w:ascii="標楷體" w:eastAsia="標楷體" w:hAnsi="標楷體" w:cs="Times New Roman" w:hint="eastAsia"/>
                <w:kern w:val="0"/>
                <w:szCs w:val="24"/>
              </w:rPr>
              <w:t>年版：無</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B47BDF">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t>1.</w:t>
            </w:r>
            <w:r w:rsidRPr="006E3B2D">
              <w:rPr>
                <w:rFonts w:ascii="標楷體" w:eastAsia="標楷體" w:hAnsi="標楷體" w:cs="Times New Roman" w:hint="eastAsia"/>
                <w:kern w:val="0"/>
                <w:szCs w:val="24"/>
              </w:rPr>
              <w:t>企業應揭露有關其供應商融資安排之資訊，</w:t>
            </w:r>
            <w:proofErr w:type="gramStart"/>
            <w:r w:rsidRPr="006E3B2D">
              <w:rPr>
                <w:rFonts w:ascii="標楷體" w:eastAsia="標楷體" w:hAnsi="標楷體" w:cs="Times New Roman" w:hint="eastAsia"/>
                <w:kern w:val="0"/>
                <w:szCs w:val="24"/>
              </w:rPr>
              <w:t>俾</w:t>
            </w:r>
            <w:proofErr w:type="gramEnd"/>
            <w:r w:rsidRPr="006E3B2D">
              <w:rPr>
                <w:rFonts w:ascii="標楷體" w:eastAsia="標楷體" w:hAnsi="標楷體" w:cs="Times New Roman" w:hint="eastAsia"/>
                <w:kern w:val="0"/>
                <w:szCs w:val="24"/>
              </w:rPr>
              <w:t>使財務報表使用者能評估該等安排對該企業之負債及現金流量，以及對該企業之流動性</w:t>
            </w:r>
            <w:proofErr w:type="gramStart"/>
            <w:r w:rsidRPr="006E3B2D">
              <w:rPr>
                <w:rFonts w:ascii="標楷體" w:eastAsia="標楷體" w:hAnsi="標楷體" w:cs="Times New Roman" w:hint="eastAsia"/>
                <w:kern w:val="0"/>
                <w:szCs w:val="24"/>
              </w:rPr>
              <w:t>風險暴險之</w:t>
            </w:r>
            <w:proofErr w:type="gramEnd"/>
            <w:r w:rsidRPr="006E3B2D">
              <w:rPr>
                <w:rFonts w:ascii="標楷體" w:eastAsia="標楷體" w:hAnsi="標楷體" w:cs="Times New Roman" w:hint="eastAsia"/>
                <w:kern w:val="0"/>
                <w:szCs w:val="24"/>
              </w:rPr>
              <w:t>影響。</w:t>
            </w:r>
            <w:r w:rsidRPr="006E3B2D">
              <w:rPr>
                <w:rFonts w:ascii="標楷體" w:eastAsia="標楷體" w:hAnsi="標楷體" w:cs="Times New Roman" w:hint="eastAsia"/>
                <w:kern w:val="0"/>
                <w:szCs w:val="24"/>
              </w:rPr>
              <w:br/>
            </w:r>
            <w:r w:rsidRPr="006E3B2D">
              <w:rPr>
                <w:rFonts w:ascii="標楷體" w:eastAsia="標楷體" w:hAnsi="標楷體" w:cs="Times New Roman" w:hint="eastAsia"/>
                <w:kern w:val="0"/>
                <w:szCs w:val="24"/>
              </w:rPr>
              <w:br/>
            </w:r>
            <w:r w:rsidR="00B47BDF">
              <w:rPr>
                <w:rFonts w:ascii="Times New Roman" w:eastAsia="新細明體" w:hAnsi="Times New Roman" w:cs="Times New Roman" w:hint="eastAsia"/>
                <w:kern w:val="0"/>
                <w:szCs w:val="24"/>
              </w:rPr>
              <w:t>2</w:t>
            </w:r>
            <w:r w:rsidRPr="006E3B2D">
              <w:rPr>
                <w:rFonts w:ascii="Times New Roman" w:eastAsia="新細明體" w:hAnsi="Times New Roman" w:cs="Times New Roman"/>
                <w:kern w:val="0"/>
                <w:szCs w:val="24"/>
              </w:rPr>
              <w:t>.</w:t>
            </w:r>
            <w:proofErr w:type="gramStart"/>
            <w:r w:rsidRPr="006E3B2D">
              <w:rPr>
                <w:rFonts w:ascii="標楷體" w:eastAsia="標楷體" w:hAnsi="標楷體" w:cs="Times New Roman" w:hint="eastAsia"/>
                <w:kern w:val="0"/>
                <w:szCs w:val="24"/>
              </w:rPr>
              <w:t>企業應彙總</w:t>
            </w:r>
            <w:proofErr w:type="gramEnd"/>
            <w:r w:rsidRPr="006E3B2D">
              <w:rPr>
                <w:rFonts w:ascii="標楷體" w:eastAsia="標楷體" w:hAnsi="標楷體" w:cs="Times New Roman" w:hint="eastAsia"/>
                <w:kern w:val="0"/>
                <w:szCs w:val="24"/>
              </w:rPr>
              <w:t>揭露供應商融資安排之條款及條件、</w:t>
            </w:r>
            <w:r w:rsidR="00B47BDF">
              <w:rPr>
                <w:rFonts w:ascii="標楷體" w:eastAsia="標楷體" w:hAnsi="標楷體" w:cs="Times New Roman" w:hint="eastAsia"/>
                <w:kern w:val="0"/>
                <w:szCs w:val="24"/>
              </w:rPr>
              <w:t>報導期間開始日及結束日</w:t>
            </w:r>
            <w:r w:rsidRPr="006E3B2D">
              <w:rPr>
                <w:rFonts w:ascii="標楷體" w:eastAsia="標楷體" w:hAnsi="標楷體" w:cs="Times New Roman" w:hint="eastAsia"/>
                <w:kern w:val="0"/>
                <w:szCs w:val="24"/>
              </w:rPr>
              <w:t>相關金融負債之</w:t>
            </w:r>
            <w:proofErr w:type="gramStart"/>
            <w:r w:rsidRPr="006E3B2D">
              <w:rPr>
                <w:rFonts w:ascii="標楷體" w:eastAsia="標楷體" w:hAnsi="標楷體" w:cs="Times New Roman" w:hint="eastAsia"/>
                <w:kern w:val="0"/>
                <w:szCs w:val="24"/>
              </w:rPr>
              <w:t>帳面</w:t>
            </w:r>
            <w:proofErr w:type="gramEnd"/>
            <w:r w:rsidRPr="006E3B2D">
              <w:rPr>
                <w:rFonts w:ascii="標楷體" w:eastAsia="標楷體" w:hAnsi="標楷體" w:cs="Times New Roman" w:hint="eastAsia"/>
                <w:kern w:val="0"/>
                <w:szCs w:val="24"/>
              </w:rPr>
              <w:t>金額</w:t>
            </w:r>
            <w:r w:rsidRPr="006E3B2D">
              <w:rPr>
                <w:rFonts w:ascii="Times New Roman" w:eastAsia="新細明體" w:hAnsi="Times New Roman" w:cs="Times New Roman"/>
                <w:kern w:val="0"/>
                <w:szCs w:val="24"/>
              </w:rPr>
              <w:t>(</w:t>
            </w:r>
            <w:r w:rsidRPr="006E3B2D">
              <w:rPr>
                <w:rFonts w:ascii="標楷體" w:eastAsia="標楷體" w:hAnsi="標楷體" w:cs="Times New Roman" w:hint="eastAsia"/>
                <w:kern w:val="0"/>
                <w:szCs w:val="24"/>
              </w:rPr>
              <w:t>包括供應商已自融資提供者</w:t>
            </w:r>
            <w:r w:rsidR="00B47BDF">
              <w:rPr>
                <w:rFonts w:ascii="標楷體" w:eastAsia="標楷體" w:hAnsi="標楷體" w:cs="Times New Roman" w:hint="eastAsia"/>
                <w:kern w:val="0"/>
                <w:szCs w:val="24"/>
              </w:rPr>
              <w:t>收取付款</w:t>
            </w:r>
            <w:r w:rsidRPr="006E3B2D">
              <w:rPr>
                <w:rFonts w:ascii="標楷體" w:eastAsia="標楷體" w:hAnsi="標楷體" w:cs="Times New Roman" w:hint="eastAsia"/>
                <w:kern w:val="0"/>
                <w:szCs w:val="24"/>
              </w:rPr>
              <w:t>之金額</w:t>
            </w:r>
            <w:r w:rsidRPr="006E3B2D">
              <w:rPr>
                <w:rFonts w:ascii="Times New Roman" w:eastAsia="新細明體" w:hAnsi="Times New Roman" w:cs="Times New Roman"/>
                <w:kern w:val="0"/>
                <w:szCs w:val="24"/>
              </w:rPr>
              <w:t>)</w:t>
            </w:r>
            <w:r w:rsidRPr="006E3B2D">
              <w:rPr>
                <w:rFonts w:ascii="標楷體" w:eastAsia="標楷體" w:hAnsi="標楷體" w:cs="Times New Roman" w:hint="eastAsia"/>
                <w:kern w:val="0"/>
                <w:szCs w:val="24"/>
              </w:rPr>
              <w:t>及付款到期日區間</w:t>
            </w:r>
            <w:r w:rsidRPr="006E3B2D">
              <w:rPr>
                <w:rFonts w:ascii="Times New Roman" w:eastAsia="新細明體" w:hAnsi="Times New Roman" w:cs="Times New Roman"/>
                <w:kern w:val="0"/>
                <w:szCs w:val="24"/>
              </w:rPr>
              <w:t>(</w:t>
            </w:r>
            <w:r w:rsidRPr="006E3B2D">
              <w:rPr>
                <w:rFonts w:ascii="標楷體" w:eastAsia="標楷體" w:hAnsi="標楷體" w:cs="Times New Roman" w:hint="eastAsia"/>
                <w:kern w:val="0"/>
                <w:szCs w:val="24"/>
              </w:rPr>
              <w:t>包括可比應付帳款之付款到期區間</w:t>
            </w:r>
            <w:r w:rsidRPr="006E3B2D">
              <w:rPr>
                <w:rFonts w:ascii="Times New Roman" w:eastAsia="新細明體" w:hAnsi="Times New Roman" w:cs="Times New Roman"/>
                <w:kern w:val="0"/>
                <w:szCs w:val="24"/>
              </w:rPr>
              <w:t>)</w:t>
            </w:r>
            <w:r w:rsidRPr="006E3B2D">
              <w:rPr>
                <w:rFonts w:ascii="標楷體" w:eastAsia="標楷體" w:hAnsi="標楷體" w:cs="Times New Roman" w:hint="eastAsia"/>
                <w:kern w:val="0"/>
                <w:szCs w:val="24"/>
              </w:rPr>
              <w:t>，亦</w:t>
            </w:r>
            <w:r w:rsidR="00B47BDF">
              <w:rPr>
                <w:rFonts w:ascii="標楷體" w:eastAsia="標楷體" w:hAnsi="標楷體" w:cs="Times New Roman" w:hint="eastAsia"/>
                <w:kern w:val="0"/>
                <w:szCs w:val="24"/>
              </w:rPr>
              <w:t>須</w:t>
            </w:r>
            <w:r w:rsidRPr="006E3B2D">
              <w:rPr>
                <w:rFonts w:ascii="標楷體" w:eastAsia="標楷體" w:hAnsi="標楷體" w:cs="Times New Roman" w:hint="eastAsia"/>
                <w:kern w:val="0"/>
                <w:szCs w:val="24"/>
              </w:rPr>
              <w:t>揭露作為供應商融資安排一部分的金融負債</w:t>
            </w:r>
            <w:proofErr w:type="gramStart"/>
            <w:r w:rsidRPr="006E3B2D">
              <w:rPr>
                <w:rFonts w:ascii="標楷體" w:eastAsia="標楷體" w:hAnsi="標楷體" w:cs="Times New Roman" w:hint="eastAsia"/>
                <w:kern w:val="0"/>
                <w:szCs w:val="24"/>
              </w:rPr>
              <w:t>帳面</w:t>
            </w:r>
            <w:proofErr w:type="gramEnd"/>
            <w:r w:rsidRPr="006E3B2D">
              <w:rPr>
                <w:rFonts w:ascii="標楷體" w:eastAsia="標楷體" w:hAnsi="標楷體" w:cs="Times New Roman" w:hint="eastAsia"/>
                <w:kern w:val="0"/>
                <w:szCs w:val="24"/>
              </w:rPr>
              <w:t>金額中非現金變動之類型及影響。</w:t>
            </w:r>
            <w:r w:rsidRPr="006E3B2D">
              <w:rPr>
                <w:rFonts w:ascii="標楷體" w:eastAsia="標楷體" w:hAnsi="標楷體" w:cs="Times New Roman" w:hint="eastAsia"/>
                <w:kern w:val="0"/>
                <w:szCs w:val="24"/>
              </w:rPr>
              <w:br/>
            </w:r>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t>112</w:t>
            </w:r>
            <w:r w:rsidRPr="006E3B2D">
              <w:rPr>
                <w:rFonts w:ascii="標楷體" w:eastAsia="標楷體" w:hAnsi="標楷體" w:cs="Times New Roman" w:hint="eastAsia"/>
                <w:kern w:val="0"/>
                <w:szCs w:val="24"/>
              </w:rPr>
              <w:t>年版：無</w:t>
            </w:r>
          </w:p>
        </w:tc>
      </w:tr>
      <w:tr w:rsidR="007D0E56" w:rsidRPr="006E3B2D" w:rsidTr="007D0E56">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D0E56" w:rsidRPr="006E3B2D" w:rsidRDefault="007D0E56" w:rsidP="007D0E56">
            <w:pPr>
              <w:widowControl/>
              <w:rPr>
                <w:rFonts w:ascii="Times New Roman" w:eastAsia="新細明體" w:hAnsi="Times New Roman" w:cs="Times New Roman"/>
                <w:color w:val="000000"/>
                <w:kern w:val="0"/>
                <w:szCs w:val="24"/>
              </w:rPr>
            </w:pPr>
            <w:r w:rsidRPr="006E3B2D">
              <w:rPr>
                <w:rFonts w:ascii="Times New Roman" w:eastAsia="新細明體" w:hAnsi="Times New Roman" w:cs="Times New Roman"/>
                <w:color w:val="000000"/>
                <w:kern w:val="0"/>
                <w:szCs w:val="24"/>
              </w:rPr>
              <w:t>2</w:t>
            </w:r>
          </w:p>
        </w:tc>
        <w:tc>
          <w:tcPr>
            <w:tcW w:w="0" w:type="auto"/>
            <w:tcBorders>
              <w:top w:val="single" w:sz="4" w:space="0" w:color="auto"/>
              <w:left w:val="nil"/>
              <w:bottom w:val="single" w:sz="4" w:space="0" w:color="auto"/>
              <w:right w:val="single" w:sz="4" w:space="0" w:color="auto"/>
            </w:tcBorders>
            <w:shd w:val="clear" w:color="auto" w:fill="auto"/>
          </w:tcPr>
          <w:p w:rsidR="007D0E56" w:rsidRPr="007D0E56" w:rsidRDefault="007D0E56" w:rsidP="007D0E56">
            <w:pPr>
              <w:widowControl/>
              <w:rPr>
                <w:rFonts w:ascii="標楷體" w:eastAsia="標楷體" w:hAnsi="標楷體" w:cs="Times New Roman"/>
                <w:color w:val="000000"/>
                <w:kern w:val="0"/>
                <w:szCs w:val="24"/>
              </w:rPr>
            </w:pPr>
            <w:r w:rsidRPr="006E3B2D">
              <w:rPr>
                <w:rFonts w:ascii="標楷體" w:eastAsia="標楷體" w:hAnsi="標楷體" w:cs="Times New Roman" w:hint="eastAsia"/>
                <w:color w:val="000000"/>
                <w:kern w:val="0"/>
                <w:szCs w:val="24"/>
              </w:rPr>
              <w:t>對清償遞延權利取決於報導日後</w:t>
            </w:r>
            <w:r>
              <w:rPr>
                <w:rFonts w:ascii="標楷體" w:eastAsia="標楷體" w:hAnsi="標楷體" w:cs="Times New Roman" w:hint="eastAsia"/>
                <w:color w:val="000000"/>
                <w:kern w:val="0"/>
                <w:szCs w:val="24"/>
              </w:rPr>
              <w:t>十二</w:t>
            </w:r>
            <w:proofErr w:type="gramStart"/>
            <w:r>
              <w:rPr>
                <w:rFonts w:ascii="標楷體" w:eastAsia="標楷體" w:hAnsi="標楷體" w:cs="Times New Roman" w:hint="eastAsia"/>
                <w:color w:val="000000"/>
                <w:kern w:val="0"/>
                <w:szCs w:val="24"/>
              </w:rPr>
              <w:t>個</w:t>
            </w:r>
            <w:proofErr w:type="gramEnd"/>
            <w:r>
              <w:rPr>
                <w:rFonts w:ascii="標楷體" w:eastAsia="標楷體" w:hAnsi="標楷體" w:cs="Times New Roman" w:hint="eastAsia"/>
                <w:color w:val="000000"/>
                <w:kern w:val="0"/>
                <w:szCs w:val="24"/>
              </w:rPr>
              <w:t>月內</w:t>
            </w:r>
            <w:r w:rsidRPr="006E3B2D">
              <w:rPr>
                <w:rFonts w:ascii="標楷體" w:eastAsia="標楷體" w:hAnsi="標楷體" w:cs="Times New Roman" w:hint="eastAsia"/>
                <w:color w:val="000000"/>
                <w:kern w:val="0"/>
                <w:szCs w:val="24"/>
              </w:rPr>
              <w:t>遵循合約條款之負債，新增相關揭露</w:t>
            </w:r>
          </w:p>
        </w:tc>
        <w:tc>
          <w:tcPr>
            <w:tcW w:w="0" w:type="auto"/>
            <w:tcBorders>
              <w:top w:val="single" w:sz="4" w:space="0" w:color="auto"/>
              <w:left w:val="nil"/>
              <w:bottom w:val="single" w:sz="4" w:space="0" w:color="auto"/>
              <w:right w:val="single" w:sz="4" w:space="0" w:color="auto"/>
            </w:tcBorders>
            <w:shd w:val="clear" w:color="auto" w:fill="auto"/>
          </w:tcPr>
          <w:p w:rsidR="007D0E56" w:rsidRPr="006E3B2D" w:rsidRDefault="007D0E56" w:rsidP="007D0E56">
            <w:pPr>
              <w:widowControl/>
              <w:rPr>
                <w:rFonts w:ascii="標楷體" w:eastAsia="標楷體" w:hAnsi="標楷體" w:cs="新細明體"/>
                <w:color w:val="FF0000"/>
                <w:kern w:val="0"/>
                <w:szCs w:val="24"/>
              </w:rPr>
            </w:pPr>
            <w:r w:rsidRPr="006E3B2D">
              <w:rPr>
                <w:rFonts w:ascii="標楷體" w:eastAsia="標楷體" w:hAnsi="標楷體" w:cs="新細明體" w:hint="eastAsia"/>
                <w:strike/>
                <w:color w:val="FF0000"/>
                <w:kern w:val="0"/>
                <w:szCs w:val="24"/>
              </w:rPr>
              <w:t xml:space="preserve">　</w:t>
            </w:r>
          </w:p>
        </w:tc>
        <w:tc>
          <w:tcPr>
            <w:tcW w:w="0" w:type="auto"/>
            <w:tcBorders>
              <w:top w:val="single" w:sz="4" w:space="0" w:color="auto"/>
              <w:left w:val="nil"/>
              <w:bottom w:val="single" w:sz="4" w:space="0" w:color="auto"/>
              <w:right w:val="single" w:sz="4" w:space="0" w:color="auto"/>
            </w:tcBorders>
            <w:shd w:val="clear" w:color="auto" w:fill="auto"/>
          </w:tcPr>
          <w:p w:rsidR="007D0E56" w:rsidRPr="006E3B2D" w:rsidRDefault="007D0E56" w:rsidP="007D0E56">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Times New Roman" w:eastAsia="新細明體" w:hAnsi="Times New Roman" w:cs="Times New Roman"/>
                <w:kern w:val="0"/>
                <w:szCs w:val="24"/>
              </w:rPr>
              <w:t>IAS1.76ZA</w:t>
            </w:r>
            <w:r w:rsidRPr="006E3B2D">
              <w:rPr>
                <w:rFonts w:ascii="Times New Roman" w:eastAsia="新細明體" w:hAnsi="Times New Roman" w:cs="Times New Roman"/>
                <w:kern w:val="0"/>
                <w:szCs w:val="24"/>
              </w:rPr>
              <w:br/>
            </w:r>
            <w:r w:rsidRPr="006E3B2D">
              <w:rPr>
                <w:rFonts w:ascii="Times New Roman" w:eastAsia="新細明體" w:hAnsi="Times New Roman" w:cs="Times New Roman"/>
                <w:kern w:val="0"/>
                <w:szCs w:val="24"/>
              </w:rPr>
              <w:br/>
              <w:t>112</w:t>
            </w:r>
            <w:r w:rsidRPr="006E3B2D">
              <w:rPr>
                <w:rFonts w:ascii="標楷體" w:eastAsia="標楷體" w:hAnsi="標楷體" w:cs="Times New Roman" w:hint="eastAsia"/>
                <w:kern w:val="0"/>
                <w:szCs w:val="24"/>
              </w:rPr>
              <w:t>年版：無</w:t>
            </w:r>
          </w:p>
        </w:tc>
        <w:tc>
          <w:tcPr>
            <w:tcW w:w="0" w:type="auto"/>
            <w:tcBorders>
              <w:top w:val="single" w:sz="4" w:space="0" w:color="auto"/>
              <w:left w:val="nil"/>
              <w:bottom w:val="single" w:sz="4" w:space="0" w:color="auto"/>
              <w:right w:val="single" w:sz="4" w:space="0" w:color="auto"/>
            </w:tcBorders>
            <w:shd w:val="clear" w:color="auto" w:fill="auto"/>
          </w:tcPr>
          <w:p w:rsidR="007D0E56" w:rsidRPr="006E3B2D" w:rsidRDefault="007D0E56" w:rsidP="007D0E56">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t>當企業將借款協議所產生之負債之清償遞延之權利受限於該企業於報導期間後十二</w:t>
            </w:r>
            <w:proofErr w:type="gramStart"/>
            <w:r w:rsidRPr="006E3B2D">
              <w:rPr>
                <w:rFonts w:ascii="標楷體" w:eastAsia="標楷體" w:hAnsi="標楷體" w:cs="Times New Roman" w:hint="eastAsia"/>
                <w:kern w:val="0"/>
                <w:szCs w:val="24"/>
              </w:rPr>
              <w:t>個</w:t>
            </w:r>
            <w:proofErr w:type="gramEnd"/>
            <w:r w:rsidRPr="006E3B2D">
              <w:rPr>
                <w:rFonts w:ascii="標楷體" w:eastAsia="標楷體" w:hAnsi="標楷體" w:cs="Times New Roman" w:hint="eastAsia"/>
                <w:kern w:val="0"/>
                <w:szCs w:val="24"/>
              </w:rPr>
              <w:t>月內對合約條款之遵循時，其可能將該等負債分類為非流動。於此種情況下，企業應於附註中揭露相關資訊，</w:t>
            </w:r>
            <w:proofErr w:type="gramStart"/>
            <w:r w:rsidRPr="006E3B2D">
              <w:rPr>
                <w:rFonts w:ascii="標楷體" w:eastAsia="標楷體" w:hAnsi="標楷體" w:cs="Times New Roman" w:hint="eastAsia"/>
                <w:kern w:val="0"/>
                <w:szCs w:val="24"/>
              </w:rPr>
              <w:t>俾</w:t>
            </w:r>
            <w:proofErr w:type="gramEnd"/>
            <w:r w:rsidRPr="006E3B2D">
              <w:rPr>
                <w:rFonts w:ascii="標楷體" w:eastAsia="標楷體" w:hAnsi="標楷體" w:cs="Times New Roman" w:hint="eastAsia"/>
                <w:kern w:val="0"/>
                <w:szCs w:val="24"/>
              </w:rPr>
              <w:t>使財務報表使用者了解該等負債於報導期間後十二</w:t>
            </w:r>
            <w:proofErr w:type="gramStart"/>
            <w:r w:rsidRPr="006E3B2D">
              <w:rPr>
                <w:rFonts w:ascii="標楷體" w:eastAsia="標楷體" w:hAnsi="標楷體" w:cs="Times New Roman" w:hint="eastAsia"/>
                <w:kern w:val="0"/>
                <w:szCs w:val="24"/>
              </w:rPr>
              <w:t>個</w:t>
            </w:r>
            <w:proofErr w:type="gramEnd"/>
            <w:r w:rsidRPr="006E3B2D">
              <w:rPr>
                <w:rFonts w:ascii="標楷體" w:eastAsia="標楷體" w:hAnsi="標楷體" w:cs="Times New Roman" w:hint="eastAsia"/>
                <w:kern w:val="0"/>
                <w:szCs w:val="24"/>
              </w:rPr>
              <w:t>月內可能成為應償還之風險</w:t>
            </w:r>
            <w:r>
              <w:rPr>
                <w:rFonts w:ascii="標楷體" w:eastAsia="標楷體" w:hAnsi="標楷體" w:cs="Times New Roman" w:hint="eastAsia"/>
                <w:kern w:val="0"/>
                <w:szCs w:val="24"/>
              </w:rPr>
              <w:t>。</w:t>
            </w:r>
            <w:r w:rsidRPr="006E3B2D">
              <w:rPr>
                <w:rFonts w:ascii="標楷體" w:eastAsia="標楷體" w:hAnsi="標楷體" w:cs="Times New Roman" w:hint="eastAsia"/>
                <w:kern w:val="0"/>
                <w:szCs w:val="24"/>
              </w:rPr>
              <w:t>該等資訊包括與合約條款有關之資訊（包括合約條款之性質及企業須於何時遵循該等條款）及相關負債之</w:t>
            </w:r>
            <w:proofErr w:type="gramStart"/>
            <w:r w:rsidRPr="006E3B2D">
              <w:rPr>
                <w:rFonts w:ascii="標楷體" w:eastAsia="標楷體" w:hAnsi="標楷體" w:cs="Times New Roman" w:hint="eastAsia"/>
                <w:kern w:val="0"/>
                <w:szCs w:val="24"/>
              </w:rPr>
              <w:t>帳面</w:t>
            </w:r>
            <w:proofErr w:type="gramEnd"/>
            <w:r w:rsidRPr="006E3B2D">
              <w:rPr>
                <w:rFonts w:ascii="標楷體" w:eastAsia="標楷體" w:hAnsi="標楷體" w:cs="Times New Roman" w:hint="eastAsia"/>
                <w:kern w:val="0"/>
                <w:szCs w:val="24"/>
              </w:rPr>
              <w:t>金額，以及任何顯示企業遵循合約條款可能有困難之事實及情況。</w:t>
            </w:r>
            <w:r w:rsidRPr="006E3B2D">
              <w:rPr>
                <w:rFonts w:ascii="標楷體" w:eastAsia="標楷體" w:hAnsi="標楷體" w:cs="Times New Roman" w:hint="eastAsia"/>
                <w:kern w:val="0"/>
                <w:szCs w:val="24"/>
              </w:rPr>
              <w:br/>
            </w:r>
            <w:r w:rsidRPr="006E3B2D">
              <w:rPr>
                <w:rFonts w:ascii="標楷體" w:eastAsia="標楷體" w:hAnsi="標楷體" w:cs="Times New Roman" w:hint="eastAsia"/>
                <w:kern w:val="0"/>
                <w:szCs w:val="24"/>
              </w:rPr>
              <w:lastRenderedPageBreak/>
              <w:br/>
            </w:r>
            <w:r w:rsidRPr="006E3B2D">
              <w:rPr>
                <w:rFonts w:ascii="Times New Roman" w:eastAsia="新細明體" w:hAnsi="Times New Roman" w:cs="Times New Roman"/>
                <w:kern w:val="0"/>
                <w:szCs w:val="24"/>
              </w:rPr>
              <w:t>112</w:t>
            </w:r>
            <w:r w:rsidRPr="006E3B2D">
              <w:rPr>
                <w:rFonts w:ascii="標楷體" w:eastAsia="標楷體" w:hAnsi="標楷體" w:cs="Times New Roman" w:hint="eastAsia"/>
                <w:kern w:val="0"/>
                <w:szCs w:val="24"/>
              </w:rPr>
              <w:t>年版：無</w:t>
            </w:r>
          </w:p>
        </w:tc>
      </w:tr>
    </w:tbl>
    <w:p w:rsidR="006E3B2D" w:rsidRPr="006E3B2D" w:rsidRDefault="006E3B2D">
      <w:pPr>
        <w:rPr>
          <w:szCs w:val="24"/>
        </w:rPr>
      </w:pPr>
    </w:p>
    <w:tbl>
      <w:tblPr>
        <w:tblW w:w="0" w:type="auto"/>
        <w:tblInd w:w="13" w:type="dxa"/>
        <w:tblCellMar>
          <w:left w:w="28" w:type="dxa"/>
          <w:right w:w="28" w:type="dxa"/>
        </w:tblCellMar>
        <w:tblLook w:val="04A0" w:firstRow="1" w:lastRow="0" w:firstColumn="1" w:lastColumn="0" w:noHBand="0" w:noVBand="1"/>
      </w:tblPr>
      <w:tblGrid>
        <w:gridCol w:w="505"/>
        <w:gridCol w:w="3256"/>
        <w:gridCol w:w="1291"/>
        <w:gridCol w:w="1900"/>
        <w:gridCol w:w="7049"/>
      </w:tblGrid>
      <w:tr w:rsidR="006E3B2D" w:rsidRPr="006E3B2D" w:rsidTr="006E3B2D">
        <w:tc>
          <w:tcPr>
            <w:tcW w:w="0" w:type="auto"/>
            <w:gridSpan w:val="3"/>
            <w:tcBorders>
              <w:top w:val="nil"/>
              <w:left w:val="nil"/>
              <w:bottom w:val="nil"/>
              <w:right w:val="nil"/>
            </w:tcBorders>
            <w:shd w:val="clear" w:color="auto" w:fill="auto"/>
            <w:noWrap/>
            <w:hideMark/>
          </w:tcPr>
          <w:p w:rsidR="006E3B2D" w:rsidRPr="006E3B2D" w:rsidRDefault="006E3B2D" w:rsidP="006E3B2D">
            <w:pPr>
              <w:widowControl/>
              <w:rPr>
                <w:rFonts w:ascii="Times New Roman" w:eastAsia="新細明體" w:hAnsi="Times New Roman" w:cs="Times New Roman"/>
                <w:b/>
                <w:bCs/>
                <w:color w:val="0000FF"/>
                <w:kern w:val="0"/>
                <w:szCs w:val="24"/>
              </w:rPr>
            </w:pPr>
            <w:r w:rsidRPr="006E3B2D">
              <w:rPr>
                <w:rFonts w:ascii="標楷體" w:eastAsia="標楷體" w:hAnsi="標楷體" w:cs="Times New Roman" w:hint="eastAsia"/>
                <w:b/>
                <w:bCs/>
                <w:color w:val="0000FF"/>
                <w:kern w:val="0"/>
                <w:szCs w:val="24"/>
              </w:rPr>
              <w:t>三、其他重大實務提醒項目</w:t>
            </w:r>
          </w:p>
        </w:tc>
        <w:tc>
          <w:tcPr>
            <w:tcW w:w="0" w:type="auto"/>
            <w:tcBorders>
              <w:top w:val="nil"/>
              <w:left w:val="nil"/>
              <w:bottom w:val="nil"/>
              <w:right w:val="nil"/>
            </w:tcBorders>
            <w:shd w:val="clear" w:color="auto" w:fill="auto"/>
            <w:noWrap/>
            <w:vAlign w:val="center"/>
            <w:hideMark/>
          </w:tcPr>
          <w:p w:rsidR="006E3B2D" w:rsidRPr="006E3B2D" w:rsidRDefault="006E3B2D" w:rsidP="006E3B2D">
            <w:pPr>
              <w:widowControl/>
              <w:rPr>
                <w:rFonts w:ascii="Times New Roman" w:eastAsia="新細明體" w:hAnsi="Times New Roman" w:cs="Times New Roman"/>
                <w:color w:val="000000"/>
                <w:kern w:val="0"/>
                <w:szCs w:val="24"/>
              </w:rPr>
            </w:pPr>
          </w:p>
        </w:tc>
        <w:tc>
          <w:tcPr>
            <w:tcW w:w="0" w:type="auto"/>
            <w:tcBorders>
              <w:top w:val="nil"/>
              <w:left w:val="nil"/>
              <w:bottom w:val="nil"/>
              <w:right w:val="nil"/>
            </w:tcBorders>
            <w:shd w:val="clear" w:color="auto" w:fill="auto"/>
            <w:noWrap/>
            <w:vAlign w:val="center"/>
            <w:hideMark/>
          </w:tcPr>
          <w:p w:rsidR="006E3B2D" w:rsidRPr="006E3B2D" w:rsidRDefault="006E3B2D" w:rsidP="006E3B2D">
            <w:pPr>
              <w:widowControl/>
              <w:rPr>
                <w:rFonts w:ascii="Times New Roman" w:eastAsia="新細明體" w:hAnsi="Times New Roman" w:cs="Times New Roman"/>
                <w:color w:val="000000"/>
                <w:kern w:val="0"/>
                <w:szCs w:val="24"/>
              </w:rPr>
            </w:pPr>
          </w:p>
        </w:tc>
      </w:tr>
      <w:tr w:rsidR="00E966A3" w:rsidRPr="006E3B2D" w:rsidTr="006E3B2D">
        <w:tc>
          <w:tcPr>
            <w:tcW w:w="0" w:type="auto"/>
            <w:tcBorders>
              <w:top w:val="single" w:sz="4" w:space="0" w:color="auto"/>
              <w:left w:val="single" w:sz="4" w:space="0" w:color="auto"/>
              <w:bottom w:val="single" w:sz="4" w:space="0" w:color="auto"/>
              <w:right w:val="single" w:sz="4" w:space="0" w:color="auto"/>
            </w:tcBorders>
            <w:shd w:val="clear" w:color="000000" w:fill="FAC090"/>
            <w:hideMark/>
          </w:tcPr>
          <w:p w:rsidR="006E3B2D" w:rsidRPr="006E3B2D" w:rsidRDefault="006E3B2D" w:rsidP="006E3B2D">
            <w:pPr>
              <w:widowControl/>
              <w:jc w:val="center"/>
              <w:rPr>
                <w:rFonts w:ascii="Times New Roman" w:eastAsia="新細明體" w:hAnsi="Times New Roman" w:cs="Times New Roman"/>
                <w:b/>
                <w:bCs/>
                <w:kern w:val="0"/>
                <w:szCs w:val="24"/>
              </w:rPr>
            </w:pPr>
            <w:bookmarkStart w:id="1" w:name="RANGE!A2:E5"/>
            <w:r w:rsidRPr="006E3B2D">
              <w:rPr>
                <w:rFonts w:ascii="標楷體" w:eastAsia="標楷體" w:hAnsi="標楷體" w:cs="Times New Roman" w:hint="eastAsia"/>
                <w:b/>
                <w:bCs/>
                <w:kern w:val="0"/>
                <w:szCs w:val="24"/>
              </w:rPr>
              <w:t>項次</w:t>
            </w:r>
            <w:bookmarkEnd w:id="1"/>
          </w:p>
        </w:tc>
        <w:tc>
          <w:tcPr>
            <w:tcW w:w="0" w:type="auto"/>
            <w:tcBorders>
              <w:top w:val="single" w:sz="4" w:space="0" w:color="auto"/>
              <w:left w:val="nil"/>
              <w:bottom w:val="single" w:sz="4" w:space="0" w:color="auto"/>
              <w:right w:val="single" w:sz="4" w:space="0" w:color="auto"/>
            </w:tcBorders>
            <w:shd w:val="clear" w:color="000000" w:fill="FAC09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議題</w:t>
            </w:r>
          </w:p>
        </w:tc>
        <w:tc>
          <w:tcPr>
            <w:tcW w:w="0" w:type="auto"/>
            <w:tcBorders>
              <w:top w:val="single" w:sz="4" w:space="0" w:color="auto"/>
              <w:left w:val="nil"/>
              <w:bottom w:val="single" w:sz="4" w:space="0" w:color="auto"/>
              <w:right w:val="single" w:sz="4" w:space="0" w:color="auto"/>
            </w:tcBorders>
            <w:shd w:val="clear" w:color="000000" w:fill="FAC09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會計項目</w:t>
            </w:r>
          </w:p>
        </w:tc>
        <w:tc>
          <w:tcPr>
            <w:tcW w:w="0" w:type="auto"/>
            <w:tcBorders>
              <w:top w:val="single" w:sz="4" w:space="0" w:color="auto"/>
              <w:left w:val="nil"/>
              <w:bottom w:val="single" w:sz="4" w:space="0" w:color="auto"/>
              <w:right w:val="single" w:sz="4" w:space="0" w:color="auto"/>
            </w:tcBorders>
            <w:shd w:val="clear" w:color="000000" w:fill="FAC09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公報號次及段落</w:t>
            </w:r>
          </w:p>
        </w:tc>
        <w:tc>
          <w:tcPr>
            <w:tcW w:w="0" w:type="auto"/>
            <w:tcBorders>
              <w:top w:val="single" w:sz="4" w:space="0" w:color="auto"/>
              <w:left w:val="nil"/>
              <w:bottom w:val="single" w:sz="4" w:space="0" w:color="auto"/>
              <w:right w:val="single" w:sz="4" w:space="0" w:color="auto"/>
            </w:tcBorders>
            <w:shd w:val="clear" w:color="000000" w:fill="FAC09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差異說明</w:t>
            </w:r>
          </w:p>
        </w:tc>
      </w:tr>
      <w:tr w:rsidR="00E966A3" w:rsidRPr="006E3B2D" w:rsidTr="006E3B2D">
        <w:tc>
          <w:tcPr>
            <w:tcW w:w="0" w:type="auto"/>
            <w:tcBorders>
              <w:top w:val="nil"/>
              <w:left w:val="single" w:sz="4" w:space="0" w:color="auto"/>
              <w:bottom w:val="single" w:sz="4" w:space="0" w:color="auto"/>
              <w:right w:val="single" w:sz="4" w:space="0" w:color="auto"/>
            </w:tcBorders>
            <w:shd w:val="clear" w:color="auto" w:fill="auto"/>
            <w:noWrap/>
            <w:hideMark/>
          </w:tcPr>
          <w:p w:rsidR="006E3B2D" w:rsidRPr="006E3B2D" w:rsidRDefault="006E3B2D" w:rsidP="006E3B2D">
            <w:pPr>
              <w:widowControl/>
              <w:rPr>
                <w:rFonts w:ascii="Times New Roman" w:eastAsia="新細明體" w:hAnsi="Times New Roman" w:cs="Times New Roman"/>
                <w:color w:val="000000"/>
                <w:kern w:val="0"/>
                <w:szCs w:val="24"/>
              </w:rPr>
            </w:pPr>
            <w:r w:rsidRPr="006E3B2D">
              <w:rPr>
                <w:rFonts w:ascii="Times New Roman" w:eastAsia="新細明體" w:hAnsi="Times New Roman" w:cs="Times New Roman"/>
                <w:color w:val="000000"/>
                <w:kern w:val="0"/>
                <w:szCs w:val="24"/>
              </w:rPr>
              <w:t>1</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標楷體" w:eastAsia="標楷體" w:hAnsi="標楷體" w:cs="新細明體"/>
                <w:kern w:val="0"/>
                <w:szCs w:val="24"/>
              </w:rPr>
            </w:pPr>
            <w:r w:rsidRPr="006E3B2D">
              <w:rPr>
                <w:rFonts w:ascii="標楷體" w:eastAsia="標楷體" w:hAnsi="標楷體" w:cs="新細明體" w:hint="eastAsia"/>
                <w:kern w:val="0"/>
                <w:szCs w:val="24"/>
              </w:rPr>
              <w:t>對管理階層意圖或預期提前清償分類為非流動之負債，新增相關揭露</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標楷體" w:eastAsia="標楷體" w:hAnsi="標楷體" w:cs="新細明體"/>
                <w:color w:val="FF0000"/>
                <w:kern w:val="0"/>
                <w:szCs w:val="24"/>
              </w:rPr>
            </w:pPr>
            <w:r w:rsidRPr="006E3B2D">
              <w:rPr>
                <w:rFonts w:ascii="標楷體" w:eastAsia="標楷體" w:hAnsi="標楷體" w:cs="新細明體" w:hint="eastAsia"/>
                <w:strike/>
                <w:color w:val="FF0000"/>
                <w:kern w:val="0"/>
                <w:szCs w:val="24"/>
              </w:rPr>
              <w:t xml:space="preserve">　</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E966A3">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t>IAS 1.75A</w:t>
            </w:r>
            <w:r w:rsidRPr="006E3B2D">
              <w:rPr>
                <w:rFonts w:ascii="標楷體" w:eastAsia="標楷體" w:hAnsi="標楷體" w:cs="Times New Roman" w:hint="eastAsia"/>
                <w:kern w:val="0"/>
                <w:szCs w:val="24"/>
              </w:rPr>
              <w:t>、</w:t>
            </w:r>
            <w:r w:rsidRPr="006E3B2D">
              <w:rPr>
                <w:rFonts w:ascii="Times New Roman" w:eastAsia="新細明體" w:hAnsi="Times New Roman" w:cs="Times New Roman"/>
                <w:kern w:val="0"/>
                <w:szCs w:val="24"/>
              </w:rPr>
              <w:t>76(d)</w:t>
            </w:r>
            <w:r w:rsidRPr="006E3B2D">
              <w:rPr>
                <w:rFonts w:ascii="Times New Roman" w:eastAsia="新細明體" w:hAnsi="Times New Roman" w:cs="Times New Roman"/>
                <w:kern w:val="0"/>
                <w:szCs w:val="24"/>
              </w:rPr>
              <w:br/>
            </w:r>
            <w:r w:rsidRPr="006E3B2D">
              <w:rPr>
                <w:rFonts w:ascii="Times New Roman" w:eastAsia="新細明體" w:hAnsi="Times New Roman" w:cs="Times New Roman"/>
                <w:kern w:val="0"/>
                <w:szCs w:val="24"/>
              </w:rPr>
              <w:br/>
              <w:t>112</w:t>
            </w:r>
            <w:r w:rsidRPr="006E3B2D">
              <w:rPr>
                <w:rFonts w:ascii="標楷體" w:eastAsia="標楷體" w:hAnsi="標楷體" w:cs="Times New Roman" w:hint="eastAsia"/>
                <w:kern w:val="0"/>
                <w:szCs w:val="24"/>
              </w:rPr>
              <w:t>年版：</w:t>
            </w:r>
            <w:r w:rsidR="00E966A3">
              <w:rPr>
                <w:rFonts w:ascii="標楷體" w:eastAsia="標楷體" w:hAnsi="標楷體" w:cs="Times New Roman" w:hint="eastAsia"/>
                <w:kern w:val="0"/>
                <w:szCs w:val="24"/>
              </w:rPr>
              <w:t>無</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E966A3">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t>若管理階層意圖或預期企業於報導期間後十二</w:t>
            </w:r>
            <w:proofErr w:type="gramStart"/>
            <w:r w:rsidRPr="006E3B2D">
              <w:rPr>
                <w:rFonts w:ascii="標楷體" w:eastAsia="標楷體" w:hAnsi="標楷體" w:cs="Times New Roman" w:hint="eastAsia"/>
                <w:kern w:val="0"/>
                <w:szCs w:val="24"/>
              </w:rPr>
              <w:t>個</w:t>
            </w:r>
            <w:proofErr w:type="gramEnd"/>
            <w:r w:rsidRPr="006E3B2D">
              <w:rPr>
                <w:rFonts w:ascii="標楷體" w:eastAsia="標楷體" w:hAnsi="標楷體" w:cs="Times New Roman" w:hint="eastAsia"/>
                <w:kern w:val="0"/>
                <w:szCs w:val="24"/>
              </w:rPr>
              <w:t>月內</w:t>
            </w:r>
            <w:r w:rsidR="00E966A3">
              <w:rPr>
                <w:rFonts w:ascii="標楷體" w:eastAsia="標楷體" w:hAnsi="標楷體" w:cs="Times New Roman" w:hint="eastAsia"/>
                <w:kern w:val="0"/>
                <w:szCs w:val="24"/>
              </w:rPr>
              <w:t>或企業於報導期間結束日至通過發布財務報表日間</w:t>
            </w:r>
            <w:r w:rsidRPr="006E3B2D">
              <w:rPr>
                <w:rFonts w:ascii="標楷體" w:eastAsia="標楷體" w:hAnsi="標楷體" w:cs="Times New Roman" w:hint="eastAsia"/>
                <w:kern w:val="0"/>
                <w:szCs w:val="24"/>
              </w:rPr>
              <w:t>清償分類為非流動之負債，可能</w:t>
            </w:r>
            <w:r w:rsidR="00E966A3">
              <w:rPr>
                <w:rFonts w:ascii="標楷體" w:eastAsia="標楷體" w:hAnsi="標楷體" w:cs="Times New Roman" w:hint="eastAsia"/>
                <w:kern w:val="0"/>
                <w:szCs w:val="24"/>
              </w:rPr>
              <w:t>需</w:t>
            </w:r>
            <w:r w:rsidRPr="006E3B2D">
              <w:rPr>
                <w:rFonts w:ascii="標楷體" w:eastAsia="標楷體" w:hAnsi="標楷體" w:cs="Times New Roman" w:hint="eastAsia"/>
                <w:kern w:val="0"/>
                <w:szCs w:val="24"/>
              </w:rPr>
              <w:t>揭露清償時點之資訊</w:t>
            </w:r>
            <w:r w:rsidRPr="006E3B2D">
              <w:rPr>
                <w:rFonts w:ascii="標楷體" w:eastAsia="標楷體" w:hAnsi="標楷體" w:cs="Times New Roman" w:hint="eastAsia"/>
                <w:kern w:val="0"/>
                <w:szCs w:val="24"/>
              </w:rPr>
              <w:br/>
              <w:t>若於報導期間結束日至通過發布財務報表日間發生分類為非流動之負債之清償，企業應將該等事項依</w:t>
            </w:r>
            <w:r w:rsidRPr="006E3B2D">
              <w:rPr>
                <w:rFonts w:ascii="Times New Roman" w:eastAsia="新細明體" w:hAnsi="Times New Roman" w:cs="Times New Roman"/>
                <w:kern w:val="0"/>
                <w:szCs w:val="24"/>
              </w:rPr>
              <w:t>IAS10</w:t>
            </w:r>
            <w:r w:rsidRPr="006E3B2D">
              <w:rPr>
                <w:rFonts w:ascii="標楷體" w:eastAsia="標楷體" w:hAnsi="標楷體" w:cs="Times New Roman" w:hint="eastAsia"/>
                <w:kern w:val="0"/>
                <w:szCs w:val="24"/>
              </w:rPr>
              <w:t>之規定揭露為非調整事項。</w:t>
            </w:r>
            <w:r w:rsidRPr="006E3B2D">
              <w:rPr>
                <w:rFonts w:ascii="標楷體" w:eastAsia="標楷體" w:hAnsi="標楷體" w:cs="Times New Roman" w:hint="eastAsia"/>
                <w:kern w:val="0"/>
                <w:szCs w:val="24"/>
              </w:rPr>
              <w:br/>
            </w:r>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t>112</w:t>
            </w:r>
            <w:r w:rsidRPr="006E3B2D">
              <w:rPr>
                <w:rFonts w:ascii="標楷體" w:eastAsia="標楷體" w:hAnsi="標楷體" w:cs="Times New Roman" w:hint="eastAsia"/>
                <w:kern w:val="0"/>
                <w:szCs w:val="24"/>
              </w:rPr>
              <w:t>年版：無</w:t>
            </w:r>
          </w:p>
        </w:tc>
      </w:tr>
      <w:tr w:rsidR="007D0E56" w:rsidRPr="006E3B2D" w:rsidTr="00C136F2">
        <w:tc>
          <w:tcPr>
            <w:tcW w:w="0" w:type="auto"/>
            <w:tcBorders>
              <w:top w:val="single" w:sz="4" w:space="0" w:color="auto"/>
              <w:left w:val="single" w:sz="4" w:space="0" w:color="auto"/>
              <w:bottom w:val="single" w:sz="4" w:space="0" w:color="auto"/>
              <w:right w:val="single" w:sz="4" w:space="0" w:color="auto"/>
            </w:tcBorders>
            <w:shd w:val="clear" w:color="auto" w:fill="auto"/>
            <w:noWrap/>
          </w:tcPr>
          <w:p w:rsidR="007D0E56" w:rsidRPr="006E3B2D" w:rsidRDefault="007D0E56" w:rsidP="007D0E56">
            <w:pPr>
              <w:widowControl/>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2</w:t>
            </w:r>
          </w:p>
        </w:tc>
        <w:tc>
          <w:tcPr>
            <w:tcW w:w="0" w:type="auto"/>
            <w:tcBorders>
              <w:top w:val="single" w:sz="4" w:space="0" w:color="auto"/>
              <w:left w:val="nil"/>
              <w:bottom w:val="single" w:sz="4" w:space="0" w:color="auto"/>
              <w:right w:val="single" w:sz="4" w:space="0" w:color="auto"/>
            </w:tcBorders>
            <w:shd w:val="clear" w:color="auto" w:fill="auto"/>
          </w:tcPr>
          <w:p w:rsidR="007D0E56" w:rsidRDefault="007D0E56" w:rsidP="007D0E56">
            <w:pPr>
              <w:widowControl/>
              <w:rPr>
                <w:rFonts w:ascii="標楷體" w:eastAsia="標楷體" w:hAnsi="標楷體" w:cs="Times New Roman"/>
                <w:color w:val="000000"/>
                <w:kern w:val="0"/>
                <w:szCs w:val="24"/>
              </w:rPr>
            </w:pPr>
            <w:r w:rsidRPr="006E3B2D">
              <w:rPr>
                <w:rFonts w:ascii="標楷體" w:eastAsia="標楷體" w:hAnsi="標楷體" w:cs="Times New Roman" w:hint="eastAsia"/>
                <w:color w:val="000000"/>
                <w:kern w:val="0"/>
                <w:szCs w:val="24"/>
              </w:rPr>
              <w:t>供應商融資安排之流動性風險揭露</w:t>
            </w:r>
          </w:p>
          <w:p w:rsidR="007D0E56" w:rsidRPr="006E3B2D" w:rsidRDefault="007D0E56" w:rsidP="007D0E56">
            <w:pPr>
              <w:widowControl/>
              <w:rPr>
                <w:rFonts w:ascii="Times New Roman" w:eastAsia="新細明體" w:hAnsi="Times New Roman" w:cs="Times New Roman"/>
                <w:color w:val="000000"/>
                <w:kern w:val="0"/>
                <w:szCs w:val="24"/>
              </w:rPr>
            </w:pPr>
          </w:p>
        </w:tc>
        <w:tc>
          <w:tcPr>
            <w:tcW w:w="0" w:type="auto"/>
            <w:tcBorders>
              <w:top w:val="single" w:sz="4" w:space="0" w:color="auto"/>
              <w:left w:val="nil"/>
              <w:bottom w:val="single" w:sz="4" w:space="0" w:color="auto"/>
              <w:right w:val="single" w:sz="4" w:space="0" w:color="auto"/>
            </w:tcBorders>
            <w:shd w:val="clear" w:color="auto" w:fill="auto"/>
          </w:tcPr>
          <w:p w:rsidR="007D0E56" w:rsidRPr="006E3B2D" w:rsidRDefault="007D0E56" w:rsidP="007D0E56">
            <w:pPr>
              <w:widowControl/>
              <w:rPr>
                <w:rFonts w:ascii="Times New Roman" w:eastAsia="新細明體" w:hAnsi="Times New Roman" w:cs="Times New Roman"/>
                <w:color w:val="000000"/>
                <w:kern w:val="0"/>
                <w:szCs w:val="24"/>
              </w:rPr>
            </w:pPr>
            <w:r w:rsidRPr="006E3B2D">
              <w:rPr>
                <w:rFonts w:ascii="標楷體" w:eastAsia="標楷體" w:hAnsi="標楷體" w:cs="Times New Roman" w:hint="eastAsia"/>
                <w:color w:val="000000"/>
                <w:kern w:val="0"/>
                <w:szCs w:val="24"/>
              </w:rPr>
              <w:t>金融負債</w:t>
            </w:r>
          </w:p>
        </w:tc>
        <w:tc>
          <w:tcPr>
            <w:tcW w:w="0" w:type="auto"/>
            <w:tcBorders>
              <w:top w:val="single" w:sz="4" w:space="0" w:color="auto"/>
              <w:left w:val="nil"/>
              <w:bottom w:val="single" w:sz="4" w:space="0" w:color="auto"/>
              <w:right w:val="single" w:sz="4" w:space="0" w:color="auto"/>
            </w:tcBorders>
            <w:shd w:val="clear" w:color="auto" w:fill="auto"/>
          </w:tcPr>
          <w:p w:rsidR="007D0E56" w:rsidRPr="006E3B2D" w:rsidRDefault="007D0E56" w:rsidP="007D0E56">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Times New Roman" w:eastAsia="新細明體" w:hAnsi="Times New Roman" w:cs="Times New Roman"/>
                <w:kern w:val="0"/>
                <w:szCs w:val="24"/>
              </w:rPr>
              <w:t>IFRS7.B11F(</w:t>
            </w:r>
            <w:r>
              <w:rPr>
                <w:rFonts w:ascii="Times New Roman" w:eastAsia="新細明體" w:hAnsi="Times New Roman" w:cs="Times New Roman" w:hint="eastAsia"/>
                <w:kern w:val="0"/>
                <w:szCs w:val="24"/>
              </w:rPr>
              <w:t>j</w:t>
            </w:r>
            <w:r w:rsidRPr="006E3B2D">
              <w:rPr>
                <w:rFonts w:ascii="Times New Roman" w:eastAsia="新細明體" w:hAnsi="Times New Roman" w:cs="Times New Roman"/>
                <w:kern w:val="0"/>
                <w:szCs w:val="24"/>
              </w:rPr>
              <w:t>)</w:t>
            </w:r>
            <w:r w:rsidRPr="006E3B2D">
              <w:rPr>
                <w:rFonts w:ascii="標楷體" w:eastAsia="標楷體" w:hAnsi="標楷體" w:cs="Times New Roman" w:hint="eastAsia"/>
                <w:kern w:val="0"/>
                <w:szCs w:val="24"/>
              </w:rPr>
              <w:t>及</w:t>
            </w:r>
            <w:r w:rsidRPr="006E3B2D">
              <w:rPr>
                <w:rFonts w:ascii="Times New Roman" w:eastAsia="新細明體" w:hAnsi="Times New Roman" w:cs="Times New Roman"/>
                <w:kern w:val="0"/>
                <w:szCs w:val="24"/>
              </w:rPr>
              <w:t>IG18A</w:t>
            </w:r>
            <w:r w:rsidRPr="006E3B2D">
              <w:rPr>
                <w:rFonts w:ascii="Times New Roman" w:eastAsia="新細明體" w:hAnsi="Times New Roman" w:cs="Times New Roman"/>
                <w:kern w:val="0"/>
                <w:szCs w:val="24"/>
              </w:rPr>
              <w:br/>
            </w:r>
            <w:r w:rsidRPr="006E3B2D">
              <w:rPr>
                <w:rFonts w:ascii="Times New Roman" w:eastAsia="新細明體" w:hAnsi="Times New Roman" w:cs="Times New Roman"/>
                <w:kern w:val="0"/>
                <w:szCs w:val="24"/>
              </w:rPr>
              <w:br/>
              <w:t>112</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r>
            <w:r w:rsidRPr="007D0E56">
              <w:rPr>
                <w:rFonts w:ascii="標楷體" w:eastAsia="標楷體" w:hAnsi="標楷體" w:cs="Times New Roman" w:hint="eastAsia"/>
                <w:kern w:val="0"/>
                <w:szCs w:val="24"/>
              </w:rPr>
              <w:t>無</w:t>
            </w:r>
          </w:p>
        </w:tc>
        <w:tc>
          <w:tcPr>
            <w:tcW w:w="0" w:type="auto"/>
            <w:tcBorders>
              <w:top w:val="single" w:sz="4" w:space="0" w:color="auto"/>
              <w:left w:val="nil"/>
              <w:bottom w:val="single" w:sz="4" w:space="0" w:color="auto"/>
              <w:right w:val="single" w:sz="4" w:space="0" w:color="auto"/>
            </w:tcBorders>
            <w:shd w:val="clear" w:color="auto" w:fill="auto"/>
          </w:tcPr>
          <w:p w:rsidR="007D0E56" w:rsidRPr="006E3B2D" w:rsidRDefault="007D0E56" w:rsidP="007D0E56">
            <w:pPr>
              <w:widowControl/>
              <w:rPr>
                <w:rFonts w:ascii="Times New Roman" w:eastAsia="新細明體" w:hAnsi="Times New Roman" w:cs="Times New Roman"/>
                <w:color w:val="000000"/>
                <w:kern w:val="0"/>
                <w:szCs w:val="24"/>
              </w:rPr>
            </w:pPr>
            <w:r w:rsidRPr="006E3B2D">
              <w:rPr>
                <w:rFonts w:ascii="Times New Roman" w:eastAsia="新細明體" w:hAnsi="Times New Roman" w:cs="Times New Roman"/>
                <w:color w:val="000000"/>
                <w:kern w:val="0"/>
                <w:szCs w:val="24"/>
              </w:rPr>
              <w:t>113</w:t>
            </w:r>
            <w:r w:rsidRPr="006E3B2D">
              <w:rPr>
                <w:rFonts w:ascii="標楷體" w:eastAsia="標楷體" w:hAnsi="標楷體" w:cs="Times New Roman" w:hint="eastAsia"/>
                <w:color w:val="000000"/>
                <w:kern w:val="0"/>
                <w:szCs w:val="24"/>
              </w:rPr>
              <w:t>年版：</w:t>
            </w:r>
            <w:r w:rsidRPr="006E3B2D">
              <w:rPr>
                <w:rFonts w:ascii="標楷體" w:eastAsia="標楷體" w:hAnsi="標楷體" w:cs="Times New Roman" w:hint="eastAsia"/>
                <w:color w:val="000000"/>
                <w:kern w:val="0"/>
                <w:szCs w:val="24"/>
              </w:rPr>
              <w:br/>
              <w:t>流動性風險之集中可能來自導致企業將其原始積欠供應商之一部分金融負債集中於融資提供者</w:t>
            </w:r>
            <w:r>
              <w:rPr>
                <w:rFonts w:ascii="標楷體" w:eastAsia="標楷體" w:hAnsi="標楷體" w:cs="Times New Roman" w:hint="eastAsia"/>
                <w:color w:val="000000"/>
                <w:kern w:val="0"/>
                <w:szCs w:val="24"/>
              </w:rPr>
              <w:t>之</w:t>
            </w:r>
            <w:r w:rsidRPr="006E3B2D">
              <w:rPr>
                <w:rFonts w:ascii="標楷體" w:eastAsia="標楷體" w:hAnsi="標楷體" w:cs="Times New Roman" w:hint="eastAsia"/>
                <w:color w:val="000000"/>
                <w:kern w:val="0"/>
                <w:szCs w:val="24"/>
              </w:rPr>
              <w:t>供應商融資安排。</w:t>
            </w:r>
            <w:r>
              <w:rPr>
                <w:rFonts w:ascii="標楷體" w:eastAsia="標楷體" w:hAnsi="標楷體" w:cs="Times New Roman" w:hint="eastAsia"/>
                <w:color w:val="000000"/>
                <w:kern w:val="0"/>
                <w:szCs w:val="24"/>
              </w:rPr>
              <w:t>企業</w:t>
            </w:r>
            <w:r w:rsidRPr="006E3B2D">
              <w:rPr>
                <w:rFonts w:ascii="標楷體" w:eastAsia="標楷體" w:hAnsi="標楷體" w:cs="Times New Roman" w:hint="eastAsia"/>
                <w:color w:val="000000"/>
                <w:kern w:val="0"/>
                <w:szCs w:val="24"/>
              </w:rPr>
              <w:t>於</w:t>
            </w:r>
            <w:r>
              <w:rPr>
                <w:rFonts w:ascii="標楷體" w:eastAsia="標楷體" w:hAnsi="標楷體" w:cs="Times New Roman" w:hint="eastAsia"/>
                <w:color w:val="000000"/>
                <w:kern w:val="0"/>
                <w:szCs w:val="24"/>
              </w:rPr>
              <w:t>揭露如何管理非衍生金融負債及衍生金融負債固有</w:t>
            </w:r>
            <w:r w:rsidRPr="006E3B2D">
              <w:rPr>
                <w:rFonts w:ascii="標楷體" w:eastAsia="標楷體" w:hAnsi="標楷體" w:cs="Times New Roman" w:hint="eastAsia"/>
                <w:color w:val="000000"/>
                <w:kern w:val="0"/>
                <w:szCs w:val="24"/>
              </w:rPr>
              <w:t>流動性風險</w:t>
            </w:r>
            <w:r>
              <w:rPr>
                <w:rFonts w:ascii="標楷體" w:eastAsia="標楷體" w:hAnsi="標楷體" w:cs="Times New Roman" w:hint="eastAsia"/>
                <w:color w:val="000000"/>
                <w:kern w:val="0"/>
                <w:szCs w:val="24"/>
              </w:rPr>
              <w:t>之說明時</w:t>
            </w:r>
            <w:r w:rsidRPr="006E3B2D">
              <w:rPr>
                <w:rFonts w:ascii="標楷體" w:eastAsia="標楷體" w:hAnsi="標楷體" w:cs="Times New Roman" w:hint="eastAsia"/>
                <w:color w:val="000000"/>
                <w:kern w:val="0"/>
                <w:szCs w:val="24"/>
              </w:rPr>
              <w:t>，可</w:t>
            </w:r>
            <w:r>
              <w:rPr>
                <w:rFonts w:ascii="標楷體" w:eastAsia="標楷體" w:hAnsi="標楷體" w:cs="Times New Roman" w:hint="eastAsia"/>
                <w:color w:val="000000"/>
                <w:kern w:val="0"/>
                <w:szCs w:val="24"/>
              </w:rPr>
              <w:t>能</w:t>
            </w:r>
            <w:r w:rsidRPr="006E3B2D">
              <w:rPr>
                <w:rFonts w:ascii="標楷體" w:eastAsia="標楷體" w:hAnsi="標楷體" w:cs="Times New Roman" w:hint="eastAsia"/>
                <w:color w:val="000000"/>
                <w:kern w:val="0"/>
                <w:szCs w:val="24"/>
              </w:rPr>
              <w:t>考量</w:t>
            </w:r>
            <w:r>
              <w:rPr>
                <w:rFonts w:ascii="標楷體" w:eastAsia="標楷體" w:hAnsi="標楷體" w:cs="Times New Roman" w:hint="eastAsia"/>
                <w:color w:val="000000"/>
                <w:kern w:val="0"/>
                <w:szCs w:val="24"/>
              </w:rPr>
              <w:t>之</w:t>
            </w:r>
            <w:r w:rsidRPr="006E3B2D">
              <w:rPr>
                <w:rFonts w:ascii="標楷體" w:eastAsia="標楷體" w:hAnsi="標楷體" w:cs="Times New Roman" w:hint="eastAsia"/>
                <w:color w:val="000000"/>
                <w:kern w:val="0"/>
                <w:szCs w:val="24"/>
              </w:rPr>
              <w:t>因素</w:t>
            </w:r>
            <w:r>
              <w:rPr>
                <w:rFonts w:ascii="標楷體" w:eastAsia="標楷體" w:hAnsi="標楷體" w:cs="Times New Roman" w:hint="eastAsia"/>
                <w:color w:val="000000"/>
                <w:kern w:val="0"/>
                <w:szCs w:val="24"/>
              </w:rPr>
              <w:t>包括依</w:t>
            </w:r>
            <w:r w:rsidRPr="006E3B2D">
              <w:rPr>
                <w:rFonts w:ascii="標楷體" w:eastAsia="標楷體" w:hAnsi="標楷體" w:cs="Times New Roman" w:hint="eastAsia"/>
                <w:color w:val="000000"/>
                <w:kern w:val="0"/>
                <w:szCs w:val="24"/>
              </w:rPr>
              <w:t>供應商融資安排</w:t>
            </w:r>
            <w:r>
              <w:rPr>
                <w:rFonts w:ascii="標楷體" w:eastAsia="標楷體" w:hAnsi="標楷體" w:cs="Times New Roman" w:hint="eastAsia"/>
                <w:color w:val="000000"/>
                <w:kern w:val="0"/>
                <w:szCs w:val="24"/>
              </w:rPr>
              <w:t>已取得或可取得之額度</w:t>
            </w:r>
            <w:r w:rsidRPr="006E3B2D">
              <w:rPr>
                <w:rFonts w:ascii="標楷體" w:eastAsia="標楷體" w:hAnsi="標楷體" w:cs="Times New Roman" w:hint="eastAsia"/>
                <w:color w:val="000000"/>
                <w:kern w:val="0"/>
                <w:szCs w:val="24"/>
              </w:rPr>
              <w:t>。</w:t>
            </w:r>
            <w:r w:rsidRPr="006E3B2D">
              <w:rPr>
                <w:rFonts w:ascii="標楷體" w:eastAsia="標楷體" w:hAnsi="標楷體" w:cs="Times New Roman" w:hint="eastAsia"/>
                <w:color w:val="000000"/>
                <w:kern w:val="0"/>
                <w:szCs w:val="24"/>
              </w:rPr>
              <w:br/>
            </w:r>
            <w:r w:rsidRPr="006E3B2D">
              <w:rPr>
                <w:rFonts w:ascii="標楷體" w:eastAsia="標楷體" w:hAnsi="標楷體" w:cs="Times New Roman" w:hint="eastAsia"/>
                <w:color w:val="000000"/>
                <w:kern w:val="0"/>
                <w:szCs w:val="24"/>
              </w:rPr>
              <w:br/>
            </w:r>
            <w:r w:rsidRPr="006E3B2D">
              <w:rPr>
                <w:rFonts w:ascii="Times New Roman" w:eastAsia="新細明體" w:hAnsi="Times New Roman" w:cs="Times New Roman"/>
                <w:color w:val="000000"/>
                <w:kern w:val="0"/>
                <w:szCs w:val="24"/>
              </w:rPr>
              <w:t>112</w:t>
            </w:r>
            <w:r w:rsidRPr="006E3B2D">
              <w:rPr>
                <w:rFonts w:ascii="標楷體" w:eastAsia="標楷體" w:hAnsi="標楷體" w:cs="Times New Roman" w:hint="eastAsia"/>
                <w:color w:val="000000"/>
                <w:kern w:val="0"/>
                <w:szCs w:val="24"/>
              </w:rPr>
              <w:t>年版：無相關規定</w:t>
            </w:r>
          </w:p>
        </w:tc>
      </w:tr>
      <w:tr w:rsidR="00E966A3" w:rsidRPr="006E3B2D" w:rsidTr="007D0E56">
        <w:tc>
          <w:tcPr>
            <w:tcW w:w="0" w:type="auto"/>
            <w:tcBorders>
              <w:top w:val="nil"/>
              <w:left w:val="single" w:sz="4" w:space="0" w:color="auto"/>
              <w:bottom w:val="single" w:sz="4" w:space="0" w:color="auto"/>
              <w:right w:val="single" w:sz="4" w:space="0" w:color="auto"/>
            </w:tcBorders>
            <w:shd w:val="clear" w:color="auto" w:fill="auto"/>
            <w:noWrap/>
            <w:hideMark/>
          </w:tcPr>
          <w:p w:rsidR="006E3B2D" w:rsidRPr="006E3B2D" w:rsidRDefault="007D0E56" w:rsidP="006E3B2D">
            <w:pPr>
              <w:widowControl/>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3</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E966A3">
            <w:pPr>
              <w:widowControl/>
              <w:rPr>
                <w:rFonts w:ascii="Times New Roman" w:eastAsia="新細明體" w:hAnsi="Times New Roman" w:cs="Times New Roman"/>
                <w:color w:val="000000"/>
                <w:kern w:val="0"/>
                <w:szCs w:val="24"/>
              </w:rPr>
            </w:pPr>
            <w:r w:rsidRPr="006E3B2D">
              <w:rPr>
                <w:rFonts w:ascii="標楷體" w:eastAsia="標楷體" w:hAnsi="標楷體" w:cs="Times New Roman" w:hint="eastAsia"/>
                <w:color w:val="000000"/>
                <w:kern w:val="0"/>
                <w:szCs w:val="24"/>
              </w:rPr>
              <w:t>售後</w:t>
            </w:r>
            <w:proofErr w:type="gramStart"/>
            <w:r w:rsidRPr="006E3B2D">
              <w:rPr>
                <w:rFonts w:ascii="標楷體" w:eastAsia="標楷體" w:hAnsi="標楷體" w:cs="Times New Roman" w:hint="eastAsia"/>
                <w:color w:val="000000"/>
                <w:kern w:val="0"/>
                <w:szCs w:val="24"/>
              </w:rPr>
              <w:t>租回交</w:t>
            </w:r>
            <w:proofErr w:type="gramEnd"/>
            <w:r w:rsidRPr="006E3B2D">
              <w:rPr>
                <w:rFonts w:ascii="標楷體" w:eastAsia="標楷體" w:hAnsi="標楷體" w:cs="Times New Roman" w:hint="eastAsia"/>
                <w:color w:val="000000"/>
                <w:kern w:val="0"/>
                <w:szCs w:val="24"/>
              </w:rPr>
              <w:t>易中之租賃</w:t>
            </w:r>
            <w:r w:rsidR="00E966A3">
              <w:rPr>
                <w:rFonts w:ascii="標楷體" w:eastAsia="標楷體" w:hAnsi="標楷體" w:cs="Times New Roman" w:hint="eastAsia"/>
                <w:color w:val="000000"/>
                <w:kern w:val="0"/>
                <w:szCs w:val="24"/>
              </w:rPr>
              <w:t>負債</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標楷體" w:eastAsia="標楷體" w:hAnsi="標楷體" w:cs="新細明體"/>
                <w:color w:val="000000"/>
                <w:kern w:val="0"/>
                <w:szCs w:val="24"/>
              </w:rPr>
            </w:pPr>
            <w:r w:rsidRPr="006E3B2D">
              <w:rPr>
                <w:rFonts w:ascii="標楷體" w:eastAsia="標楷體" w:hAnsi="標楷體" w:cs="新細明體" w:hint="eastAsia"/>
                <w:color w:val="000000"/>
                <w:kern w:val="0"/>
                <w:szCs w:val="24"/>
              </w:rPr>
              <w:t>使用權資產</w:t>
            </w:r>
            <w:r w:rsidRPr="006E3B2D">
              <w:rPr>
                <w:rFonts w:ascii="標楷體" w:eastAsia="標楷體" w:hAnsi="標楷體" w:cs="新細明體" w:hint="eastAsia"/>
                <w:color w:val="000000"/>
                <w:kern w:val="0"/>
                <w:szCs w:val="24"/>
              </w:rPr>
              <w:br/>
            </w:r>
            <w:r w:rsidRPr="006E3B2D">
              <w:rPr>
                <w:rFonts w:ascii="標楷體" w:eastAsia="標楷體" w:hAnsi="標楷體" w:cs="新細明體" w:hint="eastAsia"/>
                <w:color w:val="000000"/>
                <w:kern w:val="0"/>
                <w:szCs w:val="24"/>
              </w:rPr>
              <w:lastRenderedPageBreak/>
              <w:t>租賃負債</w:t>
            </w:r>
            <w:r w:rsidRPr="006E3B2D">
              <w:rPr>
                <w:rFonts w:ascii="標楷體" w:eastAsia="標楷體" w:hAnsi="標楷體" w:cs="新細明體" w:hint="eastAsia"/>
                <w:color w:val="000000"/>
                <w:kern w:val="0"/>
                <w:szCs w:val="24"/>
              </w:rPr>
              <w:br/>
              <w:t>售</w:t>
            </w:r>
            <w:proofErr w:type="gramStart"/>
            <w:r w:rsidRPr="006E3B2D">
              <w:rPr>
                <w:rFonts w:ascii="標楷體" w:eastAsia="標楷體" w:hAnsi="標楷體" w:cs="新細明體" w:hint="eastAsia"/>
                <w:color w:val="000000"/>
                <w:kern w:val="0"/>
                <w:szCs w:val="24"/>
              </w:rPr>
              <w:t>後租回移轉</w:t>
            </w:r>
            <w:proofErr w:type="gramEnd"/>
            <w:r w:rsidRPr="006E3B2D">
              <w:rPr>
                <w:rFonts w:ascii="標楷體" w:eastAsia="標楷體" w:hAnsi="標楷體" w:cs="新細明體" w:hint="eastAsia"/>
                <w:color w:val="000000"/>
                <w:kern w:val="0"/>
                <w:szCs w:val="24"/>
              </w:rPr>
              <w:t>權利利益</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lastRenderedPageBreak/>
              <w:t>113</w:t>
            </w:r>
            <w:r w:rsidRPr="006E3B2D">
              <w:rPr>
                <w:rFonts w:ascii="標楷體" w:eastAsia="標楷體" w:hAnsi="標楷體" w:cs="Times New Roman" w:hint="eastAsia"/>
                <w:kern w:val="0"/>
                <w:szCs w:val="24"/>
              </w:rPr>
              <w:t>年版：</w:t>
            </w:r>
            <w:r w:rsidRPr="006E3B2D">
              <w:rPr>
                <w:rFonts w:ascii="Times New Roman" w:eastAsia="新細明體" w:hAnsi="Times New Roman" w:cs="Times New Roman"/>
                <w:kern w:val="0"/>
                <w:szCs w:val="24"/>
              </w:rPr>
              <w:lastRenderedPageBreak/>
              <w:t>IFRS16.102A</w:t>
            </w:r>
            <w:proofErr w:type="gramStart"/>
            <w:r w:rsidRPr="006E3B2D">
              <w:rPr>
                <w:rFonts w:ascii="標楷體" w:eastAsia="標楷體" w:hAnsi="標楷體" w:cs="Times New Roman" w:hint="eastAsia"/>
                <w:kern w:val="0"/>
                <w:szCs w:val="24"/>
              </w:rPr>
              <w:t>及釋例</w:t>
            </w:r>
            <w:proofErr w:type="gramEnd"/>
            <w:r w:rsidRPr="006E3B2D">
              <w:rPr>
                <w:rFonts w:ascii="Times New Roman" w:eastAsia="新細明體" w:hAnsi="Times New Roman" w:cs="Times New Roman"/>
                <w:kern w:val="0"/>
                <w:szCs w:val="24"/>
              </w:rPr>
              <w:t>25</w:t>
            </w:r>
            <w:r w:rsidRPr="006E3B2D">
              <w:rPr>
                <w:rFonts w:ascii="Times New Roman" w:eastAsia="新細明體" w:hAnsi="Times New Roman" w:cs="Times New Roman"/>
                <w:kern w:val="0"/>
                <w:szCs w:val="24"/>
              </w:rPr>
              <w:br/>
            </w:r>
            <w:r w:rsidRPr="006E3B2D">
              <w:rPr>
                <w:rFonts w:ascii="Times New Roman" w:eastAsia="新細明體" w:hAnsi="Times New Roman" w:cs="Times New Roman"/>
                <w:kern w:val="0"/>
                <w:szCs w:val="24"/>
              </w:rPr>
              <w:br/>
              <w:t>112</w:t>
            </w:r>
            <w:r w:rsidRPr="006E3B2D">
              <w:rPr>
                <w:rFonts w:ascii="標楷體" w:eastAsia="標楷體" w:hAnsi="標楷體" w:cs="Times New Roman" w:hint="eastAsia"/>
                <w:kern w:val="0"/>
                <w:szCs w:val="24"/>
              </w:rPr>
              <w:t>年版：無</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E966A3">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lastRenderedPageBreak/>
              <w:t>113</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lastRenderedPageBreak/>
              <w:t>1.</w:t>
            </w:r>
            <w:r w:rsidR="00E966A3" w:rsidRPr="007D0E56">
              <w:rPr>
                <w:rFonts w:ascii="Times New Roman" w:eastAsia="標楷體" w:hAnsi="標楷體" w:cs="Times New Roman" w:hint="eastAsia"/>
                <w:kern w:val="0"/>
                <w:szCs w:val="24"/>
              </w:rPr>
              <w:t>開始日後，企業應將</w:t>
            </w:r>
            <w:r w:rsidR="00E966A3" w:rsidRPr="007D0E56">
              <w:rPr>
                <w:rFonts w:ascii="Times New Roman" w:eastAsia="標楷體" w:hAnsi="Times New Roman" w:cs="Times New Roman"/>
                <w:kern w:val="0"/>
                <w:szCs w:val="24"/>
              </w:rPr>
              <w:t>IFRS16</w:t>
            </w:r>
            <w:r w:rsidR="00E966A3" w:rsidRPr="007D0E56">
              <w:rPr>
                <w:rFonts w:ascii="Times New Roman" w:eastAsia="標楷體" w:hAnsi="標楷體" w:cs="Times New Roman" w:hint="eastAsia"/>
                <w:kern w:val="0"/>
                <w:szCs w:val="24"/>
              </w:rPr>
              <w:t>第</w:t>
            </w:r>
            <w:r w:rsidR="00E966A3" w:rsidRPr="007D0E56">
              <w:rPr>
                <w:rFonts w:ascii="Times New Roman" w:eastAsia="標楷體" w:hAnsi="Times New Roman" w:cs="Times New Roman"/>
                <w:kern w:val="0"/>
                <w:szCs w:val="24"/>
              </w:rPr>
              <w:t>29</w:t>
            </w:r>
            <w:r w:rsidR="00E966A3" w:rsidRPr="007D0E56">
              <w:rPr>
                <w:rFonts w:ascii="Times New Roman" w:eastAsia="標楷體" w:hAnsi="標楷體" w:cs="Times New Roman" w:hint="eastAsia"/>
                <w:kern w:val="0"/>
                <w:szCs w:val="24"/>
              </w:rPr>
              <w:t>至</w:t>
            </w:r>
            <w:r w:rsidR="00E966A3" w:rsidRPr="007D0E56">
              <w:rPr>
                <w:rFonts w:ascii="Times New Roman" w:eastAsia="標楷體" w:hAnsi="Times New Roman" w:cs="Times New Roman"/>
                <w:kern w:val="0"/>
                <w:szCs w:val="24"/>
              </w:rPr>
              <w:t>46</w:t>
            </w:r>
            <w:r w:rsidR="00E966A3" w:rsidRPr="007D0E56">
              <w:rPr>
                <w:rFonts w:ascii="Times New Roman" w:eastAsia="標楷體" w:hAnsi="標楷體" w:cs="Times New Roman" w:hint="eastAsia"/>
                <w:kern w:val="0"/>
                <w:szCs w:val="24"/>
              </w:rPr>
              <w:t>段之規定適用</w:t>
            </w:r>
            <w:proofErr w:type="gramStart"/>
            <w:r w:rsidR="00E966A3" w:rsidRPr="007D0E56">
              <w:rPr>
                <w:rFonts w:ascii="Times New Roman" w:eastAsia="標楷體" w:hAnsi="標楷體" w:cs="Times New Roman" w:hint="eastAsia"/>
                <w:kern w:val="0"/>
                <w:szCs w:val="24"/>
              </w:rPr>
              <w:t>於</w:t>
            </w:r>
            <w:r w:rsidRPr="006E3B2D">
              <w:rPr>
                <w:rFonts w:ascii="標楷體" w:eastAsia="標楷體" w:hAnsi="標楷體" w:cs="Times New Roman" w:hint="eastAsia"/>
                <w:kern w:val="0"/>
                <w:szCs w:val="24"/>
              </w:rPr>
              <w:t>售後租回</w:t>
            </w:r>
            <w:proofErr w:type="gramEnd"/>
            <w:r w:rsidRPr="006E3B2D">
              <w:rPr>
                <w:rFonts w:ascii="標楷體" w:eastAsia="標楷體" w:hAnsi="標楷體" w:cs="Times New Roman" w:hint="eastAsia"/>
                <w:kern w:val="0"/>
                <w:szCs w:val="24"/>
              </w:rPr>
              <w:t>交易產生之使用權資產及租賃負債。</w:t>
            </w:r>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t>2.</w:t>
            </w:r>
            <w:r w:rsidR="00E966A3">
              <w:rPr>
                <w:rFonts w:ascii="標楷體" w:eastAsia="標楷體" w:hAnsi="標楷體" w:cs="Times New Roman" w:hint="eastAsia"/>
                <w:kern w:val="0"/>
                <w:szCs w:val="24"/>
              </w:rPr>
              <w:t>認</w:t>
            </w:r>
            <w:proofErr w:type="gramStart"/>
            <w:r w:rsidR="00E966A3">
              <w:rPr>
                <w:rFonts w:ascii="標楷體" w:eastAsia="標楷體" w:hAnsi="標楷體" w:cs="Times New Roman" w:hint="eastAsia"/>
                <w:kern w:val="0"/>
                <w:szCs w:val="24"/>
              </w:rPr>
              <w:t>列售後租回交</w:t>
            </w:r>
            <w:proofErr w:type="gramEnd"/>
            <w:r w:rsidR="00E966A3">
              <w:rPr>
                <w:rFonts w:ascii="標楷體" w:eastAsia="標楷體" w:hAnsi="標楷體" w:cs="Times New Roman" w:hint="eastAsia"/>
                <w:kern w:val="0"/>
                <w:szCs w:val="24"/>
              </w:rPr>
              <w:t>易中之</w:t>
            </w:r>
            <w:r w:rsidRPr="006E3B2D">
              <w:rPr>
                <w:rFonts w:ascii="標楷體" w:eastAsia="標楷體" w:hAnsi="標楷體" w:cs="Times New Roman" w:hint="eastAsia"/>
                <w:kern w:val="0"/>
                <w:szCs w:val="24"/>
              </w:rPr>
              <w:t>租賃負債時，賣方承租人應以賣方兼承租人不認列與其所保留之使用權有關之任何利益或損失金額之方式，決定「租賃給付」或「修正後租賃給付」（即如</w:t>
            </w:r>
            <w:r w:rsidRPr="006E3B2D">
              <w:rPr>
                <w:rFonts w:ascii="Times New Roman" w:eastAsia="新細明體" w:hAnsi="Times New Roman" w:cs="Times New Roman"/>
                <w:kern w:val="0"/>
                <w:szCs w:val="24"/>
              </w:rPr>
              <w:t>IFRS16</w:t>
            </w:r>
            <w:r w:rsidRPr="006E3B2D">
              <w:rPr>
                <w:rFonts w:ascii="標楷體" w:eastAsia="標楷體" w:hAnsi="標楷體" w:cs="Times New Roman" w:hint="eastAsia"/>
                <w:kern w:val="0"/>
                <w:szCs w:val="24"/>
              </w:rPr>
              <w:t>釋例</w:t>
            </w:r>
            <w:r w:rsidRPr="006E3B2D">
              <w:rPr>
                <w:rFonts w:ascii="Times New Roman" w:eastAsia="新細明體" w:hAnsi="Times New Roman" w:cs="Times New Roman"/>
                <w:kern w:val="0"/>
                <w:szCs w:val="24"/>
              </w:rPr>
              <w:t>25</w:t>
            </w:r>
            <w:r w:rsidRPr="006E3B2D">
              <w:rPr>
                <w:rFonts w:ascii="標楷體" w:eastAsia="標楷體" w:hAnsi="標楷體" w:cs="Times New Roman" w:hint="eastAsia"/>
                <w:kern w:val="0"/>
                <w:szCs w:val="24"/>
              </w:rPr>
              <w:t>所示</w:t>
            </w:r>
            <w:r w:rsidR="00E966A3">
              <w:rPr>
                <w:rFonts w:ascii="標楷體" w:eastAsia="標楷體" w:hAnsi="標楷體" w:cs="Times New Roman" w:hint="eastAsia"/>
                <w:kern w:val="0"/>
                <w:szCs w:val="24"/>
              </w:rPr>
              <w:t>，賣方兼承租人得以反映於開始日之預期租賃給付，或反映於租賃期間內之等額定期給付之方式，決定</w:t>
            </w:r>
            <w:r w:rsidRPr="006E3B2D">
              <w:rPr>
                <w:rFonts w:ascii="標楷體" w:eastAsia="標楷體" w:hAnsi="標楷體" w:cs="Times New Roman" w:hint="eastAsia"/>
                <w:kern w:val="0"/>
                <w:szCs w:val="24"/>
              </w:rPr>
              <w:t>租賃給付）。</w:t>
            </w:r>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t>3.</w:t>
            </w:r>
            <w:r w:rsidRPr="006E3B2D">
              <w:rPr>
                <w:rFonts w:ascii="標楷體" w:eastAsia="標楷體" w:hAnsi="標楷體" w:cs="Times New Roman" w:hint="eastAsia"/>
                <w:kern w:val="0"/>
                <w:szCs w:val="24"/>
              </w:rPr>
              <w:t>適用前述規定不妨礙賣方兼承租人於後續租賃修改時依</w:t>
            </w:r>
            <w:r w:rsidRPr="006E3B2D">
              <w:rPr>
                <w:rFonts w:ascii="Times New Roman" w:eastAsia="新細明體" w:hAnsi="Times New Roman" w:cs="Times New Roman"/>
                <w:kern w:val="0"/>
                <w:szCs w:val="24"/>
              </w:rPr>
              <w:t>IFRS16.46(a)</w:t>
            </w:r>
            <w:r w:rsidRPr="006E3B2D">
              <w:rPr>
                <w:rFonts w:ascii="標楷體" w:eastAsia="標楷體" w:hAnsi="標楷體" w:cs="Times New Roman" w:hint="eastAsia"/>
                <w:kern w:val="0"/>
                <w:szCs w:val="24"/>
              </w:rPr>
              <w:t>之規定，將任何有關租賃之部分或全面終止之利益或損失認列於損益中。</w:t>
            </w:r>
            <w:r w:rsidR="00EC3175">
              <w:rPr>
                <w:rFonts w:ascii="標楷體" w:eastAsia="標楷體" w:hAnsi="標楷體" w:cs="Times New Roman" w:hint="eastAsia"/>
                <w:kern w:val="0"/>
                <w:szCs w:val="24"/>
              </w:rPr>
              <w:br/>
            </w:r>
            <w:bookmarkStart w:id="2" w:name="_GoBack"/>
            <w:bookmarkEnd w:id="2"/>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t>112</w:t>
            </w:r>
            <w:r w:rsidRPr="006E3B2D">
              <w:rPr>
                <w:rFonts w:ascii="標楷體" w:eastAsia="標楷體" w:hAnsi="標楷體" w:cs="Times New Roman" w:hint="eastAsia"/>
                <w:kern w:val="0"/>
                <w:szCs w:val="24"/>
              </w:rPr>
              <w:t>年版：無</w:t>
            </w:r>
          </w:p>
        </w:tc>
      </w:tr>
      <w:tr w:rsidR="001A0B4A" w:rsidRPr="006E3B2D" w:rsidTr="00056607">
        <w:tc>
          <w:tcPr>
            <w:tcW w:w="0" w:type="auto"/>
            <w:tcBorders>
              <w:top w:val="nil"/>
              <w:left w:val="single" w:sz="4" w:space="0" w:color="auto"/>
              <w:bottom w:val="single" w:sz="4" w:space="0" w:color="auto"/>
              <w:right w:val="single" w:sz="4" w:space="0" w:color="auto"/>
            </w:tcBorders>
            <w:shd w:val="clear" w:color="auto" w:fill="auto"/>
            <w:noWrap/>
          </w:tcPr>
          <w:p w:rsidR="001A0B4A" w:rsidRDefault="001A0B4A" w:rsidP="001A0B4A">
            <w:pPr>
              <w:widowControl/>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lastRenderedPageBreak/>
              <w:t>4</w:t>
            </w:r>
          </w:p>
          <w:p w:rsidR="001A0B4A" w:rsidRPr="006E3B2D" w:rsidRDefault="001A0B4A" w:rsidP="001A0B4A">
            <w:pPr>
              <w:widowControl/>
              <w:rPr>
                <w:rFonts w:ascii="Times New Roman" w:eastAsia="新細明體" w:hAnsi="Times New Roman" w:cs="Times New Roman"/>
                <w:color w:val="000000"/>
                <w:kern w:val="0"/>
                <w:szCs w:val="24"/>
              </w:rPr>
            </w:pPr>
          </w:p>
        </w:tc>
        <w:tc>
          <w:tcPr>
            <w:tcW w:w="0" w:type="auto"/>
            <w:tcBorders>
              <w:top w:val="nil"/>
              <w:left w:val="nil"/>
              <w:bottom w:val="single" w:sz="4" w:space="0" w:color="auto"/>
              <w:right w:val="single" w:sz="4" w:space="0" w:color="auto"/>
            </w:tcBorders>
            <w:shd w:val="clear" w:color="auto" w:fill="auto"/>
          </w:tcPr>
          <w:p w:rsidR="001A0B4A" w:rsidRPr="007D0E56" w:rsidRDefault="001A0B4A" w:rsidP="001A0B4A">
            <w:pPr>
              <w:widowControl/>
              <w:rPr>
                <w:rFonts w:ascii="標楷體" w:eastAsia="標楷體" w:hAnsi="標楷體" w:cs="Times New Roman"/>
                <w:kern w:val="0"/>
                <w:szCs w:val="24"/>
              </w:rPr>
            </w:pPr>
            <w:r w:rsidRPr="006E3B2D">
              <w:rPr>
                <w:rFonts w:ascii="標楷體" w:eastAsia="標楷體" w:hAnsi="標楷體" w:cs="Times New Roman" w:hint="eastAsia"/>
                <w:kern w:val="0"/>
                <w:szCs w:val="24"/>
              </w:rPr>
              <w:t>闡明負債之分類著重於是否具有遞延清償之權利，不受管理階層是否有意圖或預期提前清償影響</w:t>
            </w:r>
          </w:p>
        </w:tc>
        <w:tc>
          <w:tcPr>
            <w:tcW w:w="0" w:type="auto"/>
            <w:tcBorders>
              <w:top w:val="nil"/>
              <w:left w:val="nil"/>
              <w:bottom w:val="single" w:sz="4" w:space="0" w:color="auto"/>
              <w:right w:val="single" w:sz="4" w:space="0" w:color="auto"/>
            </w:tcBorders>
            <w:shd w:val="clear" w:color="auto" w:fill="auto"/>
          </w:tcPr>
          <w:p w:rsidR="001A0B4A" w:rsidRPr="006E3B2D" w:rsidRDefault="001A0B4A" w:rsidP="001A0B4A">
            <w:pPr>
              <w:widowControl/>
              <w:rPr>
                <w:rFonts w:ascii="Times New Roman" w:eastAsia="新細明體" w:hAnsi="Times New Roman" w:cs="Times New Roman"/>
                <w:kern w:val="0"/>
                <w:szCs w:val="24"/>
              </w:rPr>
            </w:pPr>
            <w:r w:rsidRPr="006E3B2D">
              <w:rPr>
                <w:rFonts w:ascii="標楷體" w:eastAsia="標楷體" w:hAnsi="標楷體" w:cs="Times New Roman" w:hint="eastAsia"/>
                <w:kern w:val="0"/>
                <w:szCs w:val="24"/>
              </w:rPr>
              <w:t>短期借款</w:t>
            </w:r>
            <w:r w:rsidRPr="006E3B2D">
              <w:rPr>
                <w:rFonts w:ascii="標楷體" w:eastAsia="標楷體" w:hAnsi="標楷體" w:cs="Times New Roman" w:hint="eastAsia"/>
                <w:kern w:val="0"/>
                <w:szCs w:val="24"/>
              </w:rPr>
              <w:br/>
              <w:t>長期借款</w:t>
            </w:r>
          </w:p>
        </w:tc>
        <w:tc>
          <w:tcPr>
            <w:tcW w:w="0" w:type="auto"/>
            <w:tcBorders>
              <w:top w:val="nil"/>
              <w:left w:val="nil"/>
              <w:bottom w:val="single" w:sz="4" w:space="0" w:color="auto"/>
              <w:right w:val="single" w:sz="4" w:space="0" w:color="auto"/>
            </w:tcBorders>
            <w:shd w:val="clear" w:color="auto" w:fill="auto"/>
          </w:tcPr>
          <w:p w:rsidR="001A0B4A" w:rsidRPr="006E3B2D" w:rsidRDefault="001A0B4A" w:rsidP="001A0B4A">
            <w:pPr>
              <w:widowControl/>
              <w:rPr>
                <w:rFonts w:ascii="Times New Roman" w:eastAsia="新細明體" w:hAnsi="Times New Roman" w:cs="Times New Roman"/>
                <w:kern w:val="0"/>
                <w:szCs w:val="24"/>
                <w:lang w:val="fr-FR"/>
              </w:rPr>
            </w:pPr>
            <w:r w:rsidRPr="006E3B2D">
              <w:rPr>
                <w:rFonts w:ascii="Times New Roman" w:eastAsia="新細明體" w:hAnsi="Times New Roman" w:cs="Times New Roman"/>
                <w:kern w:val="0"/>
                <w:szCs w:val="24"/>
                <w:lang w:val="fr-FR"/>
              </w:rPr>
              <w:t>113</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lang w:val="fr-FR"/>
              </w:rPr>
              <w:t>：</w:t>
            </w:r>
            <w:r w:rsidRPr="006E3B2D">
              <w:rPr>
                <w:rFonts w:ascii="Times New Roman" w:eastAsia="新細明體" w:hAnsi="Times New Roman" w:cs="Times New Roman"/>
                <w:kern w:val="0"/>
                <w:szCs w:val="24"/>
                <w:lang w:val="fr-FR"/>
              </w:rPr>
              <w:t>IAS1.73</w:t>
            </w:r>
            <w:r w:rsidRPr="006E3B2D">
              <w:rPr>
                <w:rFonts w:ascii="標楷體" w:eastAsia="標楷體" w:hAnsi="標楷體" w:cs="Times New Roman" w:hint="eastAsia"/>
                <w:kern w:val="0"/>
                <w:szCs w:val="24"/>
              </w:rPr>
              <w:t>及</w:t>
            </w:r>
            <w:r w:rsidRPr="006E3B2D">
              <w:rPr>
                <w:rFonts w:ascii="Times New Roman" w:eastAsia="新細明體" w:hAnsi="Times New Roman" w:cs="Times New Roman"/>
                <w:kern w:val="0"/>
                <w:szCs w:val="24"/>
                <w:lang w:val="fr-FR"/>
              </w:rPr>
              <w:t>75A</w:t>
            </w:r>
            <w:r w:rsidRPr="006E3B2D">
              <w:rPr>
                <w:rFonts w:ascii="Times New Roman" w:eastAsia="新細明體" w:hAnsi="Times New Roman" w:cs="Times New Roman"/>
                <w:kern w:val="0"/>
                <w:szCs w:val="24"/>
                <w:lang w:val="fr-FR"/>
              </w:rPr>
              <w:br/>
            </w:r>
            <w:r w:rsidRPr="006E3B2D">
              <w:rPr>
                <w:rFonts w:ascii="Times New Roman" w:eastAsia="新細明體" w:hAnsi="Times New Roman" w:cs="Times New Roman"/>
                <w:kern w:val="0"/>
                <w:szCs w:val="24"/>
                <w:lang w:val="fr-FR"/>
              </w:rPr>
              <w:br/>
              <w:t>112</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lang w:val="fr-FR"/>
              </w:rPr>
              <w:t>：</w:t>
            </w:r>
            <w:r w:rsidRPr="006E3B2D">
              <w:rPr>
                <w:rFonts w:ascii="Times New Roman" w:eastAsia="新細明體" w:hAnsi="Times New Roman" w:cs="Times New Roman"/>
                <w:kern w:val="0"/>
                <w:szCs w:val="24"/>
                <w:lang w:val="fr-FR"/>
              </w:rPr>
              <w:t>IAS1.73</w:t>
            </w:r>
          </w:p>
        </w:tc>
        <w:tc>
          <w:tcPr>
            <w:tcW w:w="0" w:type="auto"/>
            <w:tcBorders>
              <w:top w:val="nil"/>
              <w:left w:val="nil"/>
              <w:bottom w:val="single" w:sz="4" w:space="0" w:color="auto"/>
              <w:right w:val="single" w:sz="4" w:space="0" w:color="auto"/>
            </w:tcBorders>
            <w:shd w:val="clear" w:color="auto" w:fill="auto"/>
          </w:tcPr>
          <w:p w:rsidR="001A0B4A" w:rsidRPr="006E3B2D" w:rsidRDefault="001A0B4A" w:rsidP="001A0B4A">
            <w:pPr>
              <w:widowControl/>
              <w:rPr>
                <w:rFonts w:ascii="Times New Roman" w:eastAsia="新細明體" w:hAnsi="Times New Roman" w:cs="Times New Roman"/>
                <w:kern w:val="0"/>
                <w:szCs w:val="24"/>
                <w:lang w:val="fr-FR"/>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t>企業在現有貸款機制下，若於報導期間結束日具有將一項債務展期至報導期間後至少十二</w:t>
            </w:r>
            <w:proofErr w:type="gramStart"/>
            <w:r w:rsidRPr="006E3B2D">
              <w:rPr>
                <w:rFonts w:ascii="標楷體" w:eastAsia="標楷體" w:hAnsi="標楷體" w:cs="Times New Roman" w:hint="eastAsia"/>
                <w:kern w:val="0"/>
                <w:szCs w:val="24"/>
              </w:rPr>
              <w:t>個</w:t>
            </w:r>
            <w:proofErr w:type="gramEnd"/>
            <w:r w:rsidRPr="006E3B2D">
              <w:rPr>
                <w:rFonts w:ascii="標楷體" w:eastAsia="標楷體" w:hAnsi="標楷體" w:cs="Times New Roman" w:hint="eastAsia"/>
                <w:kern w:val="0"/>
                <w:szCs w:val="24"/>
              </w:rPr>
              <w:t>月之權利，應將該債務分類為非流動，即使該債務原將在較</w:t>
            </w:r>
            <w:proofErr w:type="gramStart"/>
            <w:r w:rsidRPr="006E3B2D">
              <w:rPr>
                <w:rFonts w:ascii="標楷體" w:eastAsia="標楷體" w:hAnsi="標楷體" w:cs="Times New Roman" w:hint="eastAsia"/>
                <w:kern w:val="0"/>
                <w:szCs w:val="24"/>
              </w:rPr>
              <w:t>短期間內到期</w:t>
            </w:r>
            <w:proofErr w:type="gramEnd"/>
            <w:r w:rsidRPr="006E3B2D">
              <w:rPr>
                <w:rFonts w:ascii="標楷體" w:eastAsia="標楷體" w:hAnsi="標楷體" w:cs="Times New Roman" w:hint="eastAsia"/>
                <w:kern w:val="0"/>
                <w:szCs w:val="24"/>
              </w:rPr>
              <w:t>。若企業不具有此種權利，則企業並不考量該債務再融資之可能性，而應將該債務分類為流動。</w:t>
            </w:r>
            <w:r w:rsidRPr="006E3B2D">
              <w:rPr>
                <w:rFonts w:ascii="標楷體" w:eastAsia="標楷體" w:hAnsi="標楷體" w:cs="Times New Roman" w:hint="eastAsia"/>
                <w:kern w:val="0"/>
                <w:szCs w:val="24"/>
              </w:rPr>
              <w:br/>
              <w:t>負債之分類不受企業執行其將該負債之清償遞延至報導期間後至少十二</w:t>
            </w:r>
            <w:proofErr w:type="gramStart"/>
            <w:r w:rsidRPr="006E3B2D">
              <w:rPr>
                <w:rFonts w:ascii="標楷體" w:eastAsia="標楷體" w:hAnsi="標楷體" w:cs="Times New Roman" w:hint="eastAsia"/>
                <w:kern w:val="0"/>
                <w:szCs w:val="24"/>
              </w:rPr>
              <w:t>個</w:t>
            </w:r>
            <w:proofErr w:type="gramEnd"/>
            <w:r w:rsidRPr="006E3B2D">
              <w:rPr>
                <w:rFonts w:ascii="標楷體" w:eastAsia="標楷體" w:hAnsi="標楷體" w:cs="Times New Roman" w:hint="eastAsia"/>
                <w:kern w:val="0"/>
                <w:szCs w:val="24"/>
              </w:rPr>
              <w:t>月之權利之可能性所影響。若負債符合第</w:t>
            </w:r>
            <w:r w:rsidRPr="006E3B2D">
              <w:rPr>
                <w:rFonts w:ascii="Times New Roman" w:eastAsia="新細明體" w:hAnsi="Times New Roman" w:cs="Times New Roman"/>
                <w:kern w:val="0"/>
                <w:szCs w:val="24"/>
              </w:rPr>
              <w:t>69</w:t>
            </w:r>
            <w:r w:rsidRPr="006E3B2D">
              <w:rPr>
                <w:rFonts w:ascii="標楷體" w:eastAsia="標楷體" w:hAnsi="標楷體" w:cs="Times New Roman" w:hint="eastAsia"/>
                <w:kern w:val="0"/>
                <w:szCs w:val="24"/>
              </w:rPr>
              <w:t>段分類為非流動之條件，其應分類為非流動，即使管理階層意圖或預期企業於報導期間後十二</w:t>
            </w:r>
            <w:proofErr w:type="gramStart"/>
            <w:r w:rsidRPr="006E3B2D">
              <w:rPr>
                <w:rFonts w:ascii="標楷體" w:eastAsia="標楷體" w:hAnsi="標楷體" w:cs="Times New Roman" w:hint="eastAsia"/>
                <w:kern w:val="0"/>
                <w:szCs w:val="24"/>
              </w:rPr>
              <w:t>個</w:t>
            </w:r>
            <w:proofErr w:type="gramEnd"/>
            <w:r w:rsidRPr="006E3B2D">
              <w:rPr>
                <w:rFonts w:ascii="標楷體" w:eastAsia="標楷體" w:hAnsi="標楷體" w:cs="Times New Roman" w:hint="eastAsia"/>
                <w:kern w:val="0"/>
                <w:szCs w:val="24"/>
              </w:rPr>
              <w:t>月內清償該負債，或即使企業於報導期間結束日至通過發布財務報表日間清償該負債。</w:t>
            </w:r>
            <w:r w:rsidRPr="006E3B2D">
              <w:rPr>
                <w:rFonts w:ascii="標楷體" w:eastAsia="標楷體" w:hAnsi="標楷體" w:cs="Times New Roman" w:hint="eastAsia"/>
                <w:kern w:val="0"/>
                <w:szCs w:val="24"/>
              </w:rPr>
              <w:br/>
            </w:r>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lastRenderedPageBreak/>
              <w:t>112</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t>企業在現有貸款機制下，如預期且有裁量能力將一項債務再融資或展期至報導期間後至少十二</w:t>
            </w:r>
            <w:proofErr w:type="gramStart"/>
            <w:r w:rsidRPr="006E3B2D">
              <w:rPr>
                <w:rFonts w:ascii="標楷體" w:eastAsia="標楷體" w:hAnsi="標楷體" w:cs="Times New Roman" w:hint="eastAsia"/>
                <w:kern w:val="0"/>
                <w:szCs w:val="24"/>
              </w:rPr>
              <w:t>個</w:t>
            </w:r>
            <w:proofErr w:type="gramEnd"/>
            <w:r w:rsidRPr="006E3B2D">
              <w:rPr>
                <w:rFonts w:ascii="標楷體" w:eastAsia="標楷體" w:hAnsi="標楷體" w:cs="Times New Roman" w:hint="eastAsia"/>
                <w:kern w:val="0"/>
                <w:szCs w:val="24"/>
              </w:rPr>
              <w:t>月，應將其分類為非流動，即使該債務原將在較</w:t>
            </w:r>
            <w:proofErr w:type="gramStart"/>
            <w:r w:rsidRPr="006E3B2D">
              <w:rPr>
                <w:rFonts w:ascii="標楷體" w:eastAsia="標楷體" w:hAnsi="標楷體" w:cs="Times New Roman" w:hint="eastAsia"/>
                <w:kern w:val="0"/>
                <w:szCs w:val="24"/>
              </w:rPr>
              <w:t>短期間內到期</w:t>
            </w:r>
            <w:proofErr w:type="gramEnd"/>
            <w:r w:rsidRPr="006E3B2D">
              <w:rPr>
                <w:rFonts w:ascii="標楷體" w:eastAsia="標楷體" w:hAnsi="標楷體" w:cs="Times New Roman" w:hint="eastAsia"/>
                <w:kern w:val="0"/>
                <w:szCs w:val="24"/>
              </w:rPr>
              <w:t>。惟當該債務之再融資或展期非由企業裁量（例如無再融資協議）時，企業並不考量該債務再融資之可能性，而應將該債務分類為流動。</w:t>
            </w:r>
          </w:p>
        </w:tc>
      </w:tr>
      <w:tr w:rsidR="001A0B4A" w:rsidRPr="006E3B2D" w:rsidTr="001A0B4A">
        <w:tc>
          <w:tcPr>
            <w:tcW w:w="0" w:type="auto"/>
            <w:tcBorders>
              <w:top w:val="nil"/>
              <w:left w:val="single" w:sz="4" w:space="0" w:color="auto"/>
              <w:bottom w:val="single" w:sz="4" w:space="0" w:color="auto"/>
              <w:right w:val="single" w:sz="4" w:space="0" w:color="auto"/>
            </w:tcBorders>
            <w:shd w:val="clear" w:color="auto" w:fill="auto"/>
            <w:noWrap/>
          </w:tcPr>
          <w:p w:rsidR="001A0B4A" w:rsidRPr="006E3B2D" w:rsidRDefault="001A0B4A" w:rsidP="001A0B4A">
            <w:pPr>
              <w:widowControl/>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lastRenderedPageBreak/>
              <w:t>5</w:t>
            </w:r>
          </w:p>
        </w:tc>
        <w:tc>
          <w:tcPr>
            <w:tcW w:w="0" w:type="auto"/>
            <w:tcBorders>
              <w:top w:val="nil"/>
              <w:left w:val="nil"/>
              <w:bottom w:val="single" w:sz="4" w:space="0" w:color="auto"/>
              <w:right w:val="single" w:sz="4" w:space="0" w:color="auto"/>
            </w:tcBorders>
            <w:shd w:val="clear" w:color="auto" w:fill="auto"/>
          </w:tcPr>
          <w:p w:rsidR="001A0B4A" w:rsidRPr="007D0E56" w:rsidRDefault="001A0B4A" w:rsidP="001A0B4A">
            <w:pPr>
              <w:widowControl/>
              <w:rPr>
                <w:rFonts w:ascii="標楷體" w:eastAsia="標楷體" w:hAnsi="標楷體" w:cs="Times New Roman"/>
                <w:kern w:val="0"/>
                <w:szCs w:val="24"/>
              </w:rPr>
            </w:pPr>
            <w:r w:rsidRPr="006E3B2D">
              <w:rPr>
                <w:rFonts w:ascii="標楷體" w:eastAsia="標楷體" w:hAnsi="標楷體" w:cs="Times New Roman" w:hint="eastAsia"/>
                <w:kern w:val="0"/>
                <w:szCs w:val="24"/>
              </w:rPr>
              <w:t>負債流動性分類</w:t>
            </w:r>
            <w:r w:rsidRPr="006E3B2D">
              <w:rPr>
                <w:rFonts w:ascii="Times New Roman" w:eastAsia="新細明體" w:hAnsi="Times New Roman" w:cs="Times New Roman"/>
                <w:kern w:val="0"/>
                <w:szCs w:val="24"/>
              </w:rPr>
              <w:t>-</w:t>
            </w:r>
            <w:r w:rsidRPr="006E3B2D">
              <w:rPr>
                <w:rFonts w:ascii="標楷體" w:eastAsia="標楷體" w:hAnsi="標楷體" w:cs="Times New Roman" w:hint="eastAsia"/>
                <w:kern w:val="0"/>
                <w:szCs w:val="24"/>
              </w:rPr>
              <w:t>闡明「清償」之定義</w:t>
            </w:r>
          </w:p>
        </w:tc>
        <w:tc>
          <w:tcPr>
            <w:tcW w:w="0" w:type="auto"/>
            <w:tcBorders>
              <w:top w:val="nil"/>
              <w:left w:val="nil"/>
              <w:bottom w:val="single" w:sz="4" w:space="0" w:color="auto"/>
              <w:right w:val="single" w:sz="4" w:space="0" w:color="auto"/>
            </w:tcBorders>
            <w:shd w:val="clear" w:color="auto" w:fill="auto"/>
          </w:tcPr>
          <w:p w:rsidR="001A0B4A" w:rsidRPr="006E3B2D" w:rsidRDefault="001A0B4A" w:rsidP="001A0B4A">
            <w:pPr>
              <w:widowControl/>
              <w:spacing w:after="300"/>
              <w:rPr>
                <w:rFonts w:ascii="標楷體" w:eastAsia="標楷體" w:hAnsi="標楷體" w:cs="新細明體"/>
                <w:kern w:val="0"/>
                <w:szCs w:val="24"/>
              </w:rPr>
            </w:pPr>
            <w:r w:rsidRPr="006E3B2D">
              <w:rPr>
                <w:rFonts w:ascii="標楷體" w:eastAsia="標楷體" w:hAnsi="標楷體" w:cs="新細明體" w:hint="eastAsia"/>
                <w:kern w:val="0"/>
                <w:szCs w:val="24"/>
              </w:rPr>
              <w:t>應付公司債/(可轉換)特別股負債</w:t>
            </w:r>
          </w:p>
        </w:tc>
        <w:tc>
          <w:tcPr>
            <w:tcW w:w="0" w:type="auto"/>
            <w:tcBorders>
              <w:top w:val="nil"/>
              <w:left w:val="nil"/>
              <w:bottom w:val="single" w:sz="4" w:space="0" w:color="auto"/>
              <w:right w:val="single" w:sz="4" w:space="0" w:color="auto"/>
            </w:tcBorders>
            <w:shd w:val="clear" w:color="auto" w:fill="auto"/>
          </w:tcPr>
          <w:p w:rsidR="001A0B4A" w:rsidRPr="006E3B2D" w:rsidRDefault="001A0B4A" w:rsidP="001A0B4A">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Times New Roman" w:eastAsia="新細明體" w:hAnsi="Times New Roman" w:cs="Times New Roman"/>
                <w:kern w:val="0"/>
                <w:szCs w:val="24"/>
              </w:rPr>
              <w:t>IAS1.76A</w:t>
            </w:r>
            <w:r w:rsidRPr="006E3B2D">
              <w:rPr>
                <w:rFonts w:ascii="Times New Roman" w:eastAsia="新細明體" w:hAnsi="Times New Roman" w:cs="Times New Roman"/>
                <w:kern w:val="0"/>
                <w:szCs w:val="24"/>
              </w:rPr>
              <w:br/>
            </w:r>
            <w:r w:rsidRPr="006E3B2D">
              <w:rPr>
                <w:rFonts w:ascii="Times New Roman" w:eastAsia="新細明體" w:hAnsi="Times New Roman" w:cs="Times New Roman"/>
                <w:kern w:val="0"/>
                <w:szCs w:val="24"/>
              </w:rPr>
              <w:br/>
              <w:t>112</w:t>
            </w:r>
            <w:r w:rsidRPr="006E3B2D">
              <w:rPr>
                <w:rFonts w:ascii="標楷體" w:eastAsia="標楷體" w:hAnsi="標楷體" w:cs="Times New Roman" w:hint="eastAsia"/>
                <w:kern w:val="0"/>
                <w:szCs w:val="24"/>
              </w:rPr>
              <w:t>年版：無</w:t>
            </w:r>
          </w:p>
        </w:tc>
        <w:tc>
          <w:tcPr>
            <w:tcW w:w="0" w:type="auto"/>
            <w:tcBorders>
              <w:top w:val="nil"/>
              <w:left w:val="nil"/>
              <w:bottom w:val="single" w:sz="4" w:space="0" w:color="auto"/>
              <w:right w:val="single" w:sz="4" w:space="0" w:color="auto"/>
            </w:tcBorders>
            <w:shd w:val="clear" w:color="auto" w:fill="auto"/>
          </w:tcPr>
          <w:p w:rsidR="001A0B4A" w:rsidRPr="006E3B2D" w:rsidRDefault="001A0B4A" w:rsidP="001A0B4A">
            <w:pPr>
              <w:widowControl/>
              <w:spacing w:after="300"/>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t>就將負債分類為流動或非流動之目的而言，清償係指導致負債消滅之對交易對方之移轉。該移轉可能係移轉現金或其他經濟資源（例如商品或勞務）或企業本身之權益工具（除非適用</w:t>
            </w:r>
            <w:r>
              <w:rPr>
                <w:rFonts w:ascii="標楷體" w:eastAsia="標楷體" w:hAnsi="標楷體" w:cs="Times New Roman" w:hint="eastAsia"/>
                <w:kern w:val="0"/>
                <w:szCs w:val="24"/>
              </w:rPr>
              <w:t>IAS1</w:t>
            </w:r>
            <w:r w:rsidRPr="006E3B2D">
              <w:rPr>
                <w:rFonts w:ascii="標楷體" w:eastAsia="標楷體" w:hAnsi="標楷體" w:cs="Times New Roman" w:hint="eastAsia"/>
                <w:kern w:val="0"/>
                <w:szCs w:val="24"/>
              </w:rPr>
              <w:t>第</w:t>
            </w:r>
            <w:r w:rsidRPr="006E3B2D">
              <w:rPr>
                <w:rFonts w:ascii="Times New Roman" w:eastAsia="新細明體" w:hAnsi="Times New Roman" w:cs="Times New Roman"/>
                <w:kern w:val="0"/>
                <w:szCs w:val="24"/>
              </w:rPr>
              <w:t>76B</w:t>
            </w:r>
            <w:r w:rsidRPr="006E3B2D">
              <w:rPr>
                <w:rFonts w:ascii="標楷體" w:eastAsia="標楷體" w:hAnsi="標楷體" w:cs="Times New Roman" w:hint="eastAsia"/>
                <w:kern w:val="0"/>
                <w:szCs w:val="24"/>
              </w:rPr>
              <w:t>段）。</w:t>
            </w:r>
            <w:r w:rsidRPr="006E3B2D">
              <w:rPr>
                <w:rFonts w:ascii="標楷體" w:eastAsia="標楷體" w:hAnsi="標楷體" w:cs="Times New Roman" w:hint="eastAsia"/>
                <w:kern w:val="0"/>
                <w:szCs w:val="24"/>
              </w:rPr>
              <w:br/>
            </w:r>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t>112</w:t>
            </w:r>
            <w:r w:rsidRPr="006E3B2D">
              <w:rPr>
                <w:rFonts w:ascii="標楷體" w:eastAsia="標楷體" w:hAnsi="標楷體" w:cs="Times New Roman" w:hint="eastAsia"/>
                <w:kern w:val="0"/>
                <w:szCs w:val="24"/>
              </w:rPr>
              <w:t>年版：無</w:t>
            </w:r>
          </w:p>
        </w:tc>
      </w:tr>
      <w:tr w:rsidR="001A0B4A" w:rsidRPr="006E3B2D" w:rsidTr="001A0B4A">
        <w:tc>
          <w:tcPr>
            <w:tcW w:w="0" w:type="auto"/>
            <w:tcBorders>
              <w:top w:val="nil"/>
              <w:left w:val="single" w:sz="4" w:space="0" w:color="auto"/>
              <w:bottom w:val="single" w:sz="4" w:space="0" w:color="auto"/>
              <w:right w:val="single" w:sz="4" w:space="0" w:color="auto"/>
            </w:tcBorders>
            <w:shd w:val="clear" w:color="auto" w:fill="auto"/>
            <w:noWrap/>
          </w:tcPr>
          <w:p w:rsidR="001A0B4A" w:rsidRPr="006E3B2D" w:rsidRDefault="001A0B4A" w:rsidP="001A0B4A">
            <w:pPr>
              <w:widowControl/>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6</w:t>
            </w:r>
          </w:p>
        </w:tc>
        <w:tc>
          <w:tcPr>
            <w:tcW w:w="0" w:type="auto"/>
            <w:tcBorders>
              <w:top w:val="nil"/>
              <w:left w:val="nil"/>
              <w:bottom w:val="single" w:sz="4" w:space="0" w:color="auto"/>
              <w:right w:val="single" w:sz="4" w:space="0" w:color="auto"/>
            </w:tcBorders>
            <w:shd w:val="clear" w:color="auto" w:fill="auto"/>
          </w:tcPr>
          <w:p w:rsidR="001A0B4A" w:rsidRPr="007D0E56" w:rsidRDefault="001A0B4A" w:rsidP="001A0B4A">
            <w:pPr>
              <w:widowControl/>
              <w:rPr>
                <w:rFonts w:ascii="標楷體" w:eastAsia="標楷體" w:hAnsi="標楷體" w:cs="Times New Roman"/>
                <w:kern w:val="0"/>
                <w:szCs w:val="24"/>
              </w:rPr>
            </w:pPr>
            <w:r w:rsidRPr="006E3B2D">
              <w:rPr>
                <w:rFonts w:ascii="標楷體" w:eastAsia="標楷體" w:hAnsi="標楷體" w:cs="Times New Roman" w:hint="eastAsia"/>
                <w:kern w:val="0"/>
                <w:szCs w:val="24"/>
              </w:rPr>
              <w:t>負債流動性分類</w:t>
            </w:r>
            <w:r>
              <w:rPr>
                <w:rFonts w:ascii="標楷體" w:eastAsia="標楷體" w:hAnsi="標楷體" w:cs="Times New Roman" w:hint="eastAsia"/>
                <w:kern w:val="0"/>
                <w:szCs w:val="24"/>
              </w:rPr>
              <w:t>－闡明不影響負債分類之交易對方/持有人之轉換選擇權之範圍</w:t>
            </w:r>
          </w:p>
        </w:tc>
        <w:tc>
          <w:tcPr>
            <w:tcW w:w="0" w:type="auto"/>
            <w:tcBorders>
              <w:top w:val="nil"/>
              <w:left w:val="nil"/>
              <w:bottom w:val="single" w:sz="4" w:space="0" w:color="auto"/>
              <w:right w:val="single" w:sz="4" w:space="0" w:color="auto"/>
            </w:tcBorders>
            <w:shd w:val="clear" w:color="auto" w:fill="auto"/>
          </w:tcPr>
          <w:p w:rsidR="001A0B4A" w:rsidRPr="006E3B2D" w:rsidRDefault="001A0B4A" w:rsidP="001A0B4A">
            <w:pPr>
              <w:widowControl/>
              <w:spacing w:after="300"/>
              <w:rPr>
                <w:rFonts w:ascii="標楷體" w:eastAsia="標楷體" w:hAnsi="標楷體" w:cs="新細明體"/>
                <w:kern w:val="0"/>
                <w:szCs w:val="24"/>
              </w:rPr>
            </w:pPr>
            <w:r w:rsidRPr="006E3B2D">
              <w:rPr>
                <w:rFonts w:ascii="標楷體" w:eastAsia="標楷體" w:hAnsi="標楷體" w:cs="新細明體" w:hint="eastAsia"/>
                <w:kern w:val="0"/>
                <w:szCs w:val="24"/>
              </w:rPr>
              <w:t>應付公司債/(可轉換)特別股負債</w:t>
            </w:r>
          </w:p>
        </w:tc>
        <w:tc>
          <w:tcPr>
            <w:tcW w:w="0" w:type="auto"/>
            <w:tcBorders>
              <w:top w:val="nil"/>
              <w:left w:val="nil"/>
              <w:bottom w:val="single" w:sz="4" w:space="0" w:color="auto"/>
              <w:right w:val="single" w:sz="4" w:space="0" w:color="auto"/>
            </w:tcBorders>
            <w:shd w:val="clear" w:color="auto" w:fill="auto"/>
          </w:tcPr>
          <w:p w:rsidR="001A0B4A" w:rsidRPr="006E3B2D" w:rsidRDefault="001A0B4A" w:rsidP="001A0B4A">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Times New Roman" w:eastAsia="新細明體" w:hAnsi="Times New Roman" w:cs="Times New Roman"/>
                <w:kern w:val="0"/>
                <w:szCs w:val="24"/>
              </w:rPr>
              <w:t>IAS1.76B</w:t>
            </w:r>
            <w:r w:rsidRPr="006E3B2D">
              <w:rPr>
                <w:rFonts w:ascii="Times New Roman" w:eastAsia="新細明體" w:hAnsi="Times New Roman" w:cs="Times New Roman"/>
                <w:kern w:val="0"/>
                <w:szCs w:val="24"/>
              </w:rPr>
              <w:br/>
            </w:r>
            <w:r w:rsidRPr="006E3B2D">
              <w:rPr>
                <w:rFonts w:ascii="Times New Roman" w:eastAsia="新細明體" w:hAnsi="Times New Roman" w:cs="Times New Roman"/>
                <w:kern w:val="0"/>
                <w:szCs w:val="24"/>
              </w:rPr>
              <w:br/>
              <w:t>112</w:t>
            </w:r>
            <w:r w:rsidRPr="006E3B2D">
              <w:rPr>
                <w:rFonts w:ascii="標楷體" w:eastAsia="標楷體" w:hAnsi="標楷體" w:cs="Times New Roman" w:hint="eastAsia"/>
                <w:kern w:val="0"/>
                <w:szCs w:val="24"/>
              </w:rPr>
              <w:t>年版：</w:t>
            </w:r>
            <w:r w:rsidRPr="006E3B2D">
              <w:rPr>
                <w:rFonts w:ascii="Times New Roman" w:eastAsia="新細明體" w:hAnsi="Times New Roman" w:cs="Times New Roman"/>
                <w:kern w:val="0"/>
                <w:szCs w:val="24"/>
              </w:rPr>
              <w:t>IAS1.69(d)</w:t>
            </w:r>
          </w:p>
        </w:tc>
        <w:tc>
          <w:tcPr>
            <w:tcW w:w="0" w:type="auto"/>
            <w:tcBorders>
              <w:top w:val="nil"/>
              <w:left w:val="nil"/>
              <w:bottom w:val="single" w:sz="4" w:space="0" w:color="auto"/>
              <w:right w:val="single" w:sz="4" w:space="0" w:color="auto"/>
            </w:tcBorders>
            <w:shd w:val="clear" w:color="auto" w:fill="auto"/>
          </w:tcPr>
          <w:p w:rsidR="001A0B4A" w:rsidRPr="006E3B2D" w:rsidRDefault="001A0B4A" w:rsidP="001A0B4A">
            <w:pPr>
              <w:widowControl/>
              <w:spacing w:after="300"/>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113</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t>負債之條款可能（依交易對方之選擇）導致藉由移轉企業本身之權益工具清償負債，若企業將該選擇權分類為權益工具（適用</w:t>
            </w:r>
            <w:r w:rsidRPr="006E3B2D">
              <w:rPr>
                <w:rFonts w:ascii="Times New Roman" w:eastAsia="新細明體" w:hAnsi="Times New Roman" w:cs="Times New Roman"/>
                <w:kern w:val="0"/>
                <w:szCs w:val="24"/>
              </w:rPr>
              <w:t>IAS32</w:t>
            </w:r>
            <w:r w:rsidRPr="006E3B2D">
              <w:rPr>
                <w:rFonts w:ascii="標楷體" w:eastAsia="標楷體" w:hAnsi="標楷體" w:cs="Times New Roman" w:hint="eastAsia"/>
                <w:kern w:val="0"/>
                <w:szCs w:val="24"/>
              </w:rPr>
              <w:t>）而作為複合金融工具之權益組成部分與負債分別認列，該等條款並不影響該負債分類為流動或非流動。</w:t>
            </w:r>
            <w:r w:rsidRPr="006E3B2D">
              <w:rPr>
                <w:rFonts w:ascii="標楷體" w:eastAsia="標楷體" w:hAnsi="標楷體" w:cs="Times New Roman" w:hint="eastAsia"/>
                <w:kern w:val="0"/>
                <w:szCs w:val="24"/>
              </w:rPr>
              <w:br/>
            </w:r>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t>112</w:t>
            </w:r>
            <w:r w:rsidRPr="006E3B2D">
              <w:rPr>
                <w:rFonts w:ascii="標楷體" w:eastAsia="標楷體" w:hAnsi="標楷體" w:cs="Times New Roman" w:hint="eastAsia"/>
                <w:kern w:val="0"/>
                <w:szCs w:val="24"/>
              </w:rPr>
              <w:t>年版：</w:t>
            </w:r>
            <w:r w:rsidRPr="006E3B2D">
              <w:rPr>
                <w:rFonts w:ascii="Times New Roman" w:eastAsia="新細明體" w:hAnsi="Times New Roman" w:cs="Times New Roman"/>
                <w:kern w:val="0"/>
                <w:szCs w:val="24"/>
              </w:rPr>
              <w:t>…</w:t>
            </w:r>
            <w:r w:rsidRPr="006E3B2D">
              <w:rPr>
                <w:rFonts w:ascii="標楷體" w:eastAsia="標楷體" w:hAnsi="標楷體" w:cs="Times New Roman" w:hint="eastAsia"/>
                <w:kern w:val="0"/>
                <w:szCs w:val="24"/>
              </w:rPr>
              <w:t>負債之條款可能（依交易對方之選擇）導致藉由發行權益工具清償負債，該等條款並不影響該負債之分類。</w:t>
            </w:r>
            <w:r w:rsidRPr="006E3B2D">
              <w:rPr>
                <w:rFonts w:ascii="Times New Roman" w:eastAsia="新細明體" w:hAnsi="Times New Roman" w:cs="Times New Roman"/>
                <w:kern w:val="0"/>
                <w:szCs w:val="24"/>
              </w:rPr>
              <w:t xml:space="preserve"> </w:t>
            </w:r>
          </w:p>
        </w:tc>
      </w:tr>
    </w:tbl>
    <w:p w:rsidR="006E3B2D" w:rsidRPr="006E3B2D" w:rsidRDefault="006E3B2D">
      <w:pPr>
        <w:widowControl/>
        <w:rPr>
          <w:szCs w:val="24"/>
        </w:rPr>
      </w:pPr>
      <w:r w:rsidRPr="006E3B2D">
        <w:rPr>
          <w:szCs w:val="24"/>
        </w:rPr>
        <w:br w:type="page"/>
      </w:r>
    </w:p>
    <w:p w:rsidR="006E3B2D" w:rsidRPr="006E3B2D" w:rsidRDefault="006E3B2D">
      <w:pPr>
        <w:rPr>
          <w:szCs w:val="24"/>
        </w:rPr>
      </w:pPr>
      <w:r w:rsidRPr="006E3B2D">
        <w:rPr>
          <w:rFonts w:hint="eastAsia"/>
          <w:szCs w:val="24"/>
        </w:rPr>
        <w:lastRenderedPageBreak/>
        <w:t>112 vs 111</w:t>
      </w:r>
    </w:p>
    <w:tbl>
      <w:tblPr>
        <w:tblW w:w="0" w:type="auto"/>
        <w:tblInd w:w="13" w:type="dxa"/>
        <w:tblCellMar>
          <w:left w:w="28" w:type="dxa"/>
          <w:right w:w="28" w:type="dxa"/>
        </w:tblCellMar>
        <w:tblLook w:val="04A0" w:firstRow="1" w:lastRow="0" w:firstColumn="1" w:lastColumn="0" w:noHBand="0" w:noVBand="1"/>
      </w:tblPr>
      <w:tblGrid>
        <w:gridCol w:w="537"/>
        <w:gridCol w:w="2559"/>
        <w:gridCol w:w="779"/>
        <w:gridCol w:w="2047"/>
        <w:gridCol w:w="8079"/>
      </w:tblGrid>
      <w:tr w:rsidR="007D0E56" w:rsidRPr="006E3B2D" w:rsidTr="00C35F3D">
        <w:tc>
          <w:tcPr>
            <w:tcW w:w="0" w:type="auto"/>
            <w:gridSpan w:val="2"/>
            <w:tcBorders>
              <w:top w:val="nil"/>
              <w:left w:val="nil"/>
              <w:bottom w:val="nil"/>
              <w:right w:val="nil"/>
            </w:tcBorders>
            <w:shd w:val="clear" w:color="auto" w:fill="auto"/>
            <w:noWrap/>
            <w:vAlign w:val="center"/>
            <w:hideMark/>
          </w:tcPr>
          <w:p w:rsidR="007D0E56" w:rsidRPr="006E3B2D" w:rsidRDefault="007D0E56" w:rsidP="00C35F3D">
            <w:pPr>
              <w:widowControl/>
              <w:rPr>
                <w:rFonts w:ascii="標楷體" w:eastAsia="標楷體" w:hAnsi="標楷體" w:cs="新細明體"/>
                <w:b/>
                <w:bCs/>
                <w:color w:val="0000FF"/>
                <w:kern w:val="0"/>
                <w:szCs w:val="24"/>
              </w:rPr>
            </w:pPr>
            <w:r w:rsidRPr="006E3B2D">
              <w:rPr>
                <w:rFonts w:ascii="標楷體" w:eastAsia="標楷體" w:hAnsi="標楷體" w:cs="新細明體" w:hint="eastAsia"/>
                <w:b/>
                <w:bCs/>
                <w:color w:val="0000FF"/>
                <w:kern w:val="0"/>
                <w:szCs w:val="24"/>
              </w:rPr>
              <w:t>二、重大影響財報附註</w:t>
            </w:r>
          </w:p>
        </w:tc>
        <w:tc>
          <w:tcPr>
            <w:tcW w:w="0" w:type="auto"/>
            <w:tcBorders>
              <w:top w:val="nil"/>
              <w:left w:val="nil"/>
              <w:bottom w:val="nil"/>
              <w:right w:val="nil"/>
            </w:tcBorders>
            <w:shd w:val="clear" w:color="auto" w:fill="auto"/>
            <w:noWrap/>
            <w:vAlign w:val="center"/>
            <w:hideMark/>
          </w:tcPr>
          <w:p w:rsidR="007D0E56" w:rsidRPr="006E3B2D" w:rsidRDefault="007D0E56" w:rsidP="00C35F3D">
            <w:pPr>
              <w:widowControl/>
              <w:rPr>
                <w:rFonts w:ascii="Times New Roman" w:eastAsia="新細明體" w:hAnsi="Times New Roman" w:cs="Times New Roman"/>
                <w:color w:val="000000"/>
                <w:kern w:val="0"/>
                <w:szCs w:val="24"/>
              </w:rPr>
            </w:pPr>
          </w:p>
        </w:tc>
        <w:tc>
          <w:tcPr>
            <w:tcW w:w="0" w:type="auto"/>
            <w:tcBorders>
              <w:top w:val="nil"/>
              <w:left w:val="nil"/>
              <w:bottom w:val="nil"/>
              <w:right w:val="nil"/>
            </w:tcBorders>
            <w:shd w:val="clear" w:color="auto" w:fill="auto"/>
            <w:noWrap/>
            <w:vAlign w:val="center"/>
            <w:hideMark/>
          </w:tcPr>
          <w:p w:rsidR="007D0E56" w:rsidRPr="006E3B2D" w:rsidRDefault="007D0E56" w:rsidP="00C35F3D">
            <w:pPr>
              <w:widowControl/>
              <w:rPr>
                <w:rFonts w:ascii="Times New Roman" w:eastAsia="新細明體" w:hAnsi="Times New Roman" w:cs="Times New Roman"/>
                <w:color w:val="000000"/>
                <w:kern w:val="0"/>
                <w:szCs w:val="24"/>
              </w:rPr>
            </w:pPr>
          </w:p>
        </w:tc>
        <w:tc>
          <w:tcPr>
            <w:tcW w:w="0" w:type="auto"/>
            <w:tcBorders>
              <w:top w:val="nil"/>
              <w:left w:val="nil"/>
              <w:bottom w:val="nil"/>
              <w:right w:val="nil"/>
            </w:tcBorders>
            <w:shd w:val="clear" w:color="auto" w:fill="auto"/>
            <w:noWrap/>
            <w:vAlign w:val="center"/>
            <w:hideMark/>
          </w:tcPr>
          <w:p w:rsidR="007D0E56" w:rsidRPr="006E3B2D" w:rsidRDefault="007D0E56" w:rsidP="00C35F3D">
            <w:pPr>
              <w:widowControl/>
              <w:rPr>
                <w:rFonts w:ascii="Times New Roman" w:eastAsia="新細明體" w:hAnsi="Times New Roman" w:cs="Times New Roman"/>
                <w:color w:val="000000"/>
                <w:kern w:val="0"/>
                <w:szCs w:val="24"/>
              </w:rPr>
            </w:pPr>
          </w:p>
        </w:tc>
      </w:tr>
      <w:tr w:rsidR="007D0E56" w:rsidRPr="006E3B2D" w:rsidTr="00C35F3D">
        <w:tc>
          <w:tcPr>
            <w:tcW w:w="0" w:type="auto"/>
            <w:tcBorders>
              <w:top w:val="single" w:sz="4" w:space="0" w:color="auto"/>
              <w:left w:val="single" w:sz="4" w:space="0" w:color="auto"/>
              <w:bottom w:val="single" w:sz="4" w:space="0" w:color="auto"/>
              <w:right w:val="single" w:sz="4" w:space="0" w:color="auto"/>
            </w:tcBorders>
            <w:shd w:val="clear" w:color="000000" w:fill="92D050"/>
            <w:vAlign w:val="center"/>
            <w:hideMark/>
          </w:tcPr>
          <w:p w:rsidR="007D0E56" w:rsidRPr="006E3B2D" w:rsidRDefault="007D0E56" w:rsidP="00C35F3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項次</w:t>
            </w:r>
          </w:p>
        </w:tc>
        <w:tc>
          <w:tcPr>
            <w:tcW w:w="0" w:type="auto"/>
            <w:tcBorders>
              <w:top w:val="single" w:sz="4" w:space="0" w:color="auto"/>
              <w:left w:val="nil"/>
              <w:bottom w:val="single" w:sz="4" w:space="0" w:color="auto"/>
              <w:right w:val="single" w:sz="4" w:space="0" w:color="auto"/>
            </w:tcBorders>
            <w:shd w:val="clear" w:color="000000" w:fill="92D050"/>
            <w:vAlign w:val="center"/>
            <w:hideMark/>
          </w:tcPr>
          <w:p w:rsidR="007D0E56" w:rsidRPr="006E3B2D" w:rsidRDefault="007D0E56" w:rsidP="00C35F3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議題</w:t>
            </w:r>
          </w:p>
        </w:tc>
        <w:tc>
          <w:tcPr>
            <w:tcW w:w="0" w:type="auto"/>
            <w:tcBorders>
              <w:top w:val="single" w:sz="4" w:space="0" w:color="auto"/>
              <w:left w:val="nil"/>
              <w:bottom w:val="single" w:sz="4" w:space="0" w:color="auto"/>
              <w:right w:val="single" w:sz="4" w:space="0" w:color="auto"/>
            </w:tcBorders>
            <w:shd w:val="clear" w:color="000000" w:fill="92D050"/>
            <w:vAlign w:val="center"/>
            <w:hideMark/>
          </w:tcPr>
          <w:p w:rsidR="007D0E56" w:rsidRPr="006E3B2D" w:rsidRDefault="007D0E56" w:rsidP="00C35F3D">
            <w:pPr>
              <w:widowControl/>
              <w:rPr>
                <w:rFonts w:ascii="標楷體" w:eastAsia="標楷體" w:hAnsi="標楷體" w:cs="新細明體"/>
                <w:b/>
                <w:bCs/>
                <w:kern w:val="0"/>
                <w:szCs w:val="24"/>
              </w:rPr>
            </w:pPr>
            <w:r w:rsidRPr="006E3B2D">
              <w:rPr>
                <w:rFonts w:ascii="標楷體" w:eastAsia="標楷體" w:hAnsi="標楷體" w:cs="新細明體" w:hint="eastAsia"/>
                <w:b/>
                <w:bCs/>
                <w:kern w:val="0"/>
                <w:szCs w:val="24"/>
              </w:rPr>
              <w:t>會計項目</w:t>
            </w:r>
          </w:p>
        </w:tc>
        <w:tc>
          <w:tcPr>
            <w:tcW w:w="0" w:type="auto"/>
            <w:tcBorders>
              <w:top w:val="single" w:sz="4" w:space="0" w:color="auto"/>
              <w:left w:val="nil"/>
              <w:bottom w:val="single" w:sz="4" w:space="0" w:color="auto"/>
              <w:right w:val="single" w:sz="4" w:space="0" w:color="auto"/>
            </w:tcBorders>
            <w:shd w:val="clear" w:color="000000" w:fill="92D050"/>
            <w:vAlign w:val="center"/>
            <w:hideMark/>
          </w:tcPr>
          <w:p w:rsidR="007D0E56" w:rsidRPr="006E3B2D" w:rsidRDefault="007D0E56" w:rsidP="00C35F3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公報號次及段落</w:t>
            </w:r>
          </w:p>
        </w:tc>
        <w:tc>
          <w:tcPr>
            <w:tcW w:w="0" w:type="auto"/>
            <w:tcBorders>
              <w:top w:val="single" w:sz="4" w:space="0" w:color="auto"/>
              <w:left w:val="nil"/>
              <w:bottom w:val="single" w:sz="4" w:space="0" w:color="auto"/>
              <w:right w:val="single" w:sz="4" w:space="0" w:color="auto"/>
            </w:tcBorders>
            <w:shd w:val="clear" w:color="000000" w:fill="92D050"/>
            <w:vAlign w:val="center"/>
            <w:hideMark/>
          </w:tcPr>
          <w:p w:rsidR="007D0E56" w:rsidRPr="006E3B2D" w:rsidRDefault="007D0E56" w:rsidP="00C35F3D">
            <w:pPr>
              <w:widowControl/>
              <w:rPr>
                <w:rFonts w:ascii="標楷體" w:eastAsia="標楷體" w:hAnsi="標楷體" w:cs="新細明體"/>
                <w:b/>
                <w:bCs/>
                <w:kern w:val="0"/>
                <w:szCs w:val="24"/>
              </w:rPr>
            </w:pPr>
            <w:r w:rsidRPr="006E3B2D">
              <w:rPr>
                <w:rFonts w:ascii="標楷體" w:eastAsia="標楷體" w:hAnsi="標楷體" w:cs="新細明體" w:hint="eastAsia"/>
                <w:b/>
                <w:bCs/>
                <w:kern w:val="0"/>
                <w:szCs w:val="24"/>
              </w:rPr>
              <w:t>差異內容說明</w:t>
            </w:r>
          </w:p>
        </w:tc>
      </w:tr>
      <w:tr w:rsidR="007D0E56" w:rsidRPr="006E3B2D" w:rsidTr="00C35F3D">
        <w:tc>
          <w:tcPr>
            <w:tcW w:w="0" w:type="auto"/>
            <w:tcBorders>
              <w:top w:val="nil"/>
              <w:left w:val="single" w:sz="4" w:space="0" w:color="auto"/>
              <w:bottom w:val="single" w:sz="4" w:space="0" w:color="auto"/>
              <w:right w:val="single" w:sz="4" w:space="0" w:color="auto"/>
            </w:tcBorders>
            <w:shd w:val="clear" w:color="auto" w:fill="auto"/>
            <w:noWrap/>
            <w:hideMark/>
          </w:tcPr>
          <w:p w:rsidR="007D0E56" w:rsidRPr="007D0E56" w:rsidRDefault="009061A1" w:rsidP="007D0E56">
            <w:pPr>
              <w:widowControl/>
              <w:jc w:val="center"/>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1</w:t>
            </w:r>
          </w:p>
        </w:tc>
        <w:tc>
          <w:tcPr>
            <w:tcW w:w="0" w:type="auto"/>
            <w:tcBorders>
              <w:top w:val="nil"/>
              <w:left w:val="nil"/>
              <w:bottom w:val="single" w:sz="4" w:space="0" w:color="auto"/>
              <w:right w:val="single" w:sz="4" w:space="0" w:color="auto"/>
            </w:tcBorders>
            <w:shd w:val="clear" w:color="auto" w:fill="auto"/>
            <w:hideMark/>
          </w:tcPr>
          <w:p w:rsidR="007D0E56" w:rsidRDefault="007D0E56" w:rsidP="007D0E56">
            <w:pPr>
              <w:widowControl/>
              <w:rPr>
                <w:rFonts w:ascii="標楷體" w:eastAsia="標楷體" w:hAnsi="標楷體" w:cs="Times New Roman"/>
                <w:color w:val="000000"/>
                <w:kern w:val="0"/>
                <w:szCs w:val="24"/>
              </w:rPr>
            </w:pPr>
            <w:r w:rsidRPr="006E3B2D">
              <w:rPr>
                <w:rFonts w:ascii="標楷體" w:eastAsia="標楷體" w:hAnsi="標楷體" w:cs="Times New Roman" w:hint="eastAsia"/>
                <w:color w:val="000000"/>
                <w:kern w:val="0"/>
                <w:szCs w:val="24"/>
              </w:rPr>
              <w:t>「國際租稅變革</w:t>
            </w:r>
            <w:proofErr w:type="gramStart"/>
            <w:r w:rsidRPr="006E3B2D">
              <w:rPr>
                <w:rFonts w:ascii="新細明體" w:eastAsia="新細明體" w:hAnsi="新細明體" w:cs="Times New Roman" w:hint="eastAsia"/>
                <w:color w:val="000000"/>
                <w:kern w:val="0"/>
                <w:szCs w:val="24"/>
              </w:rPr>
              <w:t>—</w:t>
            </w:r>
            <w:proofErr w:type="gramEnd"/>
            <w:r w:rsidRPr="006E3B2D">
              <w:rPr>
                <w:rFonts w:ascii="標楷體" w:eastAsia="標楷體" w:hAnsi="標楷體" w:cs="Times New Roman" w:hint="eastAsia"/>
                <w:color w:val="000000"/>
                <w:kern w:val="0"/>
                <w:szCs w:val="24"/>
              </w:rPr>
              <w:t>支柱二規則範本」之揭露</w:t>
            </w:r>
          </w:p>
          <w:p w:rsidR="007D0E56" w:rsidRPr="009061A1" w:rsidRDefault="007D0E56" w:rsidP="007D0E56">
            <w:pPr>
              <w:widowControl/>
              <w:rPr>
                <w:rFonts w:ascii="Times New Roman" w:eastAsia="新細明體" w:hAnsi="Times New Roman" w:cs="Times New Roman"/>
                <w:color w:val="000000"/>
                <w:kern w:val="0"/>
                <w:szCs w:val="24"/>
              </w:rPr>
            </w:pPr>
          </w:p>
        </w:tc>
        <w:tc>
          <w:tcPr>
            <w:tcW w:w="0" w:type="auto"/>
            <w:tcBorders>
              <w:top w:val="nil"/>
              <w:left w:val="nil"/>
              <w:bottom w:val="single" w:sz="4" w:space="0" w:color="auto"/>
              <w:right w:val="single" w:sz="4" w:space="0" w:color="auto"/>
            </w:tcBorders>
            <w:shd w:val="clear" w:color="auto" w:fill="auto"/>
            <w:hideMark/>
          </w:tcPr>
          <w:p w:rsidR="007D0E56" w:rsidRPr="006E3B2D" w:rsidRDefault="007D0E56" w:rsidP="007D0E56">
            <w:pPr>
              <w:widowControl/>
              <w:rPr>
                <w:rFonts w:ascii="標楷體" w:eastAsia="標楷體" w:hAnsi="標楷體" w:cs="新細明體"/>
                <w:color w:val="000000"/>
                <w:kern w:val="0"/>
                <w:szCs w:val="24"/>
              </w:rPr>
            </w:pPr>
            <w:r w:rsidRPr="006E3B2D">
              <w:rPr>
                <w:rFonts w:ascii="標楷體" w:eastAsia="標楷體" w:hAnsi="標楷體" w:cs="新細明體" w:hint="eastAsia"/>
                <w:color w:val="000000"/>
                <w:kern w:val="0"/>
                <w:szCs w:val="24"/>
              </w:rPr>
              <w:t>遞延所得稅資產</w:t>
            </w:r>
            <w:r w:rsidRPr="006E3B2D">
              <w:rPr>
                <w:rFonts w:ascii="標楷體" w:eastAsia="標楷體" w:hAnsi="標楷體" w:cs="新細明體" w:hint="eastAsia"/>
                <w:color w:val="000000"/>
                <w:kern w:val="0"/>
                <w:szCs w:val="24"/>
              </w:rPr>
              <w:br/>
              <w:t>遞延所得稅負債</w:t>
            </w:r>
            <w:r w:rsidRPr="006E3B2D">
              <w:rPr>
                <w:rFonts w:ascii="標楷體" w:eastAsia="標楷體" w:hAnsi="標楷體" w:cs="新細明體" w:hint="eastAsia"/>
                <w:color w:val="000000"/>
                <w:kern w:val="0"/>
                <w:szCs w:val="24"/>
              </w:rPr>
              <w:br/>
              <w:t>遞延所得稅費用/利益</w:t>
            </w:r>
          </w:p>
        </w:tc>
        <w:tc>
          <w:tcPr>
            <w:tcW w:w="0" w:type="auto"/>
            <w:tcBorders>
              <w:top w:val="nil"/>
              <w:left w:val="nil"/>
              <w:bottom w:val="single" w:sz="4" w:space="0" w:color="auto"/>
              <w:right w:val="single" w:sz="4" w:space="0" w:color="auto"/>
            </w:tcBorders>
            <w:shd w:val="clear" w:color="auto" w:fill="auto"/>
            <w:hideMark/>
          </w:tcPr>
          <w:p w:rsidR="007D0E56" w:rsidRPr="006E3B2D" w:rsidRDefault="007D0E56" w:rsidP="007D0E56">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w:t>
            </w:r>
            <w:r>
              <w:rPr>
                <w:rFonts w:ascii="Times New Roman" w:eastAsia="新細明體" w:hAnsi="Times New Roman" w:cs="Times New Roman" w:hint="eastAsia"/>
                <w:kern w:val="0"/>
                <w:szCs w:val="24"/>
              </w:rPr>
              <w:t>2</w:t>
            </w:r>
            <w:r w:rsidRPr="006E3B2D">
              <w:rPr>
                <w:rFonts w:ascii="標楷體" w:eastAsia="標楷體" w:hAnsi="標楷體" w:cs="Times New Roman" w:hint="eastAsia"/>
                <w:kern w:val="0"/>
                <w:szCs w:val="24"/>
              </w:rPr>
              <w:t>年版：新增</w:t>
            </w:r>
            <w:r w:rsidRPr="006E3B2D">
              <w:rPr>
                <w:rFonts w:ascii="Times New Roman" w:eastAsia="新細明體" w:hAnsi="Times New Roman" w:cs="Times New Roman"/>
                <w:kern w:val="0"/>
                <w:szCs w:val="24"/>
              </w:rPr>
              <w:t>IAS12.88A-88D</w:t>
            </w:r>
            <w:r w:rsidRPr="006E3B2D">
              <w:rPr>
                <w:rFonts w:ascii="Times New Roman" w:eastAsia="新細明體" w:hAnsi="Times New Roman" w:cs="Times New Roman"/>
                <w:kern w:val="0"/>
                <w:szCs w:val="24"/>
              </w:rPr>
              <w:br/>
            </w:r>
            <w:r w:rsidRPr="006E3B2D">
              <w:rPr>
                <w:rFonts w:ascii="Times New Roman" w:eastAsia="新細明體" w:hAnsi="Times New Roman" w:cs="Times New Roman"/>
                <w:kern w:val="0"/>
                <w:szCs w:val="24"/>
              </w:rPr>
              <w:br/>
              <w:t>11</w:t>
            </w:r>
            <w:r>
              <w:rPr>
                <w:rFonts w:ascii="Times New Roman" w:eastAsia="新細明體" w:hAnsi="Times New Roman" w:cs="Times New Roman" w:hint="eastAsia"/>
                <w:kern w:val="0"/>
                <w:szCs w:val="24"/>
              </w:rPr>
              <w:t>1</w:t>
            </w:r>
            <w:r w:rsidRPr="006E3B2D">
              <w:rPr>
                <w:rFonts w:ascii="標楷體" w:eastAsia="標楷體" w:hAnsi="標楷體" w:cs="Times New Roman" w:hint="eastAsia"/>
                <w:kern w:val="0"/>
                <w:szCs w:val="24"/>
              </w:rPr>
              <w:t>年版：無</w:t>
            </w:r>
          </w:p>
        </w:tc>
        <w:tc>
          <w:tcPr>
            <w:tcW w:w="0" w:type="auto"/>
            <w:tcBorders>
              <w:top w:val="nil"/>
              <w:left w:val="nil"/>
              <w:bottom w:val="single" w:sz="4" w:space="0" w:color="auto"/>
              <w:right w:val="single" w:sz="4" w:space="0" w:color="auto"/>
            </w:tcBorders>
            <w:shd w:val="clear" w:color="auto" w:fill="auto"/>
            <w:hideMark/>
          </w:tcPr>
          <w:p w:rsidR="007D0E56" w:rsidRPr="006E3B2D" w:rsidRDefault="007D0E56" w:rsidP="007D0E56">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t>11</w:t>
            </w:r>
            <w:r>
              <w:rPr>
                <w:rFonts w:ascii="Times New Roman" w:eastAsia="新細明體" w:hAnsi="Times New Roman" w:cs="Times New Roman" w:hint="eastAsia"/>
                <w:kern w:val="0"/>
                <w:szCs w:val="24"/>
              </w:rPr>
              <w:t>2</w:t>
            </w:r>
            <w:r w:rsidRPr="006E3B2D">
              <w:rPr>
                <w:rFonts w:ascii="標楷體" w:eastAsia="標楷體" w:hAnsi="標楷體" w:cs="Times New Roman" w:hint="eastAsia"/>
                <w:kern w:val="0"/>
                <w:szCs w:val="24"/>
              </w:rPr>
              <w:t>年版：</w:t>
            </w:r>
            <w:r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t>1.</w:t>
            </w:r>
            <w:r w:rsidRPr="006E3B2D">
              <w:rPr>
                <w:rFonts w:ascii="標楷體" w:eastAsia="標楷體" w:hAnsi="標楷體" w:cs="Times New Roman" w:hint="eastAsia"/>
                <w:kern w:val="0"/>
                <w:szCs w:val="24"/>
              </w:rPr>
              <w:t>企業應揭露其已適用對認列與支柱二所得稅有關之遞延所得稅資產及負債與揭露其相關資訊之例外規定。</w:t>
            </w:r>
            <w:r w:rsidRPr="006E3B2D">
              <w:rPr>
                <w:rFonts w:ascii="Times New Roman" w:eastAsia="新細明體" w:hAnsi="Times New Roman" w:cs="Times New Roman"/>
                <w:kern w:val="0"/>
                <w:szCs w:val="24"/>
              </w:rPr>
              <w:t xml:space="preserve"> </w:t>
            </w:r>
            <w:r w:rsidRPr="006E3B2D">
              <w:rPr>
                <w:rFonts w:ascii="Times New Roman" w:eastAsia="新細明體" w:hAnsi="Times New Roman" w:cs="Times New Roman"/>
                <w:kern w:val="0"/>
                <w:szCs w:val="24"/>
              </w:rPr>
              <w:br/>
              <w:t>2.</w:t>
            </w:r>
            <w:r w:rsidRPr="006E3B2D">
              <w:rPr>
                <w:rFonts w:ascii="標楷體" w:eastAsia="標楷體" w:hAnsi="標楷體" w:cs="Times New Roman" w:hint="eastAsia"/>
                <w:kern w:val="0"/>
                <w:szCs w:val="24"/>
              </w:rPr>
              <w:t>於支柱二法案已立法或已實質性立法但尚未生效之</w:t>
            </w:r>
            <w:proofErr w:type="gramStart"/>
            <w:r w:rsidRPr="006E3B2D">
              <w:rPr>
                <w:rFonts w:ascii="標楷體" w:eastAsia="標楷體" w:hAnsi="標楷體" w:cs="Times New Roman" w:hint="eastAsia"/>
                <w:kern w:val="0"/>
                <w:szCs w:val="24"/>
              </w:rPr>
              <w:t>期間，</w:t>
            </w:r>
            <w:proofErr w:type="gramEnd"/>
            <w:r w:rsidRPr="006E3B2D">
              <w:rPr>
                <w:rFonts w:ascii="標楷體" w:eastAsia="標楷體" w:hAnsi="標楷體" w:cs="Times New Roman" w:hint="eastAsia"/>
                <w:kern w:val="0"/>
                <w:szCs w:val="24"/>
              </w:rPr>
              <w:t>企業應揭露有助於財務報表使用者了解企業因該法案所產生對支柱二所得稅</w:t>
            </w:r>
            <w:proofErr w:type="gramStart"/>
            <w:r w:rsidRPr="006E3B2D">
              <w:rPr>
                <w:rFonts w:ascii="標楷體" w:eastAsia="標楷體" w:hAnsi="標楷體" w:cs="Times New Roman" w:hint="eastAsia"/>
                <w:kern w:val="0"/>
                <w:szCs w:val="24"/>
              </w:rPr>
              <w:t>之暴險之</w:t>
            </w:r>
            <w:proofErr w:type="gramEnd"/>
            <w:r w:rsidRPr="006E3B2D">
              <w:rPr>
                <w:rFonts w:ascii="標楷體" w:eastAsia="標楷體" w:hAnsi="標楷體" w:cs="Times New Roman" w:hint="eastAsia"/>
                <w:kern w:val="0"/>
                <w:szCs w:val="24"/>
              </w:rPr>
              <w:t>已知或可合理估計之資訊，包括質性及量化資訊。此資訊無須反映支柱二法案之所有具體規定，且得以標示性區間之形式提供。在前述資訊尚無法得知或無法合理估計之範圍內，企業應改以揭露對該事實之說明，並揭露有關其評估</w:t>
            </w:r>
            <w:proofErr w:type="gramStart"/>
            <w:r w:rsidRPr="006E3B2D">
              <w:rPr>
                <w:rFonts w:ascii="標楷體" w:eastAsia="標楷體" w:hAnsi="標楷體" w:cs="Times New Roman" w:hint="eastAsia"/>
                <w:kern w:val="0"/>
                <w:szCs w:val="24"/>
              </w:rPr>
              <w:t>該暴險</w:t>
            </w:r>
            <w:proofErr w:type="gramEnd"/>
            <w:r w:rsidRPr="006E3B2D">
              <w:rPr>
                <w:rFonts w:ascii="標楷體" w:eastAsia="標楷體" w:hAnsi="標楷體" w:cs="Times New Roman" w:hint="eastAsia"/>
                <w:kern w:val="0"/>
                <w:szCs w:val="24"/>
              </w:rPr>
              <w:t>之進度之資訊。</w:t>
            </w:r>
            <w:r w:rsidRPr="006E3B2D">
              <w:rPr>
                <w:rFonts w:ascii="Times New Roman" w:eastAsia="新細明體" w:hAnsi="Times New Roman" w:cs="Times New Roman"/>
                <w:kern w:val="0"/>
                <w:szCs w:val="24"/>
              </w:rPr>
              <w:t xml:space="preserve"> </w:t>
            </w:r>
            <w:r w:rsidRPr="006E3B2D">
              <w:rPr>
                <w:rFonts w:ascii="Times New Roman" w:eastAsia="新細明體" w:hAnsi="Times New Roman" w:cs="Times New Roman"/>
                <w:kern w:val="0"/>
                <w:szCs w:val="24"/>
              </w:rPr>
              <w:br/>
              <w:t>3.</w:t>
            </w:r>
            <w:r w:rsidRPr="006E3B2D">
              <w:rPr>
                <w:rFonts w:ascii="標楷體" w:eastAsia="標楷體" w:hAnsi="標楷體" w:cs="Times New Roman" w:hint="eastAsia"/>
                <w:kern w:val="0"/>
                <w:szCs w:val="24"/>
              </w:rPr>
              <w:t>支柱二法案生效後，企業應單獨揭露其有關支柱二所得稅之當期所得稅費用（利益）。</w:t>
            </w:r>
            <w:r w:rsidRPr="006E3B2D">
              <w:rPr>
                <w:rFonts w:ascii="Times New Roman" w:eastAsia="新細明體" w:hAnsi="Times New Roman" w:cs="Times New Roman"/>
                <w:kern w:val="0"/>
                <w:szCs w:val="24"/>
              </w:rPr>
              <w:t xml:space="preserve"> </w:t>
            </w:r>
            <w:r w:rsidRPr="006E3B2D">
              <w:rPr>
                <w:rFonts w:ascii="Times New Roman" w:eastAsia="新細明體" w:hAnsi="Times New Roman" w:cs="Times New Roman"/>
                <w:kern w:val="0"/>
                <w:szCs w:val="24"/>
              </w:rPr>
              <w:br/>
            </w:r>
            <w:r w:rsidRPr="006E3B2D">
              <w:rPr>
                <w:rFonts w:ascii="Times New Roman" w:eastAsia="新細明體" w:hAnsi="Times New Roman" w:cs="Times New Roman"/>
                <w:kern w:val="0"/>
                <w:szCs w:val="24"/>
              </w:rPr>
              <w:br/>
              <w:t>11</w:t>
            </w:r>
            <w:r>
              <w:rPr>
                <w:rFonts w:ascii="Times New Roman" w:eastAsia="新細明體" w:hAnsi="Times New Roman" w:cs="Times New Roman" w:hint="eastAsia"/>
                <w:kern w:val="0"/>
                <w:szCs w:val="24"/>
              </w:rPr>
              <w:t>1</w:t>
            </w:r>
            <w:r w:rsidRPr="006E3B2D">
              <w:rPr>
                <w:rFonts w:ascii="標楷體" w:eastAsia="標楷體" w:hAnsi="標楷體" w:cs="Times New Roman" w:hint="eastAsia"/>
                <w:kern w:val="0"/>
                <w:szCs w:val="24"/>
              </w:rPr>
              <w:t>年版：無</w:t>
            </w:r>
          </w:p>
        </w:tc>
      </w:tr>
    </w:tbl>
    <w:p w:rsidR="006E3B2D" w:rsidRPr="006E3B2D" w:rsidRDefault="006E3B2D">
      <w:pPr>
        <w:rPr>
          <w:szCs w:val="24"/>
        </w:rPr>
      </w:pPr>
    </w:p>
    <w:tbl>
      <w:tblPr>
        <w:tblW w:w="0" w:type="auto"/>
        <w:tblInd w:w="13" w:type="dxa"/>
        <w:tblCellMar>
          <w:left w:w="28" w:type="dxa"/>
          <w:right w:w="28" w:type="dxa"/>
        </w:tblCellMar>
        <w:tblLook w:val="04A0" w:firstRow="1" w:lastRow="0" w:firstColumn="1" w:lastColumn="0" w:noHBand="0" w:noVBand="1"/>
      </w:tblPr>
      <w:tblGrid>
        <w:gridCol w:w="538"/>
        <w:gridCol w:w="2677"/>
        <w:gridCol w:w="1025"/>
        <w:gridCol w:w="1437"/>
        <w:gridCol w:w="8324"/>
      </w:tblGrid>
      <w:tr w:rsidR="006E3B2D" w:rsidRPr="006E3B2D" w:rsidTr="006E3B2D">
        <w:tc>
          <w:tcPr>
            <w:tcW w:w="0" w:type="auto"/>
            <w:gridSpan w:val="3"/>
            <w:tcBorders>
              <w:top w:val="nil"/>
              <w:left w:val="nil"/>
              <w:bottom w:val="nil"/>
              <w:right w:val="nil"/>
            </w:tcBorders>
            <w:shd w:val="clear" w:color="auto" w:fill="auto"/>
            <w:noWrap/>
            <w:hideMark/>
          </w:tcPr>
          <w:p w:rsidR="006E3B2D" w:rsidRPr="006E3B2D" w:rsidRDefault="006E3B2D" w:rsidP="006E3B2D">
            <w:pPr>
              <w:widowControl/>
              <w:rPr>
                <w:rFonts w:ascii="Times New Roman" w:eastAsia="新細明體" w:hAnsi="Times New Roman" w:cs="Times New Roman"/>
                <w:b/>
                <w:bCs/>
                <w:color w:val="0000FF"/>
                <w:kern w:val="0"/>
                <w:szCs w:val="24"/>
              </w:rPr>
            </w:pPr>
            <w:r w:rsidRPr="006E3B2D">
              <w:rPr>
                <w:rFonts w:ascii="標楷體" w:eastAsia="標楷體" w:hAnsi="標楷體" w:cs="Times New Roman" w:hint="eastAsia"/>
                <w:b/>
                <w:bCs/>
                <w:color w:val="0000FF"/>
                <w:kern w:val="0"/>
                <w:szCs w:val="24"/>
              </w:rPr>
              <w:t>三、其他重大實務提醒項目</w:t>
            </w:r>
          </w:p>
        </w:tc>
        <w:tc>
          <w:tcPr>
            <w:tcW w:w="0" w:type="auto"/>
            <w:tcBorders>
              <w:top w:val="nil"/>
              <w:left w:val="nil"/>
              <w:bottom w:val="nil"/>
              <w:right w:val="nil"/>
            </w:tcBorders>
            <w:shd w:val="clear" w:color="auto" w:fill="auto"/>
            <w:noWrap/>
            <w:vAlign w:val="center"/>
            <w:hideMark/>
          </w:tcPr>
          <w:p w:rsidR="006E3B2D" w:rsidRPr="006E3B2D" w:rsidRDefault="006E3B2D" w:rsidP="006E3B2D">
            <w:pPr>
              <w:widowControl/>
              <w:rPr>
                <w:rFonts w:ascii="Times New Roman" w:eastAsia="新細明體" w:hAnsi="Times New Roman" w:cs="Times New Roman"/>
                <w:color w:val="000000"/>
                <w:kern w:val="0"/>
                <w:szCs w:val="24"/>
              </w:rPr>
            </w:pPr>
          </w:p>
        </w:tc>
        <w:tc>
          <w:tcPr>
            <w:tcW w:w="0" w:type="auto"/>
            <w:tcBorders>
              <w:top w:val="nil"/>
              <w:left w:val="nil"/>
              <w:bottom w:val="nil"/>
              <w:right w:val="nil"/>
            </w:tcBorders>
            <w:shd w:val="clear" w:color="auto" w:fill="auto"/>
            <w:noWrap/>
            <w:vAlign w:val="center"/>
            <w:hideMark/>
          </w:tcPr>
          <w:p w:rsidR="006E3B2D" w:rsidRPr="006E3B2D" w:rsidRDefault="006E3B2D" w:rsidP="006E3B2D">
            <w:pPr>
              <w:widowControl/>
              <w:rPr>
                <w:rFonts w:ascii="Times New Roman" w:eastAsia="新細明體" w:hAnsi="Times New Roman" w:cs="Times New Roman"/>
                <w:color w:val="000000"/>
                <w:kern w:val="0"/>
                <w:szCs w:val="24"/>
              </w:rPr>
            </w:pPr>
          </w:p>
        </w:tc>
      </w:tr>
      <w:tr w:rsidR="006E3B2D" w:rsidRPr="006E3B2D" w:rsidTr="006E3B2D">
        <w:tc>
          <w:tcPr>
            <w:tcW w:w="0" w:type="auto"/>
            <w:tcBorders>
              <w:top w:val="single" w:sz="4" w:space="0" w:color="auto"/>
              <w:left w:val="single" w:sz="4" w:space="0" w:color="auto"/>
              <w:bottom w:val="single" w:sz="4" w:space="0" w:color="auto"/>
              <w:right w:val="single" w:sz="4" w:space="0" w:color="auto"/>
            </w:tcBorders>
            <w:shd w:val="clear" w:color="000000" w:fill="FAC090"/>
            <w:hideMark/>
          </w:tcPr>
          <w:p w:rsidR="006E3B2D" w:rsidRPr="006E3B2D" w:rsidRDefault="006E3B2D" w:rsidP="006E3B2D">
            <w:pPr>
              <w:widowControl/>
              <w:jc w:val="center"/>
              <w:rPr>
                <w:rFonts w:ascii="Times New Roman" w:eastAsia="新細明體" w:hAnsi="Times New Roman" w:cs="Times New Roman"/>
                <w:b/>
                <w:bCs/>
                <w:kern w:val="0"/>
                <w:szCs w:val="24"/>
              </w:rPr>
            </w:pPr>
            <w:bookmarkStart w:id="3" w:name="RANGE!A2:E3"/>
            <w:r w:rsidRPr="006E3B2D">
              <w:rPr>
                <w:rFonts w:ascii="標楷體" w:eastAsia="標楷體" w:hAnsi="標楷體" w:cs="Times New Roman" w:hint="eastAsia"/>
                <w:b/>
                <w:bCs/>
                <w:kern w:val="0"/>
                <w:szCs w:val="24"/>
              </w:rPr>
              <w:t>項次</w:t>
            </w:r>
            <w:bookmarkEnd w:id="3"/>
          </w:p>
        </w:tc>
        <w:tc>
          <w:tcPr>
            <w:tcW w:w="0" w:type="auto"/>
            <w:tcBorders>
              <w:top w:val="single" w:sz="4" w:space="0" w:color="auto"/>
              <w:left w:val="nil"/>
              <w:bottom w:val="single" w:sz="4" w:space="0" w:color="auto"/>
              <w:right w:val="single" w:sz="4" w:space="0" w:color="auto"/>
            </w:tcBorders>
            <w:shd w:val="clear" w:color="000000" w:fill="FAC09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議題</w:t>
            </w:r>
          </w:p>
        </w:tc>
        <w:tc>
          <w:tcPr>
            <w:tcW w:w="0" w:type="auto"/>
            <w:tcBorders>
              <w:top w:val="single" w:sz="4" w:space="0" w:color="auto"/>
              <w:left w:val="nil"/>
              <w:bottom w:val="single" w:sz="4" w:space="0" w:color="auto"/>
              <w:right w:val="single" w:sz="4" w:space="0" w:color="auto"/>
            </w:tcBorders>
            <w:shd w:val="clear" w:color="000000" w:fill="FAC09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會計項目</w:t>
            </w:r>
          </w:p>
        </w:tc>
        <w:tc>
          <w:tcPr>
            <w:tcW w:w="0" w:type="auto"/>
            <w:tcBorders>
              <w:top w:val="single" w:sz="4" w:space="0" w:color="auto"/>
              <w:left w:val="nil"/>
              <w:bottom w:val="single" w:sz="4" w:space="0" w:color="auto"/>
              <w:right w:val="single" w:sz="4" w:space="0" w:color="auto"/>
            </w:tcBorders>
            <w:shd w:val="clear" w:color="000000" w:fill="FAC09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公報號次及段落</w:t>
            </w:r>
          </w:p>
        </w:tc>
        <w:tc>
          <w:tcPr>
            <w:tcW w:w="0" w:type="auto"/>
            <w:tcBorders>
              <w:top w:val="single" w:sz="4" w:space="0" w:color="auto"/>
              <w:left w:val="nil"/>
              <w:bottom w:val="single" w:sz="4" w:space="0" w:color="auto"/>
              <w:right w:val="single" w:sz="4" w:space="0" w:color="auto"/>
            </w:tcBorders>
            <w:shd w:val="clear" w:color="000000" w:fill="FAC090"/>
            <w:vAlign w:val="center"/>
            <w:hideMark/>
          </w:tcPr>
          <w:p w:rsidR="006E3B2D" w:rsidRPr="006E3B2D" w:rsidRDefault="006E3B2D" w:rsidP="006E3B2D">
            <w:pPr>
              <w:widowControl/>
              <w:rPr>
                <w:rFonts w:ascii="Times New Roman" w:eastAsia="新細明體" w:hAnsi="Times New Roman" w:cs="Times New Roman"/>
                <w:b/>
                <w:bCs/>
                <w:kern w:val="0"/>
                <w:szCs w:val="24"/>
              </w:rPr>
            </w:pPr>
            <w:r w:rsidRPr="006E3B2D">
              <w:rPr>
                <w:rFonts w:ascii="標楷體" w:eastAsia="標楷體" w:hAnsi="標楷體" w:cs="Times New Roman" w:hint="eastAsia"/>
                <w:b/>
                <w:bCs/>
                <w:kern w:val="0"/>
                <w:szCs w:val="24"/>
              </w:rPr>
              <w:t>差異說明</w:t>
            </w:r>
          </w:p>
        </w:tc>
      </w:tr>
      <w:tr w:rsidR="006E3B2D" w:rsidRPr="006E3B2D" w:rsidTr="006E3B2D">
        <w:tc>
          <w:tcPr>
            <w:tcW w:w="0" w:type="auto"/>
            <w:tcBorders>
              <w:top w:val="nil"/>
              <w:left w:val="single" w:sz="4" w:space="0" w:color="auto"/>
              <w:bottom w:val="single" w:sz="4" w:space="0" w:color="auto"/>
              <w:right w:val="single" w:sz="4" w:space="0" w:color="auto"/>
            </w:tcBorders>
            <w:shd w:val="clear" w:color="auto" w:fill="auto"/>
            <w:noWrap/>
            <w:hideMark/>
          </w:tcPr>
          <w:p w:rsidR="006E3B2D" w:rsidRPr="007D0E56" w:rsidRDefault="006E3B2D" w:rsidP="006E3B2D">
            <w:pPr>
              <w:widowControl/>
              <w:jc w:val="center"/>
              <w:rPr>
                <w:rFonts w:ascii="Times New Roman" w:eastAsia="新細明體" w:hAnsi="Times New Roman" w:cs="Times New Roman"/>
                <w:kern w:val="0"/>
                <w:szCs w:val="24"/>
              </w:rPr>
            </w:pPr>
            <w:r w:rsidRPr="007D0E56">
              <w:rPr>
                <w:rFonts w:ascii="Times New Roman" w:eastAsia="新細明體" w:hAnsi="Times New Roman" w:cs="Times New Roman"/>
                <w:kern w:val="0"/>
                <w:szCs w:val="24"/>
              </w:rPr>
              <w:t>1</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color w:val="000000"/>
                <w:kern w:val="0"/>
                <w:szCs w:val="24"/>
              </w:rPr>
            </w:pPr>
            <w:r w:rsidRPr="006E3B2D">
              <w:rPr>
                <w:rFonts w:ascii="標楷體" w:eastAsia="標楷體" w:hAnsi="標楷體" w:cs="Times New Roman" w:hint="eastAsia"/>
                <w:color w:val="000000"/>
                <w:kern w:val="0"/>
                <w:szCs w:val="24"/>
              </w:rPr>
              <w:t>「國際租稅變革</w:t>
            </w:r>
            <w:proofErr w:type="gramStart"/>
            <w:r w:rsidRPr="006E3B2D">
              <w:rPr>
                <w:rFonts w:ascii="Times New Roman" w:eastAsia="新細明體" w:hAnsi="Times New Roman" w:cs="Times New Roman"/>
                <w:color w:val="000000"/>
                <w:kern w:val="0"/>
                <w:szCs w:val="24"/>
              </w:rPr>
              <w:t>—</w:t>
            </w:r>
            <w:proofErr w:type="gramEnd"/>
            <w:r w:rsidRPr="006E3B2D">
              <w:rPr>
                <w:rFonts w:ascii="標楷體" w:eastAsia="標楷體" w:hAnsi="標楷體" w:cs="Times New Roman" w:hint="eastAsia"/>
                <w:color w:val="000000"/>
                <w:kern w:val="0"/>
                <w:szCs w:val="24"/>
              </w:rPr>
              <w:t>支柱</w:t>
            </w:r>
            <w:r w:rsidRPr="006E3B2D">
              <w:rPr>
                <w:rFonts w:ascii="標楷體" w:eastAsia="標楷體" w:hAnsi="標楷體" w:cs="Times New Roman" w:hint="eastAsia"/>
                <w:color w:val="000000"/>
                <w:kern w:val="0"/>
                <w:szCs w:val="24"/>
              </w:rPr>
              <w:lastRenderedPageBreak/>
              <w:t>二規則範本」之認列例外規定</w:t>
            </w:r>
          </w:p>
        </w:tc>
        <w:tc>
          <w:tcPr>
            <w:tcW w:w="0" w:type="auto"/>
            <w:tcBorders>
              <w:top w:val="nil"/>
              <w:left w:val="nil"/>
              <w:bottom w:val="single" w:sz="4" w:space="0" w:color="auto"/>
              <w:right w:val="single" w:sz="4" w:space="0" w:color="auto"/>
            </w:tcBorders>
            <w:shd w:val="clear" w:color="auto" w:fill="auto"/>
            <w:hideMark/>
          </w:tcPr>
          <w:p w:rsidR="006E3B2D" w:rsidRPr="006E3B2D" w:rsidRDefault="006E3B2D" w:rsidP="006E3B2D">
            <w:pPr>
              <w:widowControl/>
              <w:rPr>
                <w:rFonts w:ascii="Times New Roman" w:eastAsia="新細明體" w:hAnsi="Times New Roman" w:cs="Times New Roman"/>
                <w:color w:val="000000"/>
                <w:kern w:val="0"/>
                <w:szCs w:val="24"/>
              </w:rPr>
            </w:pPr>
            <w:r w:rsidRPr="006E3B2D">
              <w:rPr>
                <w:rFonts w:ascii="標楷體" w:eastAsia="標楷體" w:hAnsi="標楷體" w:cs="Times New Roman" w:hint="eastAsia"/>
                <w:color w:val="000000"/>
                <w:kern w:val="0"/>
                <w:szCs w:val="24"/>
              </w:rPr>
              <w:lastRenderedPageBreak/>
              <w:t>遞延所得</w:t>
            </w:r>
            <w:r w:rsidRPr="006E3B2D">
              <w:rPr>
                <w:rFonts w:ascii="標楷體" w:eastAsia="標楷體" w:hAnsi="標楷體" w:cs="Times New Roman" w:hint="eastAsia"/>
                <w:color w:val="000000"/>
                <w:kern w:val="0"/>
                <w:szCs w:val="24"/>
              </w:rPr>
              <w:lastRenderedPageBreak/>
              <w:t>稅資產</w:t>
            </w:r>
            <w:r w:rsidRPr="006E3B2D">
              <w:rPr>
                <w:rFonts w:ascii="標楷體" w:eastAsia="標楷體" w:hAnsi="標楷體" w:cs="Times New Roman" w:hint="eastAsia"/>
                <w:color w:val="000000"/>
                <w:kern w:val="0"/>
                <w:szCs w:val="24"/>
              </w:rPr>
              <w:br/>
              <w:t>遞延所得稅負債</w:t>
            </w:r>
            <w:r w:rsidRPr="006E3B2D">
              <w:rPr>
                <w:rFonts w:ascii="標楷體" w:eastAsia="標楷體" w:hAnsi="標楷體" w:cs="Times New Roman" w:hint="eastAsia"/>
                <w:color w:val="000000"/>
                <w:kern w:val="0"/>
                <w:szCs w:val="24"/>
              </w:rPr>
              <w:br/>
              <w:t>當期所得稅費用</w:t>
            </w:r>
            <w:r w:rsidRPr="006E3B2D">
              <w:rPr>
                <w:rFonts w:ascii="Times New Roman" w:eastAsia="新細明體" w:hAnsi="Times New Roman" w:cs="Times New Roman"/>
                <w:color w:val="000000"/>
                <w:kern w:val="0"/>
                <w:szCs w:val="24"/>
              </w:rPr>
              <w:t>/</w:t>
            </w:r>
            <w:r w:rsidRPr="006E3B2D">
              <w:rPr>
                <w:rFonts w:ascii="標楷體" w:eastAsia="標楷體" w:hAnsi="標楷體" w:cs="Times New Roman" w:hint="eastAsia"/>
                <w:color w:val="000000"/>
                <w:kern w:val="0"/>
                <w:szCs w:val="24"/>
              </w:rPr>
              <w:t>利益</w:t>
            </w:r>
          </w:p>
        </w:tc>
        <w:tc>
          <w:tcPr>
            <w:tcW w:w="0" w:type="auto"/>
            <w:tcBorders>
              <w:top w:val="nil"/>
              <w:left w:val="nil"/>
              <w:bottom w:val="single" w:sz="4" w:space="0" w:color="auto"/>
              <w:right w:val="single" w:sz="4" w:space="0" w:color="auto"/>
            </w:tcBorders>
            <w:shd w:val="clear" w:color="auto" w:fill="auto"/>
            <w:hideMark/>
          </w:tcPr>
          <w:p w:rsidR="006E3B2D" w:rsidRPr="006E3B2D" w:rsidRDefault="00E966A3" w:rsidP="00E966A3">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lastRenderedPageBreak/>
              <w:t>11</w:t>
            </w:r>
            <w:r>
              <w:rPr>
                <w:rFonts w:ascii="Times New Roman" w:eastAsia="新細明體" w:hAnsi="Times New Roman" w:cs="Times New Roman" w:hint="eastAsia"/>
                <w:kern w:val="0"/>
                <w:szCs w:val="24"/>
              </w:rPr>
              <w:t>2</w:t>
            </w:r>
            <w:r w:rsidR="006E3B2D" w:rsidRPr="006E3B2D">
              <w:rPr>
                <w:rFonts w:ascii="標楷體" w:eastAsia="標楷體" w:hAnsi="標楷體" w:cs="Times New Roman" w:hint="eastAsia"/>
                <w:kern w:val="0"/>
                <w:szCs w:val="24"/>
              </w:rPr>
              <w:t>年版：新</w:t>
            </w:r>
            <w:r w:rsidR="006E3B2D" w:rsidRPr="006E3B2D">
              <w:rPr>
                <w:rFonts w:ascii="標楷體" w:eastAsia="標楷體" w:hAnsi="標楷體" w:cs="Times New Roman" w:hint="eastAsia"/>
                <w:kern w:val="0"/>
                <w:szCs w:val="24"/>
              </w:rPr>
              <w:lastRenderedPageBreak/>
              <w:t>增</w:t>
            </w:r>
            <w:r w:rsidR="006E3B2D" w:rsidRPr="006E3B2D">
              <w:rPr>
                <w:rFonts w:ascii="Times New Roman" w:eastAsia="新細明體" w:hAnsi="Times New Roman" w:cs="Times New Roman"/>
                <w:kern w:val="0"/>
                <w:szCs w:val="24"/>
              </w:rPr>
              <w:t>IAS12.4A</w:t>
            </w:r>
            <w:r w:rsidR="006E3B2D" w:rsidRPr="006E3B2D">
              <w:rPr>
                <w:rFonts w:ascii="Times New Roman" w:eastAsia="新細明體" w:hAnsi="Times New Roman" w:cs="Times New Roman"/>
                <w:kern w:val="0"/>
                <w:szCs w:val="24"/>
              </w:rPr>
              <w:br/>
            </w:r>
            <w:r w:rsidR="006E3B2D" w:rsidRPr="006E3B2D">
              <w:rPr>
                <w:rFonts w:ascii="Times New Roman" w:eastAsia="新細明體" w:hAnsi="Times New Roman" w:cs="Times New Roman"/>
                <w:kern w:val="0"/>
                <w:szCs w:val="24"/>
              </w:rPr>
              <w:br/>
            </w:r>
            <w:r w:rsidRPr="006E3B2D">
              <w:rPr>
                <w:rFonts w:ascii="Times New Roman" w:eastAsia="新細明體" w:hAnsi="Times New Roman" w:cs="Times New Roman"/>
                <w:kern w:val="0"/>
                <w:szCs w:val="24"/>
              </w:rPr>
              <w:t>11</w:t>
            </w:r>
            <w:r>
              <w:rPr>
                <w:rFonts w:ascii="Times New Roman" w:eastAsia="新細明體" w:hAnsi="Times New Roman" w:cs="Times New Roman" w:hint="eastAsia"/>
                <w:kern w:val="0"/>
                <w:szCs w:val="24"/>
              </w:rPr>
              <w:t>1</w:t>
            </w:r>
            <w:r w:rsidR="006E3B2D" w:rsidRPr="006E3B2D">
              <w:rPr>
                <w:rFonts w:ascii="標楷體" w:eastAsia="標楷體" w:hAnsi="標楷體" w:cs="Times New Roman" w:hint="eastAsia"/>
                <w:kern w:val="0"/>
                <w:szCs w:val="24"/>
              </w:rPr>
              <w:t>年版：無</w:t>
            </w:r>
          </w:p>
        </w:tc>
        <w:tc>
          <w:tcPr>
            <w:tcW w:w="0" w:type="auto"/>
            <w:tcBorders>
              <w:top w:val="nil"/>
              <w:left w:val="nil"/>
              <w:bottom w:val="single" w:sz="4" w:space="0" w:color="auto"/>
              <w:right w:val="single" w:sz="4" w:space="0" w:color="auto"/>
            </w:tcBorders>
            <w:shd w:val="clear" w:color="auto" w:fill="auto"/>
            <w:hideMark/>
          </w:tcPr>
          <w:p w:rsidR="006E3B2D" w:rsidRPr="006E3B2D" w:rsidRDefault="00E966A3" w:rsidP="00E966A3">
            <w:pPr>
              <w:widowControl/>
              <w:rPr>
                <w:rFonts w:ascii="Times New Roman" w:eastAsia="新細明體" w:hAnsi="Times New Roman" w:cs="Times New Roman"/>
                <w:kern w:val="0"/>
                <w:szCs w:val="24"/>
              </w:rPr>
            </w:pPr>
            <w:r w:rsidRPr="006E3B2D">
              <w:rPr>
                <w:rFonts w:ascii="Times New Roman" w:eastAsia="新細明體" w:hAnsi="Times New Roman" w:cs="Times New Roman"/>
                <w:kern w:val="0"/>
                <w:szCs w:val="24"/>
              </w:rPr>
              <w:lastRenderedPageBreak/>
              <w:t>11</w:t>
            </w:r>
            <w:r>
              <w:rPr>
                <w:rFonts w:ascii="Times New Roman" w:eastAsia="新細明體" w:hAnsi="Times New Roman" w:cs="Times New Roman" w:hint="eastAsia"/>
                <w:kern w:val="0"/>
                <w:szCs w:val="24"/>
              </w:rPr>
              <w:t>2</w:t>
            </w:r>
            <w:r w:rsidR="006E3B2D" w:rsidRPr="006E3B2D">
              <w:rPr>
                <w:rFonts w:ascii="標楷體" w:eastAsia="標楷體" w:hAnsi="標楷體" w:cs="Times New Roman" w:hint="eastAsia"/>
                <w:kern w:val="0"/>
                <w:szCs w:val="24"/>
              </w:rPr>
              <w:t>年版：</w:t>
            </w:r>
            <w:r w:rsidR="006E3B2D" w:rsidRPr="006E3B2D">
              <w:rPr>
                <w:rFonts w:ascii="標楷體" w:eastAsia="標楷體" w:hAnsi="標楷體" w:cs="Times New Roman" w:hint="eastAsia"/>
                <w:kern w:val="0"/>
                <w:szCs w:val="24"/>
              </w:rPr>
              <w:br/>
            </w:r>
            <w:r w:rsidR="006E3B2D" w:rsidRPr="006E3B2D">
              <w:rPr>
                <w:rFonts w:ascii="Times New Roman" w:eastAsia="新細明體" w:hAnsi="Times New Roman" w:cs="Times New Roman"/>
                <w:kern w:val="0"/>
                <w:szCs w:val="24"/>
              </w:rPr>
              <w:lastRenderedPageBreak/>
              <w:t>IAS12</w:t>
            </w:r>
            <w:r w:rsidR="006E3B2D" w:rsidRPr="006E3B2D">
              <w:rPr>
                <w:rFonts w:ascii="標楷體" w:eastAsia="標楷體" w:hAnsi="標楷體" w:cs="Times New Roman" w:hint="eastAsia"/>
                <w:kern w:val="0"/>
                <w:szCs w:val="24"/>
              </w:rPr>
              <w:t>適用於為施行由</w:t>
            </w:r>
            <w:r w:rsidR="006E3B2D" w:rsidRPr="006E3B2D">
              <w:rPr>
                <w:rFonts w:ascii="Times New Roman" w:eastAsia="新細明體" w:hAnsi="Times New Roman" w:cs="Times New Roman"/>
                <w:kern w:val="0"/>
                <w:szCs w:val="24"/>
              </w:rPr>
              <w:t>OECD</w:t>
            </w:r>
            <w:r w:rsidR="006E3B2D" w:rsidRPr="006E3B2D">
              <w:rPr>
                <w:rFonts w:ascii="標楷體" w:eastAsia="標楷體" w:hAnsi="標楷體" w:cs="Times New Roman" w:hint="eastAsia"/>
                <w:kern w:val="0"/>
                <w:szCs w:val="24"/>
              </w:rPr>
              <w:t>所發布之支柱二規則範本而已立法或已實質性立法之稅法所產生之所得稅，包含施行此等規則中所描述之合格國內最低補充稅之稅法（</w:t>
            </w:r>
            <w:r>
              <w:rPr>
                <w:rFonts w:ascii="標楷體" w:eastAsia="標楷體" w:hAnsi="標楷體" w:cs="Times New Roman" w:hint="eastAsia"/>
                <w:kern w:val="0"/>
                <w:szCs w:val="24"/>
              </w:rPr>
              <w:t>該稅法及由其所產生之所得稅，以下</w:t>
            </w:r>
            <w:r w:rsidR="006E3B2D" w:rsidRPr="006E3B2D">
              <w:rPr>
                <w:rFonts w:ascii="標楷體" w:eastAsia="標楷體" w:hAnsi="標楷體" w:cs="Times New Roman" w:hint="eastAsia"/>
                <w:kern w:val="0"/>
                <w:szCs w:val="24"/>
              </w:rPr>
              <w:t>簡稱為「支柱二法案」及「支柱二所得稅」）。作為</w:t>
            </w:r>
            <w:r>
              <w:rPr>
                <w:rFonts w:ascii="標楷體" w:eastAsia="標楷體" w:hAnsi="標楷體" w:cs="Times New Roman" w:hint="eastAsia"/>
                <w:kern w:val="0"/>
                <w:szCs w:val="24"/>
              </w:rPr>
              <w:t>IAS12</w:t>
            </w:r>
            <w:r w:rsidR="006E3B2D" w:rsidRPr="006E3B2D">
              <w:rPr>
                <w:rFonts w:ascii="標楷體" w:eastAsia="標楷體" w:hAnsi="標楷體" w:cs="Times New Roman" w:hint="eastAsia"/>
                <w:kern w:val="0"/>
                <w:szCs w:val="24"/>
              </w:rPr>
              <w:t>之例外規定，企業不得認列有關支柱二所得稅之遞延所得稅資產及負債，亦不得揭露其相關資訊。</w:t>
            </w:r>
            <w:r w:rsidR="006E3B2D" w:rsidRPr="006E3B2D">
              <w:rPr>
                <w:rFonts w:ascii="標楷體" w:eastAsia="標楷體" w:hAnsi="標楷體" w:cs="Times New Roman" w:hint="eastAsia"/>
                <w:kern w:val="0"/>
                <w:szCs w:val="24"/>
              </w:rPr>
              <w:br/>
            </w:r>
            <w:r w:rsidR="006E3B2D" w:rsidRPr="006E3B2D">
              <w:rPr>
                <w:rFonts w:ascii="標楷體" w:eastAsia="標楷體" w:hAnsi="標楷體" w:cs="Times New Roman" w:hint="eastAsia"/>
                <w:kern w:val="0"/>
                <w:szCs w:val="24"/>
              </w:rPr>
              <w:br/>
            </w:r>
            <w:r w:rsidRPr="006E3B2D">
              <w:rPr>
                <w:rFonts w:ascii="Times New Roman" w:eastAsia="新細明體" w:hAnsi="Times New Roman" w:cs="Times New Roman"/>
                <w:kern w:val="0"/>
                <w:szCs w:val="24"/>
              </w:rPr>
              <w:t>11</w:t>
            </w:r>
            <w:r>
              <w:rPr>
                <w:rFonts w:ascii="Times New Roman" w:eastAsia="新細明體" w:hAnsi="Times New Roman" w:cs="Times New Roman" w:hint="eastAsia"/>
                <w:kern w:val="0"/>
                <w:szCs w:val="24"/>
              </w:rPr>
              <w:t>1</w:t>
            </w:r>
            <w:r w:rsidR="006E3B2D" w:rsidRPr="006E3B2D">
              <w:rPr>
                <w:rFonts w:ascii="標楷體" w:eastAsia="標楷體" w:hAnsi="標楷體" w:cs="Times New Roman" w:hint="eastAsia"/>
                <w:kern w:val="0"/>
                <w:szCs w:val="24"/>
              </w:rPr>
              <w:t>年版：無</w:t>
            </w:r>
          </w:p>
        </w:tc>
      </w:tr>
    </w:tbl>
    <w:p w:rsidR="006E3B2D" w:rsidRPr="006E3B2D" w:rsidRDefault="006E3B2D"/>
    <w:sectPr w:rsidR="006E3B2D" w:rsidRPr="006E3B2D" w:rsidSect="006E3B2D">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3B2D"/>
    <w:rsid w:val="0015271A"/>
    <w:rsid w:val="001A0B4A"/>
    <w:rsid w:val="001C2FD7"/>
    <w:rsid w:val="00231CA7"/>
    <w:rsid w:val="002B5DB3"/>
    <w:rsid w:val="0039639F"/>
    <w:rsid w:val="00630CB0"/>
    <w:rsid w:val="00665A30"/>
    <w:rsid w:val="006E3B2D"/>
    <w:rsid w:val="007D0E56"/>
    <w:rsid w:val="007D1338"/>
    <w:rsid w:val="009061A1"/>
    <w:rsid w:val="00AB0DFD"/>
    <w:rsid w:val="00AF3D4A"/>
    <w:rsid w:val="00B11C78"/>
    <w:rsid w:val="00B47BDF"/>
    <w:rsid w:val="00D23B47"/>
    <w:rsid w:val="00D70B3E"/>
    <w:rsid w:val="00E966A3"/>
    <w:rsid w:val="00EC3175"/>
    <w:rsid w:val="00ED2E10"/>
    <w:rsid w:val="00F42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B381"/>
  <w15:docId w15:val="{B9155E47-1A32-4FE5-9FFC-BE2010CE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DF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47BDF"/>
    <w:rPr>
      <w:sz w:val="18"/>
      <w:szCs w:val="18"/>
    </w:rPr>
  </w:style>
  <w:style w:type="paragraph" w:styleId="a4">
    <w:name w:val="annotation text"/>
    <w:basedOn w:val="a"/>
    <w:link w:val="a5"/>
    <w:uiPriority w:val="99"/>
    <w:semiHidden/>
    <w:unhideWhenUsed/>
    <w:rsid w:val="00B47BDF"/>
  </w:style>
  <w:style w:type="character" w:customStyle="1" w:styleId="a5">
    <w:name w:val="註解文字 字元"/>
    <w:basedOn w:val="a0"/>
    <w:link w:val="a4"/>
    <w:uiPriority w:val="99"/>
    <w:semiHidden/>
    <w:rsid w:val="00B47BDF"/>
  </w:style>
  <w:style w:type="paragraph" w:styleId="a6">
    <w:name w:val="annotation subject"/>
    <w:basedOn w:val="a4"/>
    <w:next w:val="a4"/>
    <w:link w:val="a7"/>
    <w:uiPriority w:val="99"/>
    <w:semiHidden/>
    <w:unhideWhenUsed/>
    <w:rsid w:val="00B47BDF"/>
    <w:rPr>
      <w:b/>
      <w:bCs/>
    </w:rPr>
  </w:style>
  <w:style w:type="character" w:customStyle="1" w:styleId="a7">
    <w:name w:val="註解主旨 字元"/>
    <w:basedOn w:val="a5"/>
    <w:link w:val="a6"/>
    <w:uiPriority w:val="99"/>
    <w:semiHidden/>
    <w:rsid w:val="00B47BDF"/>
    <w:rPr>
      <w:b/>
      <w:bCs/>
    </w:rPr>
  </w:style>
  <w:style w:type="paragraph" w:styleId="a8">
    <w:name w:val="Revision"/>
    <w:hidden/>
    <w:uiPriority w:val="99"/>
    <w:semiHidden/>
    <w:rsid w:val="00B47BDF"/>
  </w:style>
  <w:style w:type="paragraph" w:styleId="a9">
    <w:name w:val="Balloon Text"/>
    <w:basedOn w:val="a"/>
    <w:link w:val="aa"/>
    <w:uiPriority w:val="99"/>
    <w:semiHidden/>
    <w:unhideWhenUsed/>
    <w:rsid w:val="00B47BD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47B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9987">
      <w:bodyDiv w:val="1"/>
      <w:marLeft w:val="0"/>
      <w:marRight w:val="0"/>
      <w:marTop w:val="0"/>
      <w:marBottom w:val="0"/>
      <w:divBdr>
        <w:top w:val="none" w:sz="0" w:space="0" w:color="auto"/>
        <w:left w:val="none" w:sz="0" w:space="0" w:color="auto"/>
        <w:bottom w:val="none" w:sz="0" w:space="0" w:color="auto"/>
        <w:right w:val="none" w:sz="0" w:space="0" w:color="auto"/>
      </w:divBdr>
    </w:div>
    <w:div w:id="632637163">
      <w:bodyDiv w:val="1"/>
      <w:marLeft w:val="0"/>
      <w:marRight w:val="0"/>
      <w:marTop w:val="0"/>
      <w:marBottom w:val="0"/>
      <w:divBdr>
        <w:top w:val="none" w:sz="0" w:space="0" w:color="auto"/>
        <w:left w:val="none" w:sz="0" w:space="0" w:color="auto"/>
        <w:bottom w:val="none" w:sz="0" w:space="0" w:color="auto"/>
        <w:right w:val="none" w:sz="0" w:space="0" w:color="auto"/>
      </w:divBdr>
    </w:div>
    <w:div w:id="759523962">
      <w:bodyDiv w:val="1"/>
      <w:marLeft w:val="0"/>
      <w:marRight w:val="0"/>
      <w:marTop w:val="0"/>
      <w:marBottom w:val="0"/>
      <w:divBdr>
        <w:top w:val="none" w:sz="0" w:space="0" w:color="auto"/>
        <w:left w:val="none" w:sz="0" w:space="0" w:color="auto"/>
        <w:bottom w:val="none" w:sz="0" w:space="0" w:color="auto"/>
        <w:right w:val="none" w:sz="0" w:space="0" w:color="auto"/>
      </w:divBdr>
    </w:div>
    <w:div w:id="144726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B7303-3DE7-40D2-A748-8972917F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c:creator>
  <cp:lastModifiedBy>劉佳穎</cp:lastModifiedBy>
  <cp:revision>15</cp:revision>
  <dcterms:created xsi:type="dcterms:W3CDTF">2023-11-24T08:02:00Z</dcterms:created>
  <dcterms:modified xsi:type="dcterms:W3CDTF">2024-01-02T06:41:00Z</dcterms:modified>
</cp:coreProperties>
</file>