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6BC5" w14:textId="77777777" w:rsidR="00FE040C" w:rsidRDefault="00FE040C">
      <w:r w:rsidRPr="00867787">
        <w:rPr>
          <w:rFonts w:ascii="標楷體" w:eastAsia="標楷體" w:hAnsi="標楷體" w:cs="Times New Roman" w:hint="eastAsia"/>
          <w:b/>
          <w:bCs/>
          <w:color w:val="0000FF"/>
          <w:kern w:val="0"/>
          <w:sz w:val="30"/>
          <w:szCs w:val="30"/>
        </w:rPr>
        <w:t>一、重大影響財報表達</w:t>
      </w:r>
    </w:p>
    <w:tbl>
      <w:tblPr>
        <w:tblW w:w="21136" w:type="dxa"/>
        <w:tblInd w:w="13" w:type="dxa"/>
        <w:tblCellMar>
          <w:left w:w="28" w:type="dxa"/>
          <w:right w:w="28" w:type="dxa"/>
        </w:tblCellMar>
        <w:tblLook w:val="04A0" w:firstRow="1" w:lastRow="0" w:firstColumn="1" w:lastColumn="0" w:noHBand="0" w:noVBand="1"/>
      </w:tblPr>
      <w:tblGrid>
        <w:gridCol w:w="940"/>
        <w:gridCol w:w="1820"/>
        <w:gridCol w:w="2320"/>
        <w:gridCol w:w="2380"/>
        <w:gridCol w:w="4180"/>
        <w:gridCol w:w="9496"/>
      </w:tblGrid>
      <w:tr w:rsidR="00867787" w:rsidRPr="00867787" w14:paraId="2FB31F3E" w14:textId="77777777" w:rsidTr="002B1B86">
        <w:trPr>
          <w:trHeight w:val="387"/>
          <w:tblHeader/>
        </w:trPr>
        <w:tc>
          <w:tcPr>
            <w:tcW w:w="9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3E45B7B" w14:textId="77777777" w:rsidR="00867787" w:rsidRPr="00867787" w:rsidRDefault="00867787" w:rsidP="00867787">
            <w:pPr>
              <w:widowControl/>
              <w:rPr>
                <w:rFonts w:ascii="Times New Roman" w:eastAsia="新細明體" w:hAnsi="Times New Roman" w:cs="Times New Roman"/>
                <w:b/>
                <w:bCs/>
                <w:kern w:val="0"/>
                <w:sz w:val="30"/>
                <w:szCs w:val="30"/>
              </w:rPr>
            </w:pPr>
            <w:r w:rsidRPr="00867787">
              <w:rPr>
                <w:rFonts w:ascii="標楷體" w:eastAsia="標楷體" w:hAnsi="標楷體" w:cs="Times New Roman" w:hint="eastAsia"/>
                <w:b/>
                <w:bCs/>
                <w:kern w:val="0"/>
                <w:sz w:val="30"/>
                <w:szCs w:val="30"/>
              </w:rPr>
              <w:t>項次</w:t>
            </w:r>
          </w:p>
        </w:tc>
        <w:tc>
          <w:tcPr>
            <w:tcW w:w="1820" w:type="dxa"/>
            <w:tcBorders>
              <w:top w:val="single" w:sz="4" w:space="0" w:color="auto"/>
              <w:left w:val="nil"/>
              <w:bottom w:val="single" w:sz="4" w:space="0" w:color="auto"/>
              <w:right w:val="single" w:sz="4" w:space="0" w:color="auto"/>
            </w:tcBorders>
            <w:shd w:val="clear" w:color="000000" w:fill="FFFF00"/>
            <w:vAlign w:val="center"/>
            <w:hideMark/>
          </w:tcPr>
          <w:p w14:paraId="3A963B5A" w14:textId="77777777" w:rsidR="00867787" w:rsidRPr="00867787" w:rsidRDefault="00867787" w:rsidP="00867787">
            <w:pPr>
              <w:widowControl/>
              <w:rPr>
                <w:rFonts w:ascii="Times New Roman" w:eastAsia="新細明體" w:hAnsi="Times New Roman" w:cs="Times New Roman"/>
                <w:b/>
                <w:bCs/>
                <w:kern w:val="0"/>
                <w:sz w:val="30"/>
                <w:szCs w:val="30"/>
              </w:rPr>
            </w:pPr>
            <w:r w:rsidRPr="00867787">
              <w:rPr>
                <w:rFonts w:ascii="標楷體" w:eastAsia="標楷體" w:hAnsi="標楷體" w:cs="Times New Roman" w:hint="eastAsia"/>
                <w:b/>
                <w:bCs/>
                <w:kern w:val="0"/>
                <w:sz w:val="30"/>
                <w:szCs w:val="30"/>
              </w:rPr>
              <w:t>議題</w:t>
            </w:r>
          </w:p>
        </w:tc>
        <w:tc>
          <w:tcPr>
            <w:tcW w:w="2320" w:type="dxa"/>
            <w:tcBorders>
              <w:top w:val="single" w:sz="4" w:space="0" w:color="auto"/>
              <w:left w:val="nil"/>
              <w:bottom w:val="single" w:sz="4" w:space="0" w:color="auto"/>
              <w:right w:val="single" w:sz="4" w:space="0" w:color="auto"/>
            </w:tcBorders>
            <w:shd w:val="clear" w:color="000000" w:fill="FFFF00"/>
            <w:vAlign w:val="center"/>
            <w:hideMark/>
          </w:tcPr>
          <w:p w14:paraId="306FB1FB" w14:textId="77777777" w:rsidR="00867787" w:rsidRPr="00867787" w:rsidRDefault="00867787" w:rsidP="00867787">
            <w:pPr>
              <w:widowControl/>
              <w:rPr>
                <w:rFonts w:ascii="Times New Roman" w:eastAsia="新細明體" w:hAnsi="Times New Roman" w:cs="Times New Roman"/>
                <w:b/>
                <w:bCs/>
                <w:kern w:val="0"/>
                <w:sz w:val="30"/>
                <w:szCs w:val="30"/>
              </w:rPr>
            </w:pPr>
            <w:r w:rsidRPr="00867787">
              <w:rPr>
                <w:rFonts w:ascii="標楷體" w:eastAsia="標楷體" w:hAnsi="標楷體" w:cs="Times New Roman" w:hint="eastAsia"/>
                <w:b/>
                <w:bCs/>
                <w:kern w:val="0"/>
                <w:sz w:val="30"/>
                <w:szCs w:val="30"/>
              </w:rPr>
              <w:t>影響報表</w:t>
            </w:r>
          </w:p>
        </w:tc>
        <w:tc>
          <w:tcPr>
            <w:tcW w:w="2380" w:type="dxa"/>
            <w:tcBorders>
              <w:top w:val="single" w:sz="4" w:space="0" w:color="auto"/>
              <w:left w:val="nil"/>
              <w:bottom w:val="single" w:sz="4" w:space="0" w:color="auto"/>
              <w:right w:val="single" w:sz="4" w:space="0" w:color="auto"/>
            </w:tcBorders>
            <w:shd w:val="clear" w:color="000000" w:fill="FFFF00"/>
            <w:vAlign w:val="center"/>
            <w:hideMark/>
          </w:tcPr>
          <w:p w14:paraId="480BAC32" w14:textId="77777777" w:rsidR="00867787" w:rsidRPr="00867787" w:rsidRDefault="00867787" w:rsidP="00867787">
            <w:pPr>
              <w:widowControl/>
              <w:rPr>
                <w:rFonts w:ascii="Times New Roman" w:eastAsia="新細明體" w:hAnsi="Times New Roman" w:cs="Times New Roman"/>
                <w:b/>
                <w:bCs/>
                <w:kern w:val="0"/>
                <w:sz w:val="30"/>
                <w:szCs w:val="30"/>
              </w:rPr>
            </w:pPr>
            <w:r w:rsidRPr="00867787">
              <w:rPr>
                <w:rFonts w:ascii="標楷體" w:eastAsia="標楷體" w:hAnsi="標楷體" w:cs="Times New Roman" w:hint="eastAsia"/>
                <w:b/>
                <w:bCs/>
                <w:kern w:val="0"/>
                <w:sz w:val="30"/>
                <w:szCs w:val="30"/>
              </w:rPr>
              <w:t>會計項目</w:t>
            </w:r>
          </w:p>
        </w:tc>
        <w:tc>
          <w:tcPr>
            <w:tcW w:w="4180" w:type="dxa"/>
            <w:tcBorders>
              <w:top w:val="single" w:sz="4" w:space="0" w:color="auto"/>
              <w:left w:val="nil"/>
              <w:bottom w:val="single" w:sz="4" w:space="0" w:color="auto"/>
              <w:right w:val="single" w:sz="4" w:space="0" w:color="auto"/>
            </w:tcBorders>
            <w:shd w:val="clear" w:color="000000" w:fill="FFFF00"/>
            <w:vAlign w:val="center"/>
            <w:hideMark/>
          </w:tcPr>
          <w:p w14:paraId="02D9D4FB" w14:textId="1F125CA9" w:rsidR="00867787" w:rsidRPr="00867787" w:rsidRDefault="007B66D5" w:rsidP="00867787">
            <w:pPr>
              <w:widowControl/>
              <w:rPr>
                <w:rFonts w:ascii="Times New Roman" w:eastAsia="新細明體" w:hAnsi="Times New Roman" w:cs="Times New Roman"/>
                <w:b/>
                <w:bCs/>
                <w:kern w:val="0"/>
                <w:sz w:val="30"/>
                <w:szCs w:val="30"/>
              </w:rPr>
            </w:pPr>
            <w:r>
              <w:rPr>
                <w:rFonts w:ascii="標楷體" w:eastAsia="標楷體" w:hAnsi="標楷體" w:cs="Times New Roman" w:hint="eastAsia"/>
                <w:b/>
                <w:bCs/>
                <w:kern w:val="0"/>
                <w:sz w:val="30"/>
                <w:szCs w:val="30"/>
              </w:rPr>
              <w:t>準則</w:t>
            </w:r>
            <w:r w:rsidR="00867787" w:rsidRPr="00867787">
              <w:rPr>
                <w:rFonts w:ascii="標楷體" w:eastAsia="標楷體" w:hAnsi="標楷體" w:cs="Times New Roman" w:hint="eastAsia"/>
                <w:b/>
                <w:bCs/>
                <w:kern w:val="0"/>
                <w:sz w:val="30"/>
                <w:szCs w:val="30"/>
              </w:rPr>
              <w:t>號次及段落</w:t>
            </w:r>
          </w:p>
        </w:tc>
        <w:tc>
          <w:tcPr>
            <w:tcW w:w="9496" w:type="dxa"/>
            <w:tcBorders>
              <w:top w:val="single" w:sz="4" w:space="0" w:color="auto"/>
              <w:left w:val="nil"/>
              <w:bottom w:val="single" w:sz="4" w:space="0" w:color="auto"/>
              <w:right w:val="single" w:sz="4" w:space="0" w:color="auto"/>
            </w:tcBorders>
            <w:shd w:val="clear" w:color="000000" w:fill="FFFF00"/>
            <w:vAlign w:val="center"/>
            <w:hideMark/>
          </w:tcPr>
          <w:p w14:paraId="79CC5A5A" w14:textId="77777777" w:rsidR="00867787" w:rsidRPr="00867787" w:rsidRDefault="00867787" w:rsidP="00867787">
            <w:pPr>
              <w:widowControl/>
              <w:rPr>
                <w:rFonts w:ascii="Times New Roman" w:eastAsia="新細明體" w:hAnsi="Times New Roman" w:cs="Times New Roman"/>
                <w:b/>
                <w:bCs/>
                <w:kern w:val="0"/>
                <w:sz w:val="30"/>
                <w:szCs w:val="30"/>
              </w:rPr>
            </w:pPr>
            <w:r w:rsidRPr="00867787">
              <w:rPr>
                <w:rFonts w:ascii="標楷體" w:eastAsia="標楷體" w:hAnsi="標楷體" w:cs="Times New Roman" w:hint="eastAsia"/>
                <w:b/>
                <w:bCs/>
                <w:kern w:val="0"/>
                <w:sz w:val="30"/>
                <w:szCs w:val="30"/>
              </w:rPr>
              <w:t>差異內容說明</w:t>
            </w:r>
          </w:p>
        </w:tc>
      </w:tr>
      <w:tr w:rsidR="00867787" w:rsidRPr="00867787" w14:paraId="3047C3A5" w14:textId="77777777" w:rsidTr="002B1B86">
        <w:trPr>
          <w:trHeight w:val="1466"/>
        </w:trPr>
        <w:tc>
          <w:tcPr>
            <w:tcW w:w="940" w:type="dxa"/>
            <w:tcBorders>
              <w:top w:val="nil"/>
              <w:left w:val="single" w:sz="4" w:space="0" w:color="auto"/>
              <w:bottom w:val="single" w:sz="4" w:space="0" w:color="auto"/>
              <w:right w:val="single" w:sz="4" w:space="0" w:color="auto"/>
            </w:tcBorders>
            <w:hideMark/>
          </w:tcPr>
          <w:p w14:paraId="05C25156" w14:textId="77777777" w:rsidR="00867787" w:rsidRPr="00577F4F" w:rsidRDefault="00867787" w:rsidP="00867787">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t>1</w:t>
            </w:r>
          </w:p>
        </w:tc>
        <w:tc>
          <w:tcPr>
            <w:tcW w:w="1820" w:type="dxa"/>
            <w:tcBorders>
              <w:top w:val="nil"/>
              <w:left w:val="nil"/>
              <w:bottom w:val="single" w:sz="4" w:space="0" w:color="auto"/>
              <w:right w:val="single" w:sz="4" w:space="0" w:color="auto"/>
            </w:tcBorders>
            <w:hideMark/>
          </w:tcPr>
          <w:p w14:paraId="0AB7127B" w14:textId="77777777" w:rsidR="00867787" w:rsidRPr="00867787" w:rsidRDefault="00867787" w:rsidP="00867787">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金融資產之合約現金流量特性之評估</w:t>
            </w:r>
          </w:p>
        </w:tc>
        <w:tc>
          <w:tcPr>
            <w:tcW w:w="2320" w:type="dxa"/>
            <w:tcBorders>
              <w:top w:val="nil"/>
              <w:left w:val="nil"/>
              <w:bottom w:val="single" w:sz="4" w:space="0" w:color="auto"/>
              <w:right w:val="single" w:sz="4" w:space="0" w:color="auto"/>
            </w:tcBorders>
            <w:hideMark/>
          </w:tcPr>
          <w:p w14:paraId="2C4CC20A"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17BCCCCE"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透過損益按公允價值衡量之金融資產</w:t>
            </w:r>
            <w:r w:rsidRPr="00867787">
              <w:rPr>
                <w:rFonts w:ascii="標楷體" w:eastAsia="標楷體" w:hAnsi="標楷體" w:cs="新細明體" w:hint="eastAsia"/>
                <w:kern w:val="0"/>
                <w:sz w:val="30"/>
                <w:szCs w:val="30"/>
              </w:rPr>
              <w:br/>
              <w:t>透過其他綜合損益按公允價值衡量之金融資產</w:t>
            </w:r>
            <w:r w:rsidRPr="00867787">
              <w:rPr>
                <w:rFonts w:ascii="標楷體" w:eastAsia="標楷體" w:hAnsi="標楷體" w:cs="新細明體" w:hint="eastAsia"/>
                <w:kern w:val="0"/>
                <w:sz w:val="30"/>
                <w:szCs w:val="30"/>
              </w:rPr>
              <w:br/>
            </w:r>
            <w:proofErr w:type="gramStart"/>
            <w:r w:rsidRPr="00867787">
              <w:rPr>
                <w:rFonts w:ascii="標楷體" w:eastAsia="標楷體" w:hAnsi="標楷體" w:cs="新細明體" w:hint="eastAsia"/>
                <w:kern w:val="0"/>
                <w:sz w:val="30"/>
                <w:szCs w:val="30"/>
              </w:rPr>
              <w:t>按攤銷後</w:t>
            </w:r>
            <w:proofErr w:type="gramEnd"/>
            <w:r w:rsidRPr="00867787">
              <w:rPr>
                <w:rFonts w:ascii="標楷體" w:eastAsia="標楷體" w:hAnsi="標楷體" w:cs="新細明體" w:hint="eastAsia"/>
                <w:kern w:val="0"/>
                <w:sz w:val="30"/>
                <w:szCs w:val="30"/>
              </w:rPr>
              <w:t>成本衡量之金融資產</w:t>
            </w:r>
          </w:p>
        </w:tc>
        <w:tc>
          <w:tcPr>
            <w:tcW w:w="4180" w:type="dxa"/>
            <w:tcBorders>
              <w:top w:val="nil"/>
              <w:left w:val="nil"/>
              <w:bottom w:val="single" w:sz="4" w:space="0" w:color="auto"/>
              <w:right w:val="single" w:sz="4" w:space="0" w:color="auto"/>
            </w:tcBorders>
            <w:hideMark/>
          </w:tcPr>
          <w:p w14:paraId="4109C624" w14:textId="351E9C57" w:rsidR="00867787" w:rsidRPr="00867787" w:rsidRDefault="00867787" w:rsidP="0035647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新增IFRS9</w:t>
            </w:r>
            <w:r w:rsidR="00356475">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B4.1.8A</w:t>
            </w:r>
            <w:r w:rsidR="00ED7DE5">
              <w:rPr>
                <w:rFonts w:ascii="標楷體" w:eastAsia="標楷體" w:hAnsi="標楷體" w:cs="新細明體" w:hint="eastAsia"/>
                <w:kern w:val="0"/>
                <w:sz w:val="30"/>
                <w:szCs w:val="30"/>
              </w:rPr>
              <w:t>及</w:t>
            </w:r>
            <w:r w:rsidRPr="00867787">
              <w:rPr>
                <w:rFonts w:ascii="標楷體" w:eastAsia="標楷體" w:hAnsi="標楷體" w:cs="新細明體" w:hint="eastAsia"/>
                <w:kern w:val="0"/>
                <w:sz w:val="30"/>
                <w:szCs w:val="30"/>
              </w:rPr>
              <w:t>B4.1.10A</w:t>
            </w:r>
            <w:r w:rsidR="00356475">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w:t>
            </w:r>
            <w:r w:rsidR="00356475" w:rsidRPr="00867787">
              <w:rPr>
                <w:rFonts w:ascii="標楷體" w:eastAsia="標楷體" w:hAnsi="標楷體" w:cs="新細明體" w:hint="eastAsia"/>
                <w:kern w:val="0"/>
                <w:sz w:val="30"/>
                <w:szCs w:val="30"/>
              </w:rPr>
              <w:t>IFRS9</w:t>
            </w:r>
            <w:r w:rsidR="00356475">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B4.1.10</w:t>
            </w:r>
            <w:r w:rsidR="00356475">
              <w:rPr>
                <w:rFonts w:ascii="標楷體" w:eastAsia="標楷體" w:hAnsi="標楷體" w:cs="新細明體" w:hint="eastAsia"/>
                <w:kern w:val="0"/>
                <w:sz w:val="30"/>
                <w:szCs w:val="30"/>
              </w:rPr>
              <w:t>段</w:t>
            </w:r>
          </w:p>
        </w:tc>
        <w:tc>
          <w:tcPr>
            <w:tcW w:w="9496" w:type="dxa"/>
            <w:tcBorders>
              <w:top w:val="nil"/>
              <w:left w:val="nil"/>
              <w:bottom w:val="single" w:sz="4" w:space="0" w:color="auto"/>
              <w:right w:val="single" w:sz="4" w:space="0" w:color="auto"/>
            </w:tcBorders>
            <w:hideMark/>
          </w:tcPr>
          <w:p w14:paraId="2F031B9C" w14:textId="7670D245" w:rsidR="000A375A" w:rsidRDefault="00867787" w:rsidP="000A375A">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1.於評估金融資產之合約現金流量是否與基本放款協議一致時，</w:t>
            </w:r>
            <w:r w:rsidR="00ED7DE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可能須單獨考量不同利息要素</w:t>
            </w:r>
            <w:r w:rsidR="00ED7DE5">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對利息之評估聚焦於</w:t>
            </w:r>
            <w:r w:rsidR="00ED7DE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因</w:t>
            </w:r>
            <w:r w:rsidR="00ED08C9" w:rsidRPr="002B1B86">
              <w:rPr>
                <w:rFonts w:ascii="標楷體" w:eastAsia="標楷體" w:hAnsi="標楷體" w:cs="新細明體" w:hint="eastAsia"/>
                <w:bCs/>
                <w:kern w:val="0"/>
                <w:sz w:val="30"/>
                <w:szCs w:val="30"/>
              </w:rPr>
              <w:t>何者</w:t>
            </w:r>
            <w:r w:rsidRPr="00867787">
              <w:rPr>
                <w:rFonts w:ascii="標楷體" w:eastAsia="標楷體" w:hAnsi="標楷體" w:cs="新細明體" w:hint="eastAsia"/>
                <w:kern w:val="0"/>
                <w:sz w:val="30"/>
                <w:szCs w:val="30"/>
              </w:rPr>
              <w:t>而被補償，而非</w:t>
            </w:r>
            <w:r w:rsidR="00B26F9E">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收取補償之多寡。</w:t>
            </w:r>
            <w:r w:rsidR="00ED7DE5" w:rsidRPr="00ED7DE5">
              <w:rPr>
                <w:rFonts w:ascii="標楷體" w:eastAsia="標楷體" w:hAnsi="標楷體" w:cs="新細明體" w:hint="eastAsia"/>
                <w:kern w:val="0"/>
                <w:sz w:val="30"/>
                <w:szCs w:val="30"/>
              </w:rPr>
              <w:t>若合約現金流量係與某一非屬基本放款風險及成本之變數（例如，權益工具之價值或商品價格）連結，或若合約現金流量代表債務人之收入或利潤之份額，則該合約現金流量與基本放款協議不一致</w:t>
            </w:r>
            <w:r w:rsidR="00B26F9E">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t>2.</w:t>
            </w:r>
            <w:r w:rsidR="00D42A1E" w:rsidRPr="00D42A1E">
              <w:rPr>
                <w:rFonts w:ascii="標楷體" w:eastAsia="標楷體" w:hAnsi="標楷體" w:cs="新細明體" w:hint="eastAsia"/>
                <w:kern w:val="0"/>
                <w:sz w:val="30"/>
                <w:szCs w:val="30"/>
              </w:rPr>
              <w:t>若金融資產包含一項可改變合約現金流量時點或金額之合約條款，個體須判定因該合約條款而於工具存續期間所產生之合約現金流量，是否完全為支付本金及流通在外本金金額之利息。為作此判定</w:t>
            </w:r>
            <w:r w:rsidRPr="00867787">
              <w:rPr>
                <w:rFonts w:ascii="標楷體" w:eastAsia="標楷體" w:hAnsi="標楷體" w:cs="新細明體" w:hint="eastAsia"/>
                <w:kern w:val="0"/>
                <w:sz w:val="30"/>
                <w:szCs w:val="30"/>
              </w:rPr>
              <w:t>，無論合約現金流量發生變動之機率為何，</w:t>
            </w:r>
            <w:r w:rsidR="00D42A1E">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須評估於合約現金流量改變前及改變後所產生之合約現金流量。</w:t>
            </w:r>
            <w:r w:rsidR="00DC46FC">
              <w:rPr>
                <w:rFonts w:ascii="標楷體" w:eastAsia="標楷體" w:hAnsi="標楷體" w:cs="新細明體" w:hint="eastAsia"/>
                <w:kern w:val="0"/>
                <w:sz w:val="30"/>
                <w:szCs w:val="30"/>
              </w:rPr>
              <w:t>個體</w:t>
            </w:r>
            <w:proofErr w:type="gramStart"/>
            <w:r w:rsidR="00D42A1E">
              <w:rPr>
                <w:rFonts w:ascii="標楷體" w:eastAsia="標楷體" w:hAnsi="標楷體" w:cs="新細明體" w:hint="eastAsia"/>
                <w:kern w:val="0"/>
                <w:sz w:val="30"/>
                <w:szCs w:val="30"/>
              </w:rPr>
              <w:t>亦</w:t>
            </w:r>
            <w:r w:rsidRPr="00867787">
              <w:rPr>
                <w:rFonts w:ascii="標楷體" w:eastAsia="標楷體" w:hAnsi="標楷體" w:cs="新細明體" w:hint="eastAsia"/>
                <w:kern w:val="0"/>
                <w:sz w:val="30"/>
                <w:szCs w:val="30"/>
              </w:rPr>
              <w:t>可能需評估</w:t>
            </w:r>
            <w:proofErr w:type="gramEnd"/>
            <w:r w:rsidRPr="00867787">
              <w:rPr>
                <w:rFonts w:ascii="標楷體" w:eastAsia="標楷體" w:hAnsi="標楷體" w:cs="新細明體" w:hint="eastAsia"/>
                <w:kern w:val="0"/>
                <w:sz w:val="30"/>
                <w:szCs w:val="30"/>
              </w:rPr>
              <w:t>任何會改變合約現金流量時點或金額之或有事項(即啟動事項)之性質。</w:t>
            </w:r>
          </w:p>
          <w:p w14:paraId="254702EB" w14:textId="544FF71C" w:rsidR="00A7760F" w:rsidRDefault="000A375A">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t>3.</w:t>
            </w:r>
            <w:r w:rsidR="00EB0EB1" w:rsidRPr="00EB0EB1">
              <w:rPr>
                <w:rFonts w:ascii="標楷體" w:eastAsia="標楷體" w:hAnsi="標楷體" w:cs="新細明體" w:hint="eastAsia"/>
                <w:bCs/>
                <w:kern w:val="0"/>
                <w:sz w:val="30"/>
                <w:szCs w:val="30"/>
              </w:rPr>
              <w:t>於某些情況下，或有特性產生於合約現金流量改變前及改變</w:t>
            </w:r>
            <w:proofErr w:type="gramStart"/>
            <w:r w:rsidR="00EB0EB1" w:rsidRPr="00EB0EB1">
              <w:rPr>
                <w:rFonts w:ascii="標楷體" w:eastAsia="標楷體" w:hAnsi="標楷體" w:cs="新細明體" w:hint="eastAsia"/>
                <w:bCs/>
                <w:kern w:val="0"/>
                <w:sz w:val="30"/>
                <w:szCs w:val="30"/>
              </w:rPr>
              <w:t>後均與基本</w:t>
            </w:r>
            <w:proofErr w:type="gramEnd"/>
            <w:r w:rsidR="00EB0EB1" w:rsidRPr="00EB0EB1">
              <w:rPr>
                <w:rFonts w:ascii="標楷體" w:eastAsia="標楷體" w:hAnsi="標楷體" w:cs="新細明體" w:hint="eastAsia"/>
                <w:bCs/>
                <w:kern w:val="0"/>
                <w:sz w:val="30"/>
                <w:szCs w:val="30"/>
              </w:rPr>
              <w:t>放款協議一致之合約現金流量，但或有事項本身之性質與基本放款風險及成本之變動並非直接相關。例如，若債務人達到</w:t>
            </w:r>
            <w:proofErr w:type="gramStart"/>
            <w:r w:rsidR="00EB0EB1" w:rsidRPr="00EB0EB1">
              <w:rPr>
                <w:rFonts w:ascii="標楷體" w:eastAsia="標楷體" w:hAnsi="標楷體" w:cs="新細明體" w:hint="eastAsia"/>
                <w:bCs/>
                <w:kern w:val="0"/>
                <w:sz w:val="30"/>
                <w:szCs w:val="30"/>
              </w:rPr>
              <w:t>一</w:t>
            </w:r>
            <w:proofErr w:type="gramEnd"/>
            <w:r w:rsidR="00EB0EB1" w:rsidRPr="00EB0EB1">
              <w:rPr>
                <w:rFonts w:ascii="標楷體" w:eastAsia="標楷體" w:hAnsi="標楷體" w:cs="新細明體" w:hint="eastAsia"/>
                <w:bCs/>
                <w:kern w:val="0"/>
                <w:sz w:val="30"/>
                <w:szCs w:val="30"/>
              </w:rPr>
              <w:t>貸款合約所明</w:t>
            </w:r>
            <w:proofErr w:type="gramStart"/>
            <w:r w:rsidR="00EB0EB1" w:rsidRPr="00EB0EB1">
              <w:rPr>
                <w:rFonts w:ascii="標楷體" w:eastAsia="標楷體" w:hAnsi="標楷體" w:cs="新細明體" w:hint="eastAsia"/>
                <w:bCs/>
                <w:kern w:val="0"/>
                <w:sz w:val="30"/>
                <w:szCs w:val="30"/>
              </w:rPr>
              <w:t>訂</w:t>
            </w:r>
            <w:r w:rsidR="00EB0EB1" w:rsidRPr="00EB0EB1">
              <w:rPr>
                <w:rFonts w:ascii="標楷體" w:eastAsia="標楷體" w:hAnsi="標楷體" w:cs="新細明體" w:hint="eastAsia"/>
                <w:bCs/>
                <w:kern w:val="0"/>
                <w:sz w:val="30"/>
                <w:szCs w:val="30"/>
              </w:rPr>
              <w:lastRenderedPageBreak/>
              <w:t>之碳排放</w:t>
            </w:r>
            <w:proofErr w:type="gramEnd"/>
            <w:r w:rsidR="00EB0EB1" w:rsidRPr="00EB0EB1">
              <w:rPr>
                <w:rFonts w:ascii="標楷體" w:eastAsia="標楷體" w:hAnsi="標楷體" w:cs="新細明體" w:hint="eastAsia"/>
                <w:bCs/>
                <w:kern w:val="0"/>
                <w:sz w:val="30"/>
                <w:szCs w:val="30"/>
              </w:rPr>
              <w:t>減量，則該貸款之利率將按</w:t>
            </w:r>
            <w:proofErr w:type="gramStart"/>
            <w:r w:rsidR="00EB0EB1" w:rsidRPr="00EB0EB1">
              <w:rPr>
                <w:rFonts w:ascii="標楷體" w:eastAsia="標楷體" w:hAnsi="標楷體" w:cs="新細明體" w:hint="eastAsia"/>
                <w:bCs/>
                <w:kern w:val="0"/>
                <w:sz w:val="30"/>
                <w:szCs w:val="30"/>
              </w:rPr>
              <w:t>一</w:t>
            </w:r>
            <w:proofErr w:type="gramEnd"/>
            <w:r w:rsidR="00EB0EB1" w:rsidRPr="00EB0EB1">
              <w:rPr>
                <w:rFonts w:ascii="標楷體" w:eastAsia="標楷體" w:hAnsi="標楷體" w:cs="新細明體" w:hint="eastAsia"/>
                <w:bCs/>
                <w:kern w:val="0"/>
                <w:sz w:val="30"/>
                <w:szCs w:val="30"/>
              </w:rPr>
              <w:t>特定數額調整。於此情況下，適用</w:t>
            </w:r>
            <w:r w:rsidR="00EB0EB1">
              <w:rPr>
                <w:rFonts w:ascii="標楷體" w:eastAsia="標楷體" w:hAnsi="標楷體" w:cs="新細明體" w:hint="eastAsia"/>
                <w:bCs/>
                <w:kern w:val="0"/>
                <w:sz w:val="30"/>
                <w:szCs w:val="30"/>
              </w:rPr>
              <w:t>前述2.</w:t>
            </w:r>
            <w:r w:rsidR="00EB0EB1" w:rsidRPr="00EB0EB1">
              <w:rPr>
                <w:rFonts w:ascii="標楷體" w:eastAsia="標楷體" w:hAnsi="標楷體" w:cs="新細明體" w:hint="eastAsia"/>
                <w:bCs/>
                <w:kern w:val="0"/>
                <w:sz w:val="30"/>
                <w:szCs w:val="30"/>
              </w:rPr>
              <w:t>之規定時</w:t>
            </w:r>
            <w:r w:rsidR="00ED08C9" w:rsidRPr="002B1B86">
              <w:rPr>
                <w:rFonts w:ascii="標楷體" w:eastAsia="標楷體" w:hAnsi="標楷體" w:cs="新細明體" w:hint="eastAsia"/>
                <w:bCs/>
                <w:kern w:val="0"/>
                <w:sz w:val="30"/>
                <w:szCs w:val="30"/>
              </w:rPr>
              <w:t>，</w:t>
            </w:r>
            <w:proofErr w:type="gramStart"/>
            <w:r w:rsidR="00ED08C9" w:rsidRPr="002B1B86">
              <w:rPr>
                <w:rFonts w:ascii="標楷體" w:eastAsia="標楷體" w:hAnsi="標楷體" w:cs="新細明體" w:hint="eastAsia"/>
                <w:bCs/>
                <w:kern w:val="0"/>
                <w:sz w:val="30"/>
                <w:szCs w:val="30"/>
              </w:rPr>
              <w:t>於且僅</w:t>
            </w:r>
            <w:proofErr w:type="gramEnd"/>
            <w:r w:rsidR="00ED08C9" w:rsidRPr="002B1B86">
              <w:rPr>
                <w:rFonts w:ascii="標楷體" w:eastAsia="標楷體" w:hAnsi="標楷體" w:cs="新細明體" w:hint="eastAsia"/>
                <w:bCs/>
                <w:kern w:val="0"/>
                <w:sz w:val="30"/>
                <w:szCs w:val="30"/>
              </w:rPr>
              <w:t>於在合約所有可能情境下，合約現金流量與具相同合約條款但不具此或有特性之金融工具之合約現金</w:t>
            </w:r>
            <w:proofErr w:type="gramStart"/>
            <w:r w:rsidR="00ED08C9" w:rsidRPr="002B1B86">
              <w:rPr>
                <w:rFonts w:ascii="標楷體" w:eastAsia="標楷體" w:hAnsi="標楷體" w:cs="新細明體" w:hint="eastAsia"/>
                <w:bCs/>
                <w:kern w:val="0"/>
                <w:sz w:val="30"/>
                <w:szCs w:val="30"/>
              </w:rPr>
              <w:t>流量間無重大</w:t>
            </w:r>
            <w:proofErr w:type="gramEnd"/>
            <w:r w:rsidR="00ED08C9" w:rsidRPr="002B1B86">
              <w:rPr>
                <w:rFonts w:ascii="標楷體" w:eastAsia="標楷體" w:hAnsi="標楷體" w:cs="新細明體" w:hint="eastAsia"/>
                <w:bCs/>
                <w:kern w:val="0"/>
                <w:sz w:val="30"/>
                <w:szCs w:val="30"/>
              </w:rPr>
              <w:t>差異，該金融資產之合約現金流量始完全為支付本金及流通在外本金金額之利息。</w:t>
            </w:r>
            <w:r w:rsidR="00867787" w:rsidRPr="00867787">
              <w:rPr>
                <w:rFonts w:ascii="標楷體" w:eastAsia="標楷體" w:hAnsi="標楷體" w:cs="新細明體" w:hint="eastAsia"/>
                <w:b/>
                <w:bCs/>
                <w:kern w:val="0"/>
                <w:sz w:val="30"/>
                <w:szCs w:val="30"/>
              </w:rPr>
              <w:br/>
            </w:r>
            <w:r w:rsidR="00867787" w:rsidRPr="00867787">
              <w:rPr>
                <w:rFonts w:ascii="標楷體" w:eastAsia="標楷體" w:hAnsi="標楷體" w:cs="新細明體" w:hint="eastAsia"/>
                <w:kern w:val="0"/>
                <w:sz w:val="30"/>
                <w:szCs w:val="30"/>
              </w:rPr>
              <w:br/>
              <w:t>114年版：</w:t>
            </w:r>
            <w:r w:rsidR="00867787" w:rsidRPr="00867787">
              <w:rPr>
                <w:rFonts w:ascii="標楷體" w:eastAsia="標楷體" w:hAnsi="標楷體" w:cs="新細明體" w:hint="eastAsia"/>
                <w:kern w:val="0"/>
                <w:sz w:val="30"/>
                <w:szCs w:val="30"/>
              </w:rPr>
              <w:br/>
            </w:r>
            <w:r w:rsidR="00B26F9E" w:rsidRPr="00D42A1E">
              <w:rPr>
                <w:rFonts w:ascii="標楷體" w:eastAsia="標楷體" w:hAnsi="標楷體" w:cs="新細明體" w:hint="eastAsia"/>
                <w:kern w:val="0"/>
                <w:sz w:val="30"/>
                <w:szCs w:val="30"/>
              </w:rPr>
              <w:t>若金融資產包含一項可改變合約現金流量時點或金額之合約條款，</w:t>
            </w:r>
            <w:r w:rsidR="00867787" w:rsidRPr="00867787">
              <w:rPr>
                <w:rFonts w:ascii="標楷體" w:eastAsia="標楷體" w:hAnsi="標楷體" w:cs="新細明體" w:hint="eastAsia"/>
                <w:kern w:val="0"/>
                <w:sz w:val="30"/>
                <w:szCs w:val="30"/>
              </w:rPr>
              <w:t>企業</w:t>
            </w:r>
            <w:r w:rsidR="00B26F9E" w:rsidRPr="00B26F9E">
              <w:rPr>
                <w:rFonts w:ascii="標楷體" w:eastAsia="標楷體" w:hAnsi="標楷體" w:cs="新細明體" w:hint="eastAsia"/>
                <w:kern w:val="0"/>
                <w:sz w:val="30"/>
                <w:szCs w:val="30"/>
              </w:rPr>
              <w:t>須判定因該合約條款而於工具存續期間所產生之合約現金流量，是否完全為支付本金及流通在外本金金額之利息。為作此判定</w:t>
            </w:r>
            <w:r w:rsidR="00867787" w:rsidRPr="00867787">
              <w:rPr>
                <w:rFonts w:ascii="標楷體" w:eastAsia="標楷體" w:hAnsi="標楷體" w:cs="新細明體" w:hint="eastAsia"/>
                <w:kern w:val="0"/>
                <w:sz w:val="30"/>
                <w:szCs w:val="30"/>
              </w:rPr>
              <w:t>，企業須評估於合約現金流量改變前及改變後所產生之合約現金流量。企業</w:t>
            </w:r>
            <w:proofErr w:type="gramStart"/>
            <w:r w:rsidR="00DA2CE7">
              <w:rPr>
                <w:rFonts w:ascii="標楷體" w:eastAsia="標楷體" w:hAnsi="標楷體" w:cs="新細明體" w:hint="eastAsia"/>
                <w:kern w:val="0"/>
                <w:sz w:val="30"/>
                <w:szCs w:val="30"/>
              </w:rPr>
              <w:t>亦</w:t>
            </w:r>
            <w:r w:rsidR="00867787" w:rsidRPr="00867787">
              <w:rPr>
                <w:rFonts w:ascii="標楷體" w:eastAsia="標楷體" w:hAnsi="標楷體" w:cs="新細明體" w:hint="eastAsia"/>
                <w:kern w:val="0"/>
                <w:sz w:val="30"/>
                <w:szCs w:val="30"/>
              </w:rPr>
              <w:t>可能需評估</w:t>
            </w:r>
            <w:proofErr w:type="gramEnd"/>
            <w:r w:rsidR="00867787" w:rsidRPr="00867787">
              <w:rPr>
                <w:rFonts w:ascii="標楷體" w:eastAsia="標楷體" w:hAnsi="標楷體" w:cs="新細明體" w:hint="eastAsia"/>
                <w:kern w:val="0"/>
                <w:sz w:val="30"/>
                <w:szCs w:val="30"/>
              </w:rPr>
              <w:t>任何會改變合約現金流量時點或金額之或有事項</w:t>
            </w:r>
            <w:r w:rsidR="00DA2CE7">
              <w:rPr>
                <w:rFonts w:ascii="標楷體" w:eastAsia="標楷體" w:hAnsi="標楷體" w:cs="新細明體" w:hint="eastAsia"/>
                <w:kern w:val="0"/>
                <w:sz w:val="30"/>
                <w:szCs w:val="30"/>
              </w:rPr>
              <w:t>（</w:t>
            </w:r>
            <w:r w:rsidR="00867787" w:rsidRPr="00867787">
              <w:rPr>
                <w:rFonts w:ascii="標楷體" w:eastAsia="標楷體" w:hAnsi="標楷體" w:cs="新細明體" w:hint="eastAsia"/>
                <w:kern w:val="0"/>
                <w:sz w:val="30"/>
                <w:szCs w:val="30"/>
              </w:rPr>
              <w:t>即啟動事項</w:t>
            </w:r>
            <w:r w:rsidR="00DA2CE7">
              <w:rPr>
                <w:rFonts w:ascii="標楷體" w:eastAsia="標楷體" w:hAnsi="標楷體" w:cs="新細明體" w:hint="eastAsia"/>
                <w:kern w:val="0"/>
                <w:sz w:val="30"/>
                <w:szCs w:val="30"/>
              </w:rPr>
              <w:t>）</w:t>
            </w:r>
            <w:r w:rsidR="00867787" w:rsidRPr="00867787">
              <w:rPr>
                <w:rFonts w:ascii="標楷體" w:eastAsia="標楷體" w:hAnsi="標楷體" w:cs="新細明體" w:hint="eastAsia"/>
                <w:kern w:val="0"/>
                <w:sz w:val="30"/>
                <w:szCs w:val="30"/>
              </w:rPr>
              <w:t>之性質。</w:t>
            </w:r>
          </w:p>
        </w:tc>
      </w:tr>
      <w:tr w:rsidR="00862086" w:rsidRPr="00867787" w14:paraId="65EEF206" w14:textId="77777777" w:rsidTr="003C2163">
        <w:trPr>
          <w:trHeight w:val="529"/>
        </w:trPr>
        <w:tc>
          <w:tcPr>
            <w:tcW w:w="940" w:type="dxa"/>
            <w:tcBorders>
              <w:top w:val="nil"/>
              <w:left w:val="single" w:sz="4" w:space="0" w:color="auto"/>
              <w:bottom w:val="single" w:sz="4" w:space="0" w:color="auto"/>
              <w:right w:val="single" w:sz="4" w:space="0" w:color="auto"/>
            </w:tcBorders>
            <w:hideMark/>
          </w:tcPr>
          <w:p w14:paraId="4C29555A" w14:textId="77777777" w:rsidR="00862086" w:rsidRPr="00577F4F" w:rsidRDefault="005C1E8F" w:rsidP="00867787">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lastRenderedPageBreak/>
              <w:t>2</w:t>
            </w:r>
          </w:p>
        </w:tc>
        <w:tc>
          <w:tcPr>
            <w:tcW w:w="1820" w:type="dxa"/>
            <w:tcBorders>
              <w:top w:val="nil"/>
              <w:left w:val="nil"/>
              <w:bottom w:val="single" w:sz="4" w:space="0" w:color="auto"/>
              <w:right w:val="single" w:sz="4" w:space="0" w:color="auto"/>
            </w:tcBorders>
            <w:hideMark/>
          </w:tcPr>
          <w:p w14:paraId="68BC3150" w14:textId="77777777" w:rsidR="00862086" w:rsidRPr="002B1B86" w:rsidRDefault="00ED08C9" w:rsidP="00867787">
            <w:pPr>
              <w:widowControl/>
              <w:rPr>
                <w:rFonts w:ascii="標楷體" w:eastAsia="標楷體" w:hAnsi="標楷體" w:cs="新細明體"/>
                <w:kern w:val="0"/>
                <w:sz w:val="32"/>
                <w:szCs w:val="32"/>
                <w:highlight w:val="green"/>
              </w:rPr>
            </w:pPr>
            <w:r w:rsidRPr="009D5B7D">
              <w:rPr>
                <w:rFonts w:ascii="標楷體" w:eastAsia="標楷體" w:hAnsi="標楷體" w:cs="新細明體" w:hint="eastAsia"/>
                <w:kern w:val="0"/>
                <w:sz w:val="32"/>
                <w:szCs w:val="32"/>
              </w:rPr>
              <w:t>金融資產之合約現金流量特性之</w:t>
            </w:r>
            <w:proofErr w:type="gramStart"/>
            <w:r w:rsidRPr="009D5B7D">
              <w:rPr>
                <w:rFonts w:ascii="標楷體" w:eastAsia="標楷體" w:hAnsi="標楷體" w:cs="新細明體" w:hint="eastAsia"/>
                <w:kern w:val="0"/>
                <w:sz w:val="32"/>
                <w:szCs w:val="32"/>
              </w:rPr>
              <w:t>評估</w:t>
            </w:r>
            <w:r w:rsidR="00E479E9" w:rsidRPr="002B1B86">
              <w:rPr>
                <w:rFonts w:ascii="標楷體" w:eastAsia="標楷體" w:hAnsi="標楷體" w:cs="新細明體" w:hint="eastAsia"/>
                <w:kern w:val="0"/>
                <w:sz w:val="32"/>
                <w:szCs w:val="32"/>
              </w:rPr>
              <w:t>－</w:t>
            </w:r>
            <w:r w:rsidRPr="009D5B7D">
              <w:rPr>
                <w:rFonts w:ascii="標楷體" w:eastAsia="標楷體" w:hAnsi="標楷體" w:cs="新細明體" w:hint="eastAsia"/>
                <w:kern w:val="0"/>
                <w:sz w:val="32"/>
                <w:szCs w:val="32"/>
              </w:rPr>
              <w:t>無追</w:t>
            </w:r>
            <w:proofErr w:type="gramEnd"/>
            <w:r w:rsidRPr="009D5B7D">
              <w:rPr>
                <w:rFonts w:ascii="標楷體" w:eastAsia="標楷體" w:hAnsi="標楷體" w:cs="新細明體" w:hint="eastAsia"/>
                <w:kern w:val="0"/>
                <w:sz w:val="32"/>
                <w:szCs w:val="32"/>
              </w:rPr>
              <w:t>索</w:t>
            </w:r>
            <w:r w:rsidRPr="009D5B7D">
              <w:rPr>
                <w:rFonts w:ascii="標楷體" w:eastAsia="標楷體" w:hAnsi="標楷體" w:cs="新細明體" w:hint="eastAsia"/>
                <w:kern w:val="0"/>
                <w:sz w:val="32"/>
                <w:szCs w:val="32"/>
              </w:rPr>
              <w:lastRenderedPageBreak/>
              <w:t>權特性</w:t>
            </w:r>
          </w:p>
        </w:tc>
        <w:tc>
          <w:tcPr>
            <w:tcW w:w="2320" w:type="dxa"/>
            <w:tcBorders>
              <w:top w:val="nil"/>
              <w:left w:val="nil"/>
              <w:bottom w:val="single" w:sz="4" w:space="0" w:color="auto"/>
              <w:right w:val="single" w:sz="4" w:space="0" w:color="auto"/>
            </w:tcBorders>
            <w:hideMark/>
          </w:tcPr>
          <w:p w14:paraId="16BCBF2E" w14:textId="77777777" w:rsidR="00862086" w:rsidRPr="002B6705" w:rsidRDefault="00ED08C9" w:rsidP="00867787">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lastRenderedPageBreak/>
              <w:t>資產負債表</w:t>
            </w:r>
          </w:p>
        </w:tc>
        <w:tc>
          <w:tcPr>
            <w:tcW w:w="2380" w:type="dxa"/>
            <w:tcBorders>
              <w:top w:val="nil"/>
              <w:left w:val="nil"/>
              <w:bottom w:val="single" w:sz="4" w:space="0" w:color="auto"/>
              <w:right w:val="single" w:sz="4" w:space="0" w:color="auto"/>
            </w:tcBorders>
            <w:hideMark/>
          </w:tcPr>
          <w:p w14:paraId="61FEF783" w14:textId="77777777" w:rsidR="00862086" w:rsidRPr="002B6705" w:rsidRDefault="00ED08C9" w:rsidP="00867787">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t>透過損益按公允價值衡量之金融資產</w:t>
            </w:r>
            <w:r>
              <w:rPr>
                <w:rFonts w:ascii="標楷體" w:eastAsia="標楷體" w:hAnsi="標楷體" w:cs="新細明體"/>
                <w:kern w:val="0"/>
                <w:sz w:val="30"/>
                <w:szCs w:val="30"/>
              </w:rPr>
              <w:br/>
            </w:r>
            <w:r>
              <w:rPr>
                <w:rFonts w:ascii="標楷體" w:eastAsia="標楷體" w:hAnsi="標楷體" w:cs="新細明體" w:hint="eastAsia"/>
                <w:kern w:val="0"/>
                <w:sz w:val="30"/>
                <w:szCs w:val="30"/>
              </w:rPr>
              <w:t>透過其他綜合損</w:t>
            </w:r>
            <w:r>
              <w:rPr>
                <w:rFonts w:ascii="標楷體" w:eastAsia="標楷體" w:hAnsi="標楷體" w:cs="新細明體" w:hint="eastAsia"/>
                <w:kern w:val="0"/>
                <w:sz w:val="30"/>
                <w:szCs w:val="30"/>
              </w:rPr>
              <w:lastRenderedPageBreak/>
              <w:t>益按公允價值衡量之金融資產</w:t>
            </w:r>
            <w:r>
              <w:rPr>
                <w:rFonts w:ascii="標楷體" w:eastAsia="標楷體" w:hAnsi="標楷體" w:cs="新細明體"/>
                <w:kern w:val="0"/>
                <w:sz w:val="30"/>
                <w:szCs w:val="30"/>
              </w:rPr>
              <w:br/>
            </w:r>
            <w:proofErr w:type="gramStart"/>
            <w:r>
              <w:rPr>
                <w:rFonts w:ascii="標楷體" w:eastAsia="標楷體" w:hAnsi="標楷體" w:cs="新細明體" w:hint="eastAsia"/>
                <w:kern w:val="0"/>
                <w:sz w:val="30"/>
                <w:szCs w:val="30"/>
              </w:rPr>
              <w:t>按攤銷後</w:t>
            </w:r>
            <w:proofErr w:type="gramEnd"/>
            <w:r>
              <w:rPr>
                <w:rFonts w:ascii="標楷體" w:eastAsia="標楷體" w:hAnsi="標楷體" w:cs="新細明體" w:hint="eastAsia"/>
                <w:kern w:val="0"/>
                <w:sz w:val="30"/>
                <w:szCs w:val="30"/>
              </w:rPr>
              <w:t>成本衡量之金融資產</w:t>
            </w:r>
          </w:p>
        </w:tc>
        <w:tc>
          <w:tcPr>
            <w:tcW w:w="4180" w:type="dxa"/>
            <w:tcBorders>
              <w:top w:val="nil"/>
              <w:left w:val="nil"/>
              <w:bottom w:val="single" w:sz="4" w:space="0" w:color="auto"/>
              <w:right w:val="single" w:sz="4" w:space="0" w:color="auto"/>
            </w:tcBorders>
            <w:hideMark/>
          </w:tcPr>
          <w:p w14:paraId="0D6A5873" w14:textId="77777777" w:rsidR="00A7760F" w:rsidRDefault="00ED08C9">
            <w:pPr>
              <w:widowControl/>
              <w:rPr>
                <w:rFonts w:ascii="標楷體" w:eastAsia="標楷體" w:hAnsi="標楷體" w:cs="新細明體"/>
                <w:kern w:val="0"/>
                <w:sz w:val="30"/>
                <w:szCs w:val="30"/>
              </w:rPr>
            </w:pPr>
            <w:r>
              <w:rPr>
                <w:rFonts w:ascii="標楷體" w:eastAsia="標楷體" w:hAnsi="標楷體" w:cs="新細明體"/>
                <w:kern w:val="0"/>
                <w:sz w:val="30"/>
                <w:szCs w:val="30"/>
              </w:rPr>
              <w:lastRenderedPageBreak/>
              <w:t>115年版：</w:t>
            </w:r>
            <w:r>
              <w:rPr>
                <w:rFonts w:ascii="標楷體" w:eastAsia="標楷體" w:hAnsi="標楷體" w:cs="新細明體"/>
                <w:kern w:val="0"/>
                <w:sz w:val="30"/>
                <w:szCs w:val="30"/>
              </w:rPr>
              <w:br/>
            </w:r>
            <w:r>
              <w:rPr>
                <w:rFonts w:ascii="標楷體" w:eastAsia="標楷體" w:hAnsi="標楷體" w:cs="新細明體" w:hint="eastAsia"/>
                <w:kern w:val="0"/>
                <w:sz w:val="30"/>
                <w:szCs w:val="30"/>
              </w:rPr>
              <w:t>新增</w:t>
            </w:r>
            <w:r>
              <w:rPr>
                <w:rFonts w:ascii="標楷體" w:eastAsia="標楷體" w:hAnsi="標楷體" w:cs="新細明體"/>
                <w:kern w:val="0"/>
                <w:sz w:val="30"/>
                <w:szCs w:val="30"/>
              </w:rPr>
              <w:t>IFRS9第B4.1.16A</w:t>
            </w:r>
            <w:r>
              <w:rPr>
                <w:rFonts w:ascii="標楷體" w:eastAsia="標楷體" w:hAnsi="標楷體" w:cs="新細明體" w:hint="eastAsia"/>
                <w:kern w:val="0"/>
                <w:sz w:val="30"/>
                <w:szCs w:val="30"/>
              </w:rPr>
              <w:t>段</w:t>
            </w:r>
            <w:r w:rsidR="00F750D8">
              <w:rPr>
                <w:rFonts w:ascii="標楷體" w:eastAsia="標楷體" w:hAnsi="標楷體" w:cs="新細明體" w:hint="eastAsia"/>
                <w:kern w:val="0"/>
                <w:sz w:val="30"/>
                <w:szCs w:val="30"/>
              </w:rPr>
              <w:t>及修正</w:t>
            </w:r>
            <w:r w:rsidR="00E479E9" w:rsidRPr="002B6705">
              <w:rPr>
                <w:rFonts w:ascii="標楷體" w:eastAsia="標楷體" w:hAnsi="標楷體" w:cs="新細明體" w:hint="eastAsia"/>
                <w:kern w:val="0"/>
                <w:sz w:val="30"/>
                <w:szCs w:val="30"/>
              </w:rPr>
              <w:t>第</w:t>
            </w:r>
            <w:r w:rsidR="00E479E9" w:rsidRPr="002B6705">
              <w:rPr>
                <w:rFonts w:ascii="標楷體" w:eastAsia="標楷體" w:hAnsi="標楷體" w:cs="新細明體"/>
                <w:kern w:val="0"/>
                <w:sz w:val="30"/>
                <w:szCs w:val="30"/>
              </w:rPr>
              <w:t>B4.1.16</w:t>
            </w:r>
            <w:r w:rsidR="00E479E9">
              <w:rPr>
                <w:rFonts w:ascii="標楷體" w:eastAsia="標楷體" w:hAnsi="標楷體" w:cs="新細明體" w:hint="eastAsia"/>
                <w:kern w:val="0"/>
                <w:sz w:val="30"/>
                <w:szCs w:val="30"/>
              </w:rPr>
              <w:t>及</w:t>
            </w:r>
            <w:r w:rsidR="00F750D8">
              <w:rPr>
                <w:rFonts w:ascii="標楷體" w:eastAsia="標楷體" w:hAnsi="標楷體" w:cs="新細明體" w:hint="eastAsia"/>
                <w:kern w:val="0"/>
                <w:sz w:val="30"/>
                <w:szCs w:val="30"/>
              </w:rPr>
              <w:t>B4.1.17段</w:t>
            </w:r>
            <w:r>
              <w:rPr>
                <w:rFonts w:ascii="標楷體" w:eastAsia="標楷體" w:hAnsi="標楷體" w:cs="新細明體"/>
                <w:kern w:val="0"/>
                <w:sz w:val="30"/>
                <w:szCs w:val="30"/>
              </w:rPr>
              <w:br/>
              <w:t>114年版：</w:t>
            </w:r>
            <w:r w:rsidR="00F750D8" w:rsidRPr="002B6705">
              <w:rPr>
                <w:rFonts w:ascii="標楷體" w:eastAsia="標楷體" w:hAnsi="標楷體" w:cs="新細明體" w:hint="eastAsia"/>
                <w:kern w:val="0"/>
                <w:sz w:val="30"/>
                <w:szCs w:val="30"/>
              </w:rPr>
              <w:t>IFRS9第</w:t>
            </w:r>
            <w:r w:rsidR="00F750D8" w:rsidRPr="002B6705">
              <w:rPr>
                <w:rFonts w:ascii="標楷體" w:eastAsia="標楷體" w:hAnsi="標楷體" w:cs="新細明體"/>
                <w:kern w:val="0"/>
                <w:sz w:val="30"/>
                <w:szCs w:val="30"/>
              </w:rPr>
              <w:t>B4.1.16</w:t>
            </w:r>
            <w:r w:rsidR="00F750D8">
              <w:rPr>
                <w:rFonts w:ascii="標楷體" w:eastAsia="標楷體" w:hAnsi="標楷體" w:cs="新細明體" w:hint="eastAsia"/>
                <w:kern w:val="0"/>
                <w:sz w:val="30"/>
                <w:szCs w:val="30"/>
              </w:rPr>
              <w:t>至</w:t>
            </w:r>
            <w:r w:rsidR="00F750D8">
              <w:rPr>
                <w:rFonts w:ascii="標楷體" w:eastAsia="標楷體" w:hAnsi="標楷體" w:cs="新細明體" w:hint="eastAsia"/>
                <w:kern w:val="0"/>
                <w:sz w:val="30"/>
                <w:szCs w:val="30"/>
              </w:rPr>
              <w:lastRenderedPageBreak/>
              <w:t>B4.1.17</w:t>
            </w:r>
            <w:r w:rsidR="00F750D8" w:rsidRPr="002B6705">
              <w:rPr>
                <w:rFonts w:ascii="標楷體" w:eastAsia="標楷體" w:hAnsi="標楷體" w:cs="新細明體" w:hint="eastAsia"/>
                <w:kern w:val="0"/>
                <w:sz w:val="30"/>
                <w:szCs w:val="30"/>
              </w:rPr>
              <w:t>段</w:t>
            </w:r>
          </w:p>
        </w:tc>
        <w:tc>
          <w:tcPr>
            <w:tcW w:w="9496" w:type="dxa"/>
            <w:tcBorders>
              <w:top w:val="nil"/>
              <w:left w:val="nil"/>
              <w:bottom w:val="single" w:sz="4" w:space="0" w:color="auto"/>
              <w:right w:val="single" w:sz="4" w:space="0" w:color="auto"/>
            </w:tcBorders>
            <w:hideMark/>
          </w:tcPr>
          <w:p w14:paraId="43CFF0EB" w14:textId="77777777" w:rsidR="00A7760F" w:rsidRDefault="00ED08C9">
            <w:pPr>
              <w:widowControl/>
              <w:rPr>
                <w:rFonts w:ascii="標楷體" w:eastAsia="標楷體" w:hAnsi="標楷體" w:cs="新細明體"/>
                <w:color w:val="000000"/>
                <w:kern w:val="0"/>
                <w:sz w:val="30"/>
                <w:szCs w:val="30"/>
              </w:rPr>
            </w:pPr>
            <w:r>
              <w:rPr>
                <w:rFonts w:ascii="標楷體" w:eastAsia="標楷體" w:hAnsi="標楷體" w:cs="新細明體"/>
                <w:kern w:val="0"/>
                <w:sz w:val="30"/>
                <w:szCs w:val="30"/>
              </w:rPr>
              <w:lastRenderedPageBreak/>
              <w:t>115</w:t>
            </w:r>
            <w:r>
              <w:rPr>
                <w:rFonts w:ascii="標楷體" w:eastAsia="標楷體" w:hAnsi="標楷體" w:cs="新細明體" w:hint="eastAsia"/>
                <w:color w:val="000000"/>
                <w:kern w:val="0"/>
                <w:sz w:val="30"/>
                <w:szCs w:val="30"/>
              </w:rPr>
              <w:t>年版：</w:t>
            </w:r>
          </w:p>
          <w:p w14:paraId="1B5A499B" w14:textId="77777777" w:rsidR="00A7760F" w:rsidRDefault="00ED08C9">
            <w:pPr>
              <w:widowControl/>
              <w:rPr>
                <w:rFonts w:ascii="標楷體" w:eastAsia="標楷體" w:hAnsi="標楷體" w:cs="新細明體"/>
                <w:color w:val="000000"/>
                <w:kern w:val="0"/>
                <w:sz w:val="30"/>
                <w:szCs w:val="30"/>
              </w:rPr>
            </w:pPr>
            <w:r>
              <w:rPr>
                <w:rFonts w:ascii="標楷體" w:eastAsia="標楷體" w:hAnsi="標楷體" w:cs="新細明體"/>
                <w:color w:val="000000"/>
                <w:kern w:val="0"/>
                <w:sz w:val="30"/>
                <w:szCs w:val="30"/>
              </w:rPr>
              <w:t>1.</w:t>
            </w:r>
            <w:r>
              <w:rPr>
                <w:rFonts w:ascii="標楷體" w:eastAsia="標楷體" w:hAnsi="標楷體" w:cs="新細明體" w:hint="eastAsia"/>
                <w:color w:val="000000"/>
                <w:kern w:val="0"/>
                <w:sz w:val="30"/>
                <w:szCs w:val="30"/>
              </w:rPr>
              <w:t>若金融資產具有「無追索權」之特性，亦可能發生</w:t>
            </w:r>
            <w:r w:rsidR="00F750D8" w:rsidRPr="002B6705">
              <w:rPr>
                <w:rFonts w:ascii="標楷體" w:eastAsia="標楷體" w:hAnsi="標楷體" w:cs="新細明體" w:hint="eastAsia"/>
                <w:color w:val="000000"/>
                <w:kern w:val="0"/>
                <w:sz w:val="30"/>
                <w:szCs w:val="30"/>
              </w:rPr>
              <w:t>金融資產代表對特定資產或現金流量之投資，且因此該等合約現金流量並非完全為支付本金及流通在外本金金額之利息</w:t>
            </w:r>
            <w:r>
              <w:rPr>
                <w:rFonts w:ascii="標楷體" w:eastAsia="標楷體" w:hAnsi="標楷體" w:cs="新細明體" w:hint="eastAsia"/>
                <w:color w:val="000000"/>
                <w:kern w:val="0"/>
                <w:sz w:val="30"/>
                <w:szCs w:val="30"/>
              </w:rPr>
              <w:t>之情況。若個體收取現金流量之最終權利</w:t>
            </w:r>
            <w:r>
              <w:rPr>
                <w:rFonts w:ascii="標楷體" w:eastAsia="標楷體" w:hAnsi="標楷體" w:cs="新細明體" w:hint="eastAsia"/>
                <w:color w:val="000000"/>
                <w:kern w:val="0"/>
                <w:sz w:val="30"/>
                <w:szCs w:val="30"/>
              </w:rPr>
              <w:lastRenderedPageBreak/>
              <w:t>依合約係限於特定資產產生之現金流量，則該金融資產具有無追索權之特性。</w:t>
            </w:r>
            <w:r w:rsidR="00F750D8" w:rsidRPr="00F750D8">
              <w:rPr>
                <w:rFonts w:ascii="標楷體" w:eastAsia="標楷體" w:hAnsi="標楷體" w:cs="新細明體" w:hint="eastAsia"/>
                <w:color w:val="000000"/>
                <w:kern w:val="0"/>
                <w:sz w:val="30"/>
                <w:szCs w:val="30"/>
              </w:rPr>
              <w:t>換言之，個體主要係暴露於該等特定資產之績效風險，而非債務人之信用風險。例如，債權人收取現金流量之最終權利可能依合約係限於</w:t>
            </w:r>
            <w:proofErr w:type="gramStart"/>
            <w:r w:rsidR="00F750D8" w:rsidRPr="00F750D8">
              <w:rPr>
                <w:rFonts w:ascii="標楷體" w:eastAsia="標楷體" w:hAnsi="標楷體" w:cs="新細明體" w:hint="eastAsia"/>
                <w:color w:val="000000"/>
                <w:kern w:val="0"/>
                <w:sz w:val="30"/>
                <w:szCs w:val="30"/>
              </w:rPr>
              <w:t>一</w:t>
            </w:r>
            <w:proofErr w:type="gramEnd"/>
            <w:r w:rsidR="00F750D8" w:rsidRPr="00F750D8">
              <w:rPr>
                <w:rFonts w:ascii="標楷體" w:eastAsia="標楷體" w:hAnsi="標楷體" w:cs="新細明體" w:hint="eastAsia"/>
                <w:color w:val="000000"/>
                <w:kern w:val="0"/>
                <w:sz w:val="30"/>
                <w:szCs w:val="30"/>
              </w:rPr>
              <w:t>結構型個體之特定資產所產生之現金流量。</w:t>
            </w:r>
          </w:p>
          <w:p w14:paraId="71C677CD" w14:textId="77777777" w:rsidR="00A7760F" w:rsidRDefault="00ED08C9">
            <w:pPr>
              <w:widowControl/>
              <w:rPr>
                <w:rFonts w:ascii="標楷體" w:eastAsia="標楷體" w:hAnsi="標楷體" w:cs="新細明體"/>
                <w:kern w:val="0"/>
                <w:sz w:val="30"/>
                <w:szCs w:val="30"/>
              </w:rPr>
            </w:pPr>
            <w:r w:rsidRPr="002B1B86">
              <w:rPr>
                <w:rFonts w:ascii="標楷體" w:eastAsia="標楷體" w:hAnsi="標楷體" w:cs="新細明體"/>
                <w:color w:val="000000"/>
                <w:kern w:val="0"/>
                <w:sz w:val="30"/>
                <w:szCs w:val="30"/>
              </w:rPr>
              <w:t>2.</w:t>
            </w:r>
            <w:r>
              <w:rPr>
                <w:rFonts w:ascii="標楷體" w:eastAsia="標楷體" w:hAnsi="標楷體" w:cs="新細明體" w:hint="eastAsia"/>
                <w:color w:val="000000"/>
                <w:kern w:val="0"/>
                <w:sz w:val="30"/>
                <w:szCs w:val="30"/>
              </w:rPr>
              <w:t>金融資產並無追索權特性之事實本身，未必導致該金融資產無法符合</w:t>
            </w:r>
            <w:r w:rsidR="00F750D8" w:rsidRPr="002B6705">
              <w:rPr>
                <w:rFonts w:ascii="標楷體" w:eastAsia="標楷體" w:hAnsi="標楷體" w:cs="新細明體" w:hint="eastAsia"/>
                <w:color w:val="000000"/>
                <w:kern w:val="0"/>
                <w:sz w:val="30"/>
                <w:szCs w:val="30"/>
              </w:rPr>
              <w:t>合約現金流量</w:t>
            </w:r>
            <w:r>
              <w:rPr>
                <w:rFonts w:ascii="標楷體" w:eastAsia="標楷體" w:hAnsi="標楷體" w:cs="新細明體" w:hint="eastAsia"/>
                <w:color w:val="000000"/>
                <w:kern w:val="0"/>
                <w:sz w:val="30"/>
                <w:szCs w:val="30"/>
              </w:rPr>
              <w:t>完全為支付本金及流通在外本金金額之利息之條件。在此情況下，債權人須評估（「深入檢視」）特定之標的資產或現金流量與所分類金融資產之合約現金流量間之連結，以判定該等合約現金流量是否為支付本金及流通在外本金金額之利息。個體亦應考量此連結如何受其他合約協議影響，諸如債務人發行之次順位債務或權益工具。</w:t>
            </w:r>
            <w:r>
              <w:rPr>
                <w:rFonts w:ascii="標楷體" w:eastAsia="標楷體" w:hAnsi="標楷體" w:cs="新細明體"/>
                <w:color w:val="000000"/>
                <w:kern w:val="0"/>
                <w:sz w:val="30"/>
                <w:szCs w:val="30"/>
              </w:rPr>
              <w:br/>
            </w:r>
            <w:r>
              <w:rPr>
                <w:rFonts w:ascii="標楷體" w:eastAsia="標楷體" w:hAnsi="標楷體" w:cs="新細明體"/>
                <w:color w:val="000000"/>
                <w:kern w:val="0"/>
                <w:sz w:val="30"/>
                <w:szCs w:val="30"/>
              </w:rPr>
              <w:br/>
              <w:t>114年版：</w:t>
            </w:r>
            <w:r w:rsidR="00F750D8" w:rsidRPr="00F750D8">
              <w:rPr>
                <w:rFonts w:ascii="標楷體" w:eastAsia="標楷體" w:hAnsi="標楷體" w:cs="新細明體" w:hint="eastAsia"/>
                <w:color w:val="000000"/>
                <w:kern w:val="0"/>
                <w:sz w:val="30"/>
                <w:szCs w:val="30"/>
              </w:rPr>
              <w:t>當債權人之請求權僅限於債務人之特定資產，或僅限於源自特定資產之現金流量時（例如「無追索權」之金融資產），可能屬</w:t>
            </w:r>
            <w:r w:rsidR="00F750D8" w:rsidRPr="002B6705">
              <w:rPr>
                <w:rFonts w:ascii="標楷體" w:eastAsia="標楷體" w:hAnsi="標楷體" w:cs="新細明體" w:hint="eastAsia"/>
                <w:color w:val="000000"/>
                <w:kern w:val="0"/>
                <w:sz w:val="30"/>
                <w:szCs w:val="30"/>
              </w:rPr>
              <w:t>合約現金流量並非完全為支付本金及流通在外本金金額之利息</w:t>
            </w:r>
            <w:r w:rsidR="00F750D8">
              <w:rPr>
                <w:rFonts w:ascii="標楷體" w:eastAsia="標楷體" w:hAnsi="標楷體" w:cs="新細明體" w:hint="eastAsia"/>
                <w:color w:val="000000"/>
                <w:kern w:val="0"/>
                <w:sz w:val="30"/>
                <w:szCs w:val="30"/>
              </w:rPr>
              <w:t>之</w:t>
            </w:r>
            <w:r w:rsidR="00F750D8" w:rsidRPr="00F750D8">
              <w:rPr>
                <w:rFonts w:ascii="標楷體" w:eastAsia="標楷體" w:hAnsi="標楷體" w:cs="新細明體" w:hint="eastAsia"/>
                <w:color w:val="000000"/>
                <w:kern w:val="0"/>
                <w:sz w:val="30"/>
                <w:szCs w:val="30"/>
              </w:rPr>
              <w:t>情況。</w:t>
            </w:r>
            <w:proofErr w:type="gramStart"/>
            <w:r w:rsidR="00F750D8">
              <w:rPr>
                <w:rFonts w:ascii="標楷體" w:eastAsia="標楷體" w:hAnsi="標楷體" w:cs="新細明體" w:hint="eastAsia"/>
                <w:color w:val="000000"/>
                <w:kern w:val="0"/>
                <w:sz w:val="30"/>
                <w:szCs w:val="30"/>
              </w:rPr>
              <w:t>惟</w:t>
            </w:r>
            <w:proofErr w:type="gramEnd"/>
            <w:r w:rsidR="00F750D8">
              <w:rPr>
                <w:rFonts w:ascii="標楷體" w:eastAsia="標楷體" w:hAnsi="標楷體" w:cs="新細明體" w:hint="eastAsia"/>
                <w:color w:val="000000"/>
                <w:kern w:val="0"/>
                <w:sz w:val="30"/>
                <w:szCs w:val="30"/>
              </w:rPr>
              <w:t>金融資產並無追索權</w:t>
            </w:r>
            <w:r w:rsidR="00F750D8" w:rsidRPr="00F750D8">
              <w:rPr>
                <w:rFonts w:ascii="標楷體" w:eastAsia="標楷體" w:hAnsi="標楷體" w:cs="新細明體" w:hint="eastAsia"/>
                <w:color w:val="000000"/>
                <w:kern w:val="0"/>
                <w:sz w:val="30"/>
                <w:szCs w:val="30"/>
              </w:rPr>
              <w:t>之事實本身，未必導致該金融資產無法符合</w:t>
            </w:r>
            <w:r w:rsidR="00E479E9" w:rsidRPr="002B6705">
              <w:rPr>
                <w:rFonts w:ascii="標楷體" w:eastAsia="標楷體" w:hAnsi="標楷體" w:cs="新細明體" w:hint="eastAsia"/>
                <w:color w:val="000000"/>
                <w:kern w:val="0"/>
                <w:sz w:val="30"/>
                <w:szCs w:val="30"/>
              </w:rPr>
              <w:t>合約現金流量完全為支付本金及流通在外本金金額之利息</w:t>
            </w:r>
            <w:r w:rsidR="00F750D8" w:rsidRPr="00F750D8">
              <w:rPr>
                <w:rFonts w:ascii="標楷體" w:eastAsia="標楷體" w:hAnsi="標楷體" w:cs="新細明體" w:hint="eastAsia"/>
                <w:color w:val="000000"/>
                <w:kern w:val="0"/>
                <w:sz w:val="30"/>
                <w:szCs w:val="30"/>
              </w:rPr>
              <w:t>之條件。在此情況下，債權人須評估（「深入檢視」）特定之標的資產或現金流量，以判定該等</w:t>
            </w:r>
            <w:r w:rsidR="00F750D8" w:rsidRPr="00F750D8">
              <w:rPr>
                <w:rFonts w:ascii="標楷體" w:eastAsia="標楷體" w:hAnsi="標楷體" w:cs="新細明體" w:hint="eastAsia"/>
                <w:color w:val="000000"/>
                <w:kern w:val="0"/>
                <w:sz w:val="30"/>
                <w:szCs w:val="30"/>
              </w:rPr>
              <w:lastRenderedPageBreak/>
              <w:t>合約現金流量是否為支付本金及流通在外本金金額之利息。</w:t>
            </w:r>
          </w:p>
        </w:tc>
      </w:tr>
      <w:tr w:rsidR="00075D3C" w:rsidRPr="00867787" w14:paraId="40B951FE" w14:textId="77777777" w:rsidTr="00E02C2F">
        <w:trPr>
          <w:trHeight w:val="1466"/>
        </w:trPr>
        <w:tc>
          <w:tcPr>
            <w:tcW w:w="940" w:type="dxa"/>
            <w:tcBorders>
              <w:top w:val="nil"/>
              <w:left w:val="single" w:sz="4" w:space="0" w:color="auto"/>
              <w:bottom w:val="single" w:sz="4" w:space="0" w:color="auto"/>
              <w:right w:val="single" w:sz="4" w:space="0" w:color="auto"/>
            </w:tcBorders>
            <w:hideMark/>
          </w:tcPr>
          <w:p w14:paraId="1AC7C871" w14:textId="77777777" w:rsidR="00075D3C" w:rsidRPr="00577F4F" w:rsidRDefault="005C1E8F" w:rsidP="00E02C2F">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lastRenderedPageBreak/>
              <w:t>3</w:t>
            </w:r>
          </w:p>
        </w:tc>
        <w:tc>
          <w:tcPr>
            <w:tcW w:w="1820" w:type="dxa"/>
            <w:tcBorders>
              <w:top w:val="nil"/>
              <w:left w:val="nil"/>
              <w:bottom w:val="single" w:sz="4" w:space="0" w:color="auto"/>
              <w:right w:val="single" w:sz="4" w:space="0" w:color="auto"/>
            </w:tcBorders>
            <w:hideMark/>
          </w:tcPr>
          <w:p w14:paraId="7D615EFB" w14:textId="77777777" w:rsidR="00A7760F" w:rsidRDefault="00075D3C">
            <w:pPr>
              <w:widowControl/>
              <w:rPr>
                <w:rFonts w:ascii="標楷體" w:eastAsia="標楷體" w:hAnsi="標楷體" w:cs="新細明體"/>
                <w:kern w:val="0"/>
                <w:sz w:val="32"/>
                <w:szCs w:val="32"/>
                <w:highlight w:val="green"/>
              </w:rPr>
            </w:pPr>
            <w:r w:rsidRPr="002B1B86">
              <w:rPr>
                <w:rFonts w:ascii="標楷體" w:eastAsia="標楷體" w:hAnsi="標楷體" w:cs="新細明體" w:hint="eastAsia"/>
                <w:kern w:val="0"/>
                <w:sz w:val="32"/>
                <w:szCs w:val="32"/>
              </w:rPr>
              <w:t>金融資產之合約現金流量特性之評估－</w:t>
            </w:r>
            <w:r w:rsidR="00ED08C9" w:rsidRPr="009D5B7D">
              <w:rPr>
                <w:rFonts w:ascii="標楷體" w:eastAsia="標楷體" w:hAnsi="標楷體" w:cs="新細明體" w:hint="eastAsia"/>
                <w:kern w:val="0"/>
                <w:sz w:val="32"/>
                <w:szCs w:val="32"/>
              </w:rPr>
              <w:t>合約連結工具</w:t>
            </w:r>
          </w:p>
        </w:tc>
        <w:tc>
          <w:tcPr>
            <w:tcW w:w="2320" w:type="dxa"/>
            <w:tcBorders>
              <w:top w:val="nil"/>
              <w:left w:val="nil"/>
              <w:bottom w:val="single" w:sz="4" w:space="0" w:color="auto"/>
              <w:right w:val="single" w:sz="4" w:space="0" w:color="auto"/>
            </w:tcBorders>
            <w:hideMark/>
          </w:tcPr>
          <w:p w14:paraId="1B85AB69" w14:textId="77777777" w:rsidR="00075D3C" w:rsidRPr="002B6705" w:rsidRDefault="00075D3C" w:rsidP="00E02C2F">
            <w:pPr>
              <w:widowControl/>
              <w:rPr>
                <w:rFonts w:ascii="標楷體" w:eastAsia="標楷體" w:hAnsi="標楷體" w:cs="新細明體"/>
                <w:kern w:val="0"/>
                <w:sz w:val="30"/>
                <w:szCs w:val="30"/>
              </w:rPr>
            </w:pPr>
            <w:r w:rsidRPr="002B6705">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720DA818" w14:textId="77777777" w:rsidR="00075D3C" w:rsidRPr="002B6705" w:rsidRDefault="00075D3C" w:rsidP="00E02C2F">
            <w:pPr>
              <w:widowControl/>
              <w:rPr>
                <w:rFonts w:ascii="標楷體" w:eastAsia="標楷體" w:hAnsi="標楷體" w:cs="新細明體"/>
                <w:kern w:val="0"/>
                <w:sz w:val="30"/>
                <w:szCs w:val="30"/>
              </w:rPr>
            </w:pPr>
            <w:r w:rsidRPr="002B6705">
              <w:rPr>
                <w:rFonts w:ascii="標楷體" w:eastAsia="標楷體" w:hAnsi="標楷體" w:cs="新細明體" w:hint="eastAsia"/>
                <w:kern w:val="0"/>
                <w:sz w:val="30"/>
                <w:szCs w:val="30"/>
              </w:rPr>
              <w:t>透過損益按公允價值衡量之金融資產</w:t>
            </w:r>
            <w:r w:rsidRPr="002B6705">
              <w:rPr>
                <w:rFonts w:ascii="標楷體" w:eastAsia="標楷體" w:hAnsi="標楷體" w:cs="新細明體" w:hint="eastAsia"/>
                <w:kern w:val="0"/>
                <w:sz w:val="30"/>
                <w:szCs w:val="30"/>
              </w:rPr>
              <w:br/>
              <w:t>透過其他綜合損益按公允價值衡量之金融資產</w:t>
            </w:r>
            <w:r w:rsidRPr="002B6705">
              <w:rPr>
                <w:rFonts w:ascii="標楷體" w:eastAsia="標楷體" w:hAnsi="標楷體" w:cs="新細明體" w:hint="eastAsia"/>
                <w:kern w:val="0"/>
                <w:sz w:val="30"/>
                <w:szCs w:val="30"/>
              </w:rPr>
              <w:br/>
            </w:r>
            <w:proofErr w:type="gramStart"/>
            <w:r w:rsidRPr="002B6705">
              <w:rPr>
                <w:rFonts w:ascii="標楷體" w:eastAsia="標楷體" w:hAnsi="標楷體" w:cs="新細明體" w:hint="eastAsia"/>
                <w:kern w:val="0"/>
                <w:sz w:val="30"/>
                <w:szCs w:val="30"/>
              </w:rPr>
              <w:t>按攤銷後</w:t>
            </w:r>
            <w:proofErr w:type="gramEnd"/>
            <w:r w:rsidRPr="002B6705">
              <w:rPr>
                <w:rFonts w:ascii="標楷體" w:eastAsia="標楷體" w:hAnsi="標楷體" w:cs="新細明體" w:hint="eastAsia"/>
                <w:kern w:val="0"/>
                <w:sz w:val="30"/>
                <w:szCs w:val="30"/>
              </w:rPr>
              <w:t>成本衡量之金融資產</w:t>
            </w:r>
          </w:p>
        </w:tc>
        <w:tc>
          <w:tcPr>
            <w:tcW w:w="4180" w:type="dxa"/>
            <w:tcBorders>
              <w:top w:val="nil"/>
              <w:left w:val="nil"/>
              <w:bottom w:val="single" w:sz="4" w:space="0" w:color="auto"/>
              <w:right w:val="single" w:sz="4" w:space="0" w:color="auto"/>
            </w:tcBorders>
            <w:hideMark/>
          </w:tcPr>
          <w:p w14:paraId="10F68F77" w14:textId="77777777" w:rsidR="00A7760F" w:rsidRDefault="00075D3C">
            <w:pPr>
              <w:widowControl/>
              <w:rPr>
                <w:rFonts w:ascii="標楷體" w:eastAsia="標楷體" w:hAnsi="標楷體" w:cs="新細明體"/>
                <w:kern w:val="0"/>
                <w:sz w:val="30"/>
                <w:szCs w:val="30"/>
              </w:rPr>
            </w:pPr>
            <w:r w:rsidRPr="002B6705">
              <w:rPr>
                <w:rFonts w:ascii="標楷體" w:eastAsia="標楷體" w:hAnsi="標楷體" w:cs="新細明體" w:hint="eastAsia"/>
                <w:kern w:val="0"/>
                <w:sz w:val="30"/>
                <w:szCs w:val="30"/>
              </w:rPr>
              <w:t>115年版：</w:t>
            </w:r>
            <w:r w:rsidRPr="002B6705">
              <w:rPr>
                <w:rFonts w:ascii="標楷體" w:eastAsia="標楷體" w:hAnsi="標楷體" w:cs="新細明體" w:hint="eastAsia"/>
                <w:kern w:val="0"/>
                <w:sz w:val="30"/>
                <w:szCs w:val="30"/>
              </w:rPr>
              <w:br/>
              <w:t>新增IFRS9第</w:t>
            </w:r>
            <w:r w:rsidRPr="002B6705">
              <w:rPr>
                <w:rFonts w:ascii="標楷體" w:eastAsia="標楷體" w:hAnsi="標楷體" w:cs="新細明體"/>
                <w:kern w:val="0"/>
                <w:sz w:val="30"/>
                <w:szCs w:val="30"/>
              </w:rPr>
              <w:t>B4.1.</w:t>
            </w:r>
            <w:r>
              <w:rPr>
                <w:rFonts w:ascii="標楷體" w:eastAsia="標楷體" w:hAnsi="標楷體" w:cs="新細明體" w:hint="eastAsia"/>
                <w:kern w:val="0"/>
                <w:sz w:val="30"/>
                <w:szCs w:val="30"/>
              </w:rPr>
              <w:t>20</w:t>
            </w:r>
            <w:r w:rsidRPr="002B6705">
              <w:rPr>
                <w:rFonts w:ascii="標楷體" w:eastAsia="標楷體" w:hAnsi="標楷體" w:cs="新細明體"/>
                <w:kern w:val="0"/>
                <w:sz w:val="30"/>
                <w:szCs w:val="30"/>
              </w:rPr>
              <w:t>A</w:t>
            </w:r>
            <w:r w:rsidRPr="002B6705">
              <w:rPr>
                <w:rFonts w:ascii="標楷體" w:eastAsia="標楷體" w:hAnsi="標楷體" w:cs="新細明體" w:hint="eastAsia"/>
                <w:kern w:val="0"/>
                <w:sz w:val="30"/>
                <w:szCs w:val="30"/>
              </w:rPr>
              <w:t>段</w:t>
            </w:r>
            <w:r>
              <w:rPr>
                <w:rFonts w:ascii="標楷體" w:eastAsia="標楷體" w:hAnsi="標楷體" w:cs="新細明體" w:hint="eastAsia"/>
                <w:kern w:val="0"/>
                <w:sz w:val="30"/>
                <w:szCs w:val="30"/>
              </w:rPr>
              <w:t>及修正</w:t>
            </w:r>
            <w:r w:rsidRPr="002B6705">
              <w:rPr>
                <w:rFonts w:ascii="標楷體" w:eastAsia="標楷體" w:hAnsi="標楷體" w:cs="新細明體" w:hint="eastAsia"/>
                <w:kern w:val="0"/>
                <w:sz w:val="30"/>
                <w:szCs w:val="30"/>
              </w:rPr>
              <w:t>第</w:t>
            </w:r>
            <w:r w:rsidRPr="002B6705">
              <w:rPr>
                <w:rFonts w:ascii="標楷體" w:eastAsia="標楷體" w:hAnsi="標楷體" w:cs="新細明體"/>
                <w:kern w:val="0"/>
                <w:sz w:val="30"/>
                <w:szCs w:val="30"/>
              </w:rPr>
              <w:t>B4.1.</w:t>
            </w:r>
            <w:r>
              <w:rPr>
                <w:rFonts w:ascii="標楷體" w:eastAsia="標楷體" w:hAnsi="標楷體" w:cs="新細明體" w:hint="eastAsia"/>
                <w:kern w:val="0"/>
                <w:sz w:val="30"/>
                <w:szCs w:val="30"/>
              </w:rPr>
              <w:t>20、B4.1.21及B4.1.23段</w:t>
            </w:r>
            <w:r w:rsidRPr="002B6705">
              <w:rPr>
                <w:rFonts w:ascii="標楷體" w:eastAsia="標楷體" w:hAnsi="標楷體" w:cs="新細明體" w:hint="eastAsia"/>
                <w:kern w:val="0"/>
                <w:sz w:val="30"/>
                <w:szCs w:val="30"/>
              </w:rPr>
              <w:br/>
              <w:t>114年版：IFRS9第</w:t>
            </w:r>
            <w:r w:rsidRPr="002B6705">
              <w:rPr>
                <w:rFonts w:ascii="標楷體" w:eastAsia="標楷體" w:hAnsi="標楷體" w:cs="新細明體"/>
                <w:kern w:val="0"/>
                <w:sz w:val="30"/>
                <w:szCs w:val="30"/>
              </w:rPr>
              <w:t>B4.1.</w:t>
            </w:r>
            <w:r>
              <w:rPr>
                <w:rFonts w:ascii="標楷體" w:eastAsia="標楷體" w:hAnsi="標楷體" w:cs="新細明體" w:hint="eastAsia"/>
                <w:kern w:val="0"/>
                <w:sz w:val="30"/>
                <w:szCs w:val="30"/>
              </w:rPr>
              <w:t>20及B4.1.23</w:t>
            </w:r>
            <w:r w:rsidRPr="002B6705">
              <w:rPr>
                <w:rFonts w:ascii="標楷體" w:eastAsia="標楷體" w:hAnsi="標楷體" w:cs="新細明體" w:hint="eastAsia"/>
                <w:kern w:val="0"/>
                <w:sz w:val="30"/>
                <w:szCs w:val="30"/>
              </w:rPr>
              <w:t>段</w:t>
            </w:r>
          </w:p>
        </w:tc>
        <w:tc>
          <w:tcPr>
            <w:tcW w:w="9496" w:type="dxa"/>
            <w:tcBorders>
              <w:top w:val="nil"/>
              <w:left w:val="nil"/>
              <w:bottom w:val="single" w:sz="4" w:space="0" w:color="auto"/>
              <w:right w:val="single" w:sz="4" w:space="0" w:color="auto"/>
            </w:tcBorders>
            <w:hideMark/>
          </w:tcPr>
          <w:p w14:paraId="5DEA8DB0" w14:textId="77777777" w:rsidR="00075D3C" w:rsidRPr="002B6705" w:rsidRDefault="00075D3C" w:rsidP="00E02C2F">
            <w:pPr>
              <w:widowControl/>
              <w:rPr>
                <w:rFonts w:ascii="標楷體" w:eastAsia="標楷體" w:hAnsi="標楷體" w:cs="新細明體"/>
                <w:color w:val="000000"/>
                <w:kern w:val="0"/>
                <w:sz w:val="30"/>
                <w:szCs w:val="30"/>
              </w:rPr>
            </w:pPr>
            <w:r w:rsidRPr="002B6705">
              <w:rPr>
                <w:rFonts w:ascii="標楷體" w:eastAsia="標楷體" w:hAnsi="標楷體" w:cs="新細明體" w:hint="eastAsia"/>
                <w:kern w:val="0"/>
                <w:sz w:val="30"/>
                <w:szCs w:val="30"/>
              </w:rPr>
              <w:t>115</w:t>
            </w:r>
            <w:r w:rsidRPr="002B6705">
              <w:rPr>
                <w:rFonts w:ascii="標楷體" w:eastAsia="標楷體" w:hAnsi="標楷體" w:cs="新細明體" w:hint="eastAsia"/>
                <w:color w:val="000000"/>
                <w:kern w:val="0"/>
                <w:sz w:val="30"/>
                <w:szCs w:val="30"/>
              </w:rPr>
              <w:t>年版：</w:t>
            </w:r>
          </w:p>
          <w:p w14:paraId="0A4A8164" w14:textId="77777777" w:rsidR="00075D3C" w:rsidRDefault="00075D3C" w:rsidP="00E02C2F">
            <w:pPr>
              <w:widowControl/>
              <w:rPr>
                <w:rFonts w:ascii="標楷體" w:eastAsia="標楷體" w:hAnsi="標楷體" w:cs="新細明體"/>
                <w:color w:val="000000"/>
                <w:kern w:val="0"/>
                <w:sz w:val="30"/>
                <w:szCs w:val="30"/>
              </w:rPr>
            </w:pPr>
            <w:r w:rsidRPr="002B6705">
              <w:rPr>
                <w:rFonts w:ascii="標楷體" w:eastAsia="標楷體" w:hAnsi="標楷體" w:cs="新細明體" w:hint="eastAsia"/>
                <w:color w:val="000000"/>
                <w:kern w:val="0"/>
                <w:sz w:val="30"/>
                <w:szCs w:val="30"/>
              </w:rPr>
              <w:t>1.</w:t>
            </w:r>
            <w:r w:rsidR="00B55798">
              <w:rPr>
                <w:rFonts w:hint="eastAsia"/>
              </w:rPr>
              <w:t xml:space="preserve"> </w:t>
            </w:r>
            <w:r w:rsidR="00B55798" w:rsidRPr="00B55798">
              <w:rPr>
                <w:rFonts w:ascii="標楷體" w:eastAsia="標楷體" w:hAnsi="標楷體" w:cs="新細明體" w:hint="eastAsia"/>
                <w:color w:val="000000"/>
                <w:kern w:val="0"/>
                <w:sz w:val="30"/>
                <w:szCs w:val="30"/>
              </w:rPr>
              <w:t>在某些具無追索權特性之交易類型中，發行人可能使用多項合約連結工具（分級證券），以對金融資產持有人之支付排定優先順序。每一種分級</w:t>
            </w:r>
            <w:proofErr w:type="gramStart"/>
            <w:r w:rsidR="00B55798" w:rsidRPr="00B55798">
              <w:rPr>
                <w:rFonts w:ascii="標楷體" w:eastAsia="標楷體" w:hAnsi="標楷體" w:cs="新細明體" w:hint="eastAsia"/>
                <w:color w:val="000000"/>
                <w:kern w:val="0"/>
                <w:sz w:val="30"/>
                <w:szCs w:val="30"/>
              </w:rPr>
              <w:t>證券均有</w:t>
            </w:r>
            <w:proofErr w:type="gramEnd"/>
            <w:r w:rsidR="00B55798" w:rsidRPr="00B55798">
              <w:rPr>
                <w:rFonts w:ascii="標楷體" w:eastAsia="標楷體" w:hAnsi="標楷體" w:cs="新細明體" w:hint="eastAsia"/>
                <w:color w:val="000000"/>
                <w:kern w:val="0"/>
                <w:sz w:val="30"/>
                <w:szCs w:val="30"/>
              </w:rPr>
              <w:t>一次級順序，以確定發行人將自標的金融工具池產生之任何現金流量分配予該分級證券之順序。對此等分級證券之持有人之支付優先順序係透過瀑布支付結構建立，其產生信用風險集中，並導致來自標的池之現金短收在分級證券間之分配不成比例。於此等交易類型中，分級證券之持有人適用</w:t>
            </w:r>
            <w:r w:rsidR="00B55798">
              <w:rPr>
                <w:rFonts w:ascii="標楷體" w:eastAsia="標楷體" w:hAnsi="標楷體" w:cs="新細明體" w:hint="eastAsia"/>
                <w:color w:val="000000"/>
                <w:kern w:val="0"/>
                <w:sz w:val="30"/>
                <w:szCs w:val="30"/>
              </w:rPr>
              <w:t>IFRS9</w:t>
            </w:r>
            <w:r w:rsidR="00B55798" w:rsidRPr="00B55798">
              <w:rPr>
                <w:rFonts w:ascii="標楷體" w:eastAsia="標楷體" w:hAnsi="標楷體" w:cs="新細明體" w:hint="eastAsia"/>
                <w:color w:val="000000"/>
                <w:kern w:val="0"/>
                <w:sz w:val="30"/>
                <w:szCs w:val="30"/>
              </w:rPr>
              <w:t>第B4.1.21至B4.1.26段</w:t>
            </w:r>
            <w:proofErr w:type="gramStart"/>
            <w:r w:rsidR="00B55798" w:rsidRPr="00B55798">
              <w:rPr>
                <w:rFonts w:ascii="標楷體" w:eastAsia="標楷體" w:hAnsi="標楷體" w:cs="新細明體" w:hint="eastAsia"/>
                <w:color w:val="000000"/>
                <w:kern w:val="0"/>
                <w:sz w:val="30"/>
                <w:szCs w:val="30"/>
              </w:rPr>
              <w:t>而非第</w:t>
            </w:r>
            <w:proofErr w:type="gramEnd"/>
            <w:r w:rsidR="00B55798" w:rsidRPr="00B55798">
              <w:rPr>
                <w:rFonts w:ascii="標楷體" w:eastAsia="標楷體" w:hAnsi="標楷體" w:cs="新細明體" w:hint="eastAsia"/>
                <w:color w:val="000000"/>
                <w:kern w:val="0"/>
                <w:sz w:val="30"/>
                <w:szCs w:val="30"/>
              </w:rPr>
              <w:t>B4.1.17</w:t>
            </w:r>
            <w:r w:rsidR="00B55798">
              <w:rPr>
                <w:rFonts w:ascii="標楷體" w:eastAsia="標楷體" w:hAnsi="標楷體" w:cs="新細明體" w:hint="eastAsia"/>
                <w:color w:val="000000"/>
                <w:kern w:val="0"/>
                <w:sz w:val="30"/>
                <w:szCs w:val="30"/>
              </w:rPr>
              <w:t>段之規定</w:t>
            </w:r>
            <w:r w:rsidRPr="00F750D8">
              <w:rPr>
                <w:rFonts w:ascii="標楷體" w:eastAsia="標楷體" w:hAnsi="標楷體" w:cs="新細明體" w:hint="eastAsia"/>
                <w:color w:val="000000"/>
                <w:kern w:val="0"/>
                <w:sz w:val="30"/>
                <w:szCs w:val="30"/>
              </w:rPr>
              <w:t>。</w:t>
            </w:r>
          </w:p>
          <w:p w14:paraId="675294BF" w14:textId="77777777" w:rsidR="00A7760F" w:rsidRDefault="00075D3C">
            <w:pPr>
              <w:widowControl/>
              <w:rPr>
                <w:rFonts w:ascii="標楷體" w:eastAsia="標楷體" w:hAnsi="標楷體" w:cs="新細明體"/>
                <w:color w:val="000000"/>
                <w:kern w:val="0"/>
                <w:sz w:val="30"/>
                <w:szCs w:val="30"/>
              </w:rPr>
            </w:pPr>
            <w:r w:rsidRPr="002B6705">
              <w:rPr>
                <w:rFonts w:ascii="標楷體" w:eastAsia="標楷體" w:hAnsi="標楷體" w:cs="新細明體" w:hint="eastAsia"/>
                <w:color w:val="000000"/>
                <w:kern w:val="0"/>
                <w:sz w:val="30"/>
                <w:szCs w:val="30"/>
              </w:rPr>
              <w:t>2.</w:t>
            </w:r>
            <w:r w:rsidR="00B55798">
              <w:rPr>
                <w:rFonts w:hint="eastAsia"/>
              </w:rPr>
              <w:t xml:space="preserve"> </w:t>
            </w:r>
            <w:r w:rsidR="00B55798" w:rsidRPr="00B55798">
              <w:rPr>
                <w:rFonts w:ascii="標楷體" w:eastAsia="標楷體" w:hAnsi="標楷體" w:cs="新細明體" w:hint="eastAsia"/>
                <w:color w:val="000000"/>
                <w:kern w:val="0"/>
                <w:sz w:val="30"/>
                <w:szCs w:val="30"/>
              </w:rPr>
              <w:t>某些交易可能包含多項債務工具且顯示具有</w:t>
            </w:r>
            <w:r w:rsidR="00B55798">
              <w:rPr>
                <w:rFonts w:ascii="標楷體" w:eastAsia="標楷體" w:hAnsi="標楷體" w:cs="新細明體" w:hint="eastAsia"/>
                <w:color w:val="000000"/>
                <w:kern w:val="0"/>
                <w:sz w:val="30"/>
                <w:szCs w:val="30"/>
              </w:rPr>
              <w:t>前</w:t>
            </w:r>
            <w:r w:rsidR="00B55798" w:rsidRPr="00B55798">
              <w:rPr>
                <w:rFonts w:ascii="標楷體" w:eastAsia="標楷體" w:hAnsi="標楷體" w:cs="新細明體" w:hint="eastAsia"/>
                <w:color w:val="000000"/>
                <w:kern w:val="0"/>
                <w:sz w:val="30"/>
                <w:szCs w:val="30"/>
              </w:rPr>
              <w:t>述</w:t>
            </w:r>
            <w:r w:rsidR="00B55798">
              <w:rPr>
                <w:rFonts w:ascii="標楷體" w:eastAsia="標楷體" w:hAnsi="標楷體" w:cs="新細明體" w:hint="eastAsia"/>
                <w:color w:val="000000"/>
                <w:kern w:val="0"/>
                <w:sz w:val="30"/>
                <w:szCs w:val="30"/>
              </w:rPr>
              <w:t>1.</w:t>
            </w:r>
            <w:r w:rsidR="00B55798" w:rsidRPr="00B55798">
              <w:rPr>
                <w:rFonts w:ascii="標楷體" w:eastAsia="標楷體" w:hAnsi="標楷體" w:cs="新細明體" w:hint="eastAsia"/>
                <w:color w:val="000000"/>
                <w:kern w:val="0"/>
                <w:sz w:val="30"/>
                <w:szCs w:val="30"/>
              </w:rPr>
              <w:t>之特性，惟其事實上係安排提供增強信用保障予債權人（或債權人群組）之放款協議。例如，</w:t>
            </w:r>
            <w:proofErr w:type="gramStart"/>
            <w:r w:rsidR="00B55798" w:rsidRPr="00B55798">
              <w:rPr>
                <w:rFonts w:ascii="標楷體" w:eastAsia="標楷體" w:hAnsi="標楷體" w:cs="新細明體" w:hint="eastAsia"/>
                <w:color w:val="000000"/>
                <w:kern w:val="0"/>
                <w:sz w:val="30"/>
                <w:szCs w:val="30"/>
              </w:rPr>
              <w:t>一</w:t>
            </w:r>
            <w:proofErr w:type="gramEnd"/>
            <w:r w:rsidR="00B55798" w:rsidRPr="00B55798">
              <w:rPr>
                <w:rFonts w:ascii="標楷體" w:eastAsia="標楷體" w:hAnsi="標楷體" w:cs="新細明體" w:hint="eastAsia"/>
                <w:color w:val="000000"/>
                <w:kern w:val="0"/>
                <w:sz w:val="30"/>
                <w:szCs w:val="30"/>
              </w:rPr>
              <w:t>結構型個體之設立係為持有將產生現金</w:t>
            </w:r>
            <w:proofErr w:type="gramStart"/>
            <w:r w:rsidR="00B55798" w:rsidRPr="00B55798">
              <w:rPr>
                <w:rFonts w:ascii="標楷體" w:eastAsia="標楷體" w:hAnsi="標楷體" w:cs="新細明體" w:hint="eastAsia"/>
                <w:color w:val="000000"/>
                <w:kern w:val="0"/>
                <w:sz w:val="30"/>
                <w:szCs w:val="30"/>
              </w:rPr>
              <w:t>流量以返還</w:t>
            </w:r>
            <w:proofErr w:type="gramEnd"/>
            <w:r w:rsidR="00B55798" w:rsidRPr="00B55798">
              <w:rPr>
                <w:rFonts w:ascii="標楷體" w:eastAsia="標楷體" w:hAnsi="標楷體" w:cs="新細明體" w:hint="eastAsia"/>
                <w:color w:val="000000"/>
                <w:kern w:val="0"/>
                <w:sz w:val="30"/>
                <w:szCs w:val="30"/>
              </w:rPr>
              <w:t>債權人之標的資產。該結構型個體發行優先及次順位債務工具。債權人持有優先債務工具，而發起該結構型個體之個體持有次順位債務工具，該個體於優先債務工具成為應付前不具有出售該次順位債務工具之實際能力。此等債務工具之持有人適用</w:t>
            </w:r>
            <w:r w:rsidR="00B55798">
              <w:rPr>
                <w:rFonts w:ascii="標楷體" w:eastAsia="標楷體" w:hAnsi="標楷體" w:cs="新細明體" w:hint="eastAsia"/>
                <w:color w:val="000000"/>
                <w:kern w:val="0"/>
                <w:sz w:val="30"/>
                <w:szCs w:val="30"/>
              </w:rPr>
              <w:t>IFRS9</w:t>
            </w:r>
            <w:r w:rsidR="00B55798" w:rsidRPr="00B55798">
              <w:rPr>
                <w:rFonts w:ascii="標楷體" w:eastAsia="標楷體" w:hAnsi="標楷體" w:cs="新細明體" w:hint="eastAsia"/>
                <w:color w:val="000000"/>
                <w:kern w:val="0"/>
                <w:sz w:val="30"/>
                <w:szCs w:val="30"/>
              </w:rPr>
              <w:t>第B4.1.7至B4.1.19段</w:t>
            </w:r>
            <w:proofErr w:type="gramStart"/>
            <w:r w:rsidR="00B55798" w:rsidRPr="00B55798">
              <w:rPr>
                <w:rFonts w:ascii="標楷體" w:eastAsia="標楷體" w:hAnsi="標楷體" w:cs="新細明體" w:hint="eastAsia"/>
                <w:color w:val="000000"/>
                <w:kern w:val="0"/>
                <w:sz w:val="30"/>
                <w:szCs w:val="30"/>
              </w:rPr>
              <w:t>而非第</w:t>
            </w:r>
            <w:proofErr w:type="gramEnd"/>
            <w:r w:rsidR="00B55798" w:rsidRPr="00B55798">
              <w:rPr>
                <w:rFonts w:ascii="標楷體" w:eastAsia="標楷體" w:hAnsi="標楷體" w:cs="新細明體" w:hint="eastAsia"/>
                <w:color w:val="000000"/>
                <w:kern w:val="0"/>
                <w:sz w:val="30"/>
                <w:szCs w:val="30"/>
              </w:rPr>
              <w:t>B4.1.21至</w:t>
            </w:r>
            <w:r w:rsidR="00B55798" w:rsidRPr="00B55798">
              <w:rPr>
                <w:rFonts w:ascii="標楷體" w:eastAsia="標楷體" w:hAnsi="標楷體" w:cs="新細明體" w:hint="eastAsia"/>
                <w:color w:val="000000"/>
                <w:kern w:val="0"/>
                <w:sz w:val="30"/>
                <w:szCs w:val="30"/>
              </w:rPr>
              <w:lastRenderedPageBreak/>
              <w:t>B4.1.26</w:t>
            </w:r>
            <w:r w:rsidR="00B55798">
              <w:rPr>
                <w:rFonts w:ascii="標楷體" w:eastAsia="標楷體" w:hAnsi="標楷體" w:cs="新細明體" w:hint="eastAsia"/>
                <w:color w:val="000000"/>
                <w:kern w:val="0"/>
                <w:sz w:val="30"/>
                <w:szCs w:val="30"/>
              </w:rPr>
              <w:t>段之規定</w:t>
            </w:r>
            <w:r w:rsidRPr="002B6705">
              <w:rPr>
                <w:rFonts w:ascii="標楷體" w:eastAsia="標楷體" w:hAnsi="標楷體" w:cs="新細明體" w:hint="eastAsia"/>
                <w:color w:val="000000"/>
                <w:kern w:val="0"/>
                <w:sz w:val="30"/>
                <w:szCs w:val="30"/>
              </w:rPr>
              <w:t>。</w:t>
            </w:r>
          </w:p>
          <w:p w14:paraId="66213ECC" w14:textId="77777777" w:rsidR="00A7760F" w:rsidRDefault="005C1E8F">
            <w:pPr>
              <w:widowControl/>
              <w:rPr>
                <w:rFonts w:ascii="標楷體" w:eastAsia="標楷體" w:hAnsi="標楷體" w:cs="新細明體"/>
                <w:color w:val="000000"/>
                <w:kern w:val="0"/>
                <w:sz w:val="30"/>
                <w:szCs w:val="30"/>
              </w:rPr>
            </w:pPr>
            <w:r>
              <w:rPr>
                <w:rFonts w:ascii="標楷體" w:eastAsia="標楷體" w:hAnsi="標楷體" w:cs="新細明體" w:hint="eastAsia"/>
                <w:color w:val="000000"/>
                <w:kern w:val="0"/>
                <w:sz w:val="30"/>
                <w:szCs w:val="30"/>
              </w:rPr>
              <w:t>3.為評估</w:t>
            </w:r>
            <w:r w:rsidRPr="005C1E8F">
              <w:rPr>
                <w:rFonts w:ascii="標楷體" w:eastAsia="標楷體" w:hAnsi="標楷體" w:cs="新細明體" w:hint="eastAsia"/>
                <w:color w:val="000000"/>
                <w:kern w:val="0"/>
                <w:sz w:val="30"/>
                <w:szCs w:val="30"/>
              </w:rPr>
              <w:t>標的金融工具池</w:t>
            </w:r>
            <w:r>
              <w:rPr>
                <w:rFonts w:ascii="標楷體" w:eastAsia="標楷體" w:hAnsi="標楷體" w:cs="新細明體" w:hint="eastAsia"/>
                <w:color w:val="000000"/>
                <w:kern w:val="0"/>
                <w:sz w:val="30"/>
                <w:szCs w:val="30"/>
              </w:rPr>
              <w:t>之現金流量特性時，</w:t>
            </w:r>
            <w:r w:rsidRPr="005C1E8F">
              <w:rPr>
                <w:rFonts w:ascii="標楷體" w:eastAsia="標楷體" w:hAnsi="標楷體" w:cs="新細明體" w:hint="eastAsia"/>
                <w:color w:val="000000"/>
                <w:kern w:val="0"/>
                <w:sz w:val="30"/>
                <w:szCs w:val="30"/>
              </w:rPr>
              <w:t>標的池可包括非屬分類規定範圍內，惟其合約現金流量約當於完全為支付本金及流通在外本金金額之利息之金融工具</w:t>
            </w:r>
            <w:proofErr w:type="gramStart"/>
            <w:r w:rsidRPr="005C1E8F">
              <w:rPr>
                <w:rFonts w:ascii="標楷體" w:eastAsia="標楷體" w:hAnsi="標楷體" w:cs="新細明體" w:hint="eastAsia"/>
                <w:color w:val="000000"/>
                <w:kern w:val="0"/>
                <w:sz w:val="30"/>
                <w:szCs w:val="30"/>
              </w:rPr>
              <w:t>─</w:t>
            </w:r>
            <w:proofErr w:type="gramEnd"/>
            <w:r w:rsidRPr="005C1E8F">
              <w:rPr>
                <w:rFonts w:ascii="標楷體" w:eastAsia="標楷體" w:hAnsi="標楷體" w:cs="新細明體" w:hint="eastAsia"/>
                <w:color w:val="000000"/>
                <w:kern w:val="0"/>
                <w:sz w:val="30"/>
                <w:szCs w:val="30"/>
              </w:rPr>
              <w:t>例如，某些應收租賃款。</w:t>
            </w:r>
            <w:proofErr w:type="gramStart"/>
            <w:r w:rsidRPr="005C1E8F">
              <w:rPr>
                <w:rFonts w:ascii="標楷體" w:eastAsia="標楷體" w:hAnsi="標楷體" w:cs="新細明體" w:hint="eastAsia"/>
                <w:color w:val="000000"/>
                <w:kern w:val="0"/>
                <w:sz w:val="30"/>
                <w:szCs w:val="30"/>
              </w:rPr>
              <w:t>惟受殘值</w:t>
            </w:r>
            <w:proofErr w:type="gramEnd"/>
            <w:r w:rsidRPr="005C1E8F">
              <w:rPr>
                <w:rFonts w:ascii="標楷體" w:eastAsia="標楷體" w:hAnsi="標楷體" w:cs="新細明體" w:hint="eastAsia"/>
                <w:color w:val="000000"/>
                <w:kern w:val="0"/>
                <w:sz w:val="30"/>
                <w:szCs w:val="30"/>
              </w:rPr>
              <w:t>風險影響之應收租賃款，或包含與非屬基本放款風險或成本之變數（例如，市場租金率）連結之變動租賃給付之應收租賃款，其合約現金流量並不約當於完全為支付本金及流通在外本金金額之利息。</w:t>
            </w:r>
            <w:r w:rsidR="00075D3C" w:rsidRPr="002B6705">
              <w:rPr>
                <w:rFonts w:ascii="標楷體" w:eastAsia="標楷體" w:hAnsi="標楷體" w:cs="新細明體" w:hint="eastAsia"/>
                <w:color w:val="000000"/>
                <w:kern w:val="0"/>
                <w:sz w:val="30"/>
                <w:szCs w:val="30"/>
              </w:rPr>
              <w:br/>
            </w:r>
            <w:r w:rsidR="00075D3C" w:rsidRPr="002B6705">
              <w:rPr>
                <w:rFonts w:ascii="標楷體" w:eastAsia="標楷體" w:hAnsi="標楷體" w:cs="新細明體" w:hint="eastAsia"/>
                <w:color w:val="000000"/>
                <w:kern w:val="0"/>
                <w:sz w:val="30"/>
                <w:szCs w:val="30"/>
              </w:rPr>
              <w:br/>
              <w:t>114年版：</w:t>
            </w:r>
          </w:p>
          <w:p w14:paraId="24730907" w14:textId="77777777" w:rsidR="00A7760F" w:rsidRDefault="00075D3C">
            <w:pPr>
              <w:widowControl/>
              <w:rPr>
                <w:rFonts w:ascii="標楷體" w:eastAsia="標楷體" w:hAnsi="標楷體" w:cs="新細明體"/>
                <w:color w:val="000000"/>
                <w:kern w:val="0"/>
                <w:sz w:val="30"/>
                <w:szCs w:val="30"/>
              </w:rPr>
            </w:pPr>
            <w:r>
              <w:rPr>
                <w:rFonts w:ascii="標楷體" w:eastAsia="標楷體" w:hAnsi="標楷體" w:cs="新細明體" w:hint="eastAsia"/>
                <w:color w:val="000000"/>
                <w:kern w:val="0"/>
                <w:sz w:val="30"/>
                <w:szCs w:val="30"/>
              </w:rPr>
              <w:t>1.</w:t>
            </w:r>
            <w:r>
              <w:rPr>
                <w:rFonts w:hint="eastAsia"/>
              </w:rPr>
              <w:t xml:space="preserve"> </w:t>
            </w:r>
            <w:r w:rsidRPr="00075D3C">
              <w:rPr>
                <w:rFonts w:ascii="標楷體" w:eastAsia="標楷體" w:hAnsi="標楷體" w:cs="新細明體" w:hint="eastAsia"/>
                <w:color w:val="000000"/>
                <w:kern w:val="0"/>
                <w:sz w:val="30"/>
                <w:szCs w:val="30"/>
              </w:rPr>
              <w:t>在某些交易類型中，發行人可能使用多項合約連結工具（分級證券），以對金融資產持有人之支付排定優先順序。每一種分級</w:t>
            </w:r>
            <w:proofErr w:type="gramStart"/>
            <w:r w:rsidRPr="00075D3C">
              <w:rPr>
                <w:rFonts w:ascii="標楷體" w:eastAsia="標楷體" w:hAnsi="標楷體" w:cs="新細明體" w:hint="eastAsia"/>
                <w:color w:val="000000"/>
                <w:kern w:val="0"/>
                <w:sz w:val="30"/>
                <w:szCs w:val="30"/>
              </w:rPr>
              <w:t>證券均有</w:t>
            </w:r>
            <w:proofErr w:type="gramEnd"/>
            <w:r w:rsidRPr="00075D3C">
              <w:rPr>
                <w:rFonts w:ascii="標楷體" w:eastAsia="標楷體" w:hAnsi="標楷體" w:cs="新細明體" w:hint="eastAsia"/>
                <w:color w:val="000000"/>
                <w:kern w:val="0"/>
                <w:sz w:val="30"/>
                <w:szCs w:val="30"/>
              </w:rPr>
              <w:t>一次級順序，以確定發行人產生之任何現金流量分配予該分級證券之順序。在此情況下，該分級證券之持有人僅於發行人已產生足以滿足較高順位分級證券之現金流量時，始對本金及流通在外本金金額之利息之支付具有權利。</w:t>
            </w:r>
          </w:p>
          <w:p w14:paraId="6C2E211D" w14:textId="77777777" w:rsidR="00A7760F" w:rsidRDefault="00075D3C">
            <w:pPr>
              <w:widowControl/>
              <w:rPr>
                <w:rFonts w:ascii="標楷體" w:eastAsia="標楷體" w:hAnsi="標楷體" w:cs="新細明體"/>
                <w:kern w:val="0"/>
                <w:sz w:val="30"/>
                <w:szCs w:val="30"/>
              </w:rPr>
            </w:pPr>
            <w:r>
              <w:rPr>
                <w:rFonts w:ascii="標楷體" w:eastAsia="標楷體" w:hAnsi="標楷體" w:cs="新細明體" w:hint="eastAsia"/>
                <w:color w:val="000000"/>
                <w:kern w:val="0"/>
                <w:sz w:val="30"/>
                <w:szCs w:val="30"/>
              </w:rPr>
              <w:t>2.標的池</w:t>
            </w:r>
            <w:r w:rsidRPr="00075D3C">
              <w:rPr>
                <w:rFonts w:ascii="標楷體" w:eastAsia="標楷體" w:hAnsi="標楷體" w:cs="新細明體" w:hint="eastAsia"/>
                <w:color w:val="000000"/>
                <w:kern w:val="0"/>
                <w:sz w:val="30"/>
                <w:szCs w:val="30"/>
              </w:rPr>
              <w:t>應包含一項或</w:t>
            </w:r>
            <w:r>
              <w:rPr>
                <w:rFonts w:ascii="標楷體" w:eastAsia="標楷體" w:hAnsi="標楷體" w:cs="新細明體" w:hint="eastAsia"/>
                <w:color w:val="000000"/>
                <w:kern w:val="0"/>
                <w:sz w:val="30"/>
                <w:szCs w:val="30"/>
              </w:rPr>
              <w:t>多項工具，其合約現金流量完全為支付本金及流通在外本金金額之利息</w:t>
            </w:r>
            <w:r w:rsidRPr="00F750D8">
              <w:rPr>
                <w:rFonts w:ascii="標楷體" w:eastAsia="標楷體" w:hAnsi="標楷體" w:cs="新細明體" w:hint="eastAsia"/>
                <w:color w:val="000000"/>
                <w:kern w:val="0"/>
                <w:sz w:val="30"/>
                <w:szCs w:val="30"/>
              </w:rPr>
              <w:t>。</w:t>
            </w:r>
          </w:p>
        </w:tc>
      </w:tr>
      <w:tr w:rsidR="00862086" w:rsidRPr="00867787" w14:paraId="501E82E9" w14:textId="77777777" w:rsidTr="002B1B86">
        <w:trPr>
          <w:trHeight w:val="1466"/>
        </w:trPr>
        <w:tc>
          <w:tcPr>
            <w:tcW w:w="940" w:type="dxa"/>
            <w:tcBorders>
              <w:top w:val="nil"/>
              <w:left w:val="single" w:sz="4" w:space="0" w:color="auto"/>
              <w:bottom w:val="single" w:sz="4" w:space="0" w:color="auto"/>
              <w:right w:val="single" w:sz="4" w:space="0" w:color="auto"/>
            </w:tcBorders>
            <w:hideMark/>
          </w:tcPr>
          <w:p w14:paraId="208B4BE0" w14:textId="77777777" w:rsidR="00862086" w:rsidRPr="00577F4F" w:rsidRDefault="005C1E8F" w:rsidP="0068405A">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lastRenderedPageBreak/>
              <w:t>4</w:t>
            </w:r>
          </w:p>
        </w:tc>
        <w:tc>
          <w:tcPr>
            <w:tcW w:w="1820" w:type="dxa"/>
            <w:tcBorders>
              <w:top w:val="nil"/>
              <w:left w:val="nil"/>
              <w:bottom w:val="single" w:sz="4" w:space="0" w:color="auto"/>
              <w:right w:val="single" w:sz="4" w:space="0" w:color="auto"/>
            </w:tcBorders>
            <w:hideMark/>
          </w:tcPr>
          <w:p w14:paraId="1AEA989C" w14:textId="77777777" w:rsidR="00862086" w:rsidRPr="00867787" w:rsidRDefault="00862086" w:rsidP="00054C2D">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金融負債之除列</w:t>
            </w:r>
            <w:r>
              <w:rPr>
                <w:rFonts w:ascii="標楷體" w:eastAsia="標楷體" w:hAnsi="標楷體" w:cs="新細明體" w:hint="eastAsia"/>
                <w:kern w:val="0"/>
                <w:sz w:val="32"/>
                <w:szCs w:val="32"/>
              </w:rPr>
              <w:t>日</w:t>
            </w:r>
          </w:p>
        </w:tc>
        <w:tc>
          <w:tcPr>
            <w:tcW w:w="2320" w:type="dxa"/>
            <w:tcBorders>
              <w:top w:val="nil"/>
              <w:left w:val="nil"/>
              <w:bottom w:val="single" w:sz="4" w:space="0" w:color="auto"/>
              <w:right w:val="single" w:sz="4" w:space="0" w:color="auto"/>
            </w:tcBorders>
            <w:hideMark/>
          </w:tcPr>
          <w:p w14:paraId="34ED500B" w14:textId="77777777" w:rsidR="00862086" w:rsidRPr="00867787" w:rsidRDefault="00862086" w:rsidP="0068405A">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0F2498C1" w14:textId="77777777" w:rsidR="00862086" w:rsidRPr="00867787" w:rsidRDefault="00862086" w:rsidP="0068405A">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應付帳款</w:t>
            </w:r>
            <w:r w:rsidRPr="00867787">
              <w:rPr>
                <w:rFonts w:ascii="標楷體" w:eastAsia="標楷體" w:hAnsi="標楷體" w:cs="新細明體" w:hint="eastAsia"/>
                <w:kern w:val="0"/>
                <w:sz w:val="30"/>
                <w:szCs w:val="30"/>
              </w:rPr>
              <w:br/>
              <w:t>應付票據</w:t>
            </w:r>
          </w:p>
        </w:tc>
        <w:tc>
          <w:tcPr>
            <w:tcW w:w="4180" w:type="dxa"/>
            <w:tcBorders>
              <w:top w:val="nil"/>
              <w:left w:val="nil"/>
              <w:bottom w:val="single" w:sz="4" w:space="0" w:color="auto"/>
              <w:right w:val="single" w:sz="4" w:space="0" w:color="auto"/>
            </w:tcBorders>
            <w:hideMark/>
          </w:tcPr>
          <w:p w14:paraId="0A04E707" w14:textId="77777777" w:rsidR="00862086" w:rsidRDefault="00862086">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w:t>
            </w:r>
            <w:r>
              <w:rPr>
                <w:rFonts w:ascii="標楷體" w:eastAsia="標楷體" w:hAnsi="標楷體" w:cs="新細明體" w:hint="eastAsia"/>
                <w:kern w:val="0"/>
                <w:sz w:val="30"/>
                <w:szCs w:val="30"/>
              </w:rPr>
              <w:t>IFRS9第</w:t>
            </w:r>
            <w:r w:rsidRPr="00867787">
              <w:rPr>
                <w:rFonts w:ascii="標楷體" w:eastAsia="標楷體" w:hAnsi="標楷體" w:cs="新細明體" w:hint="eastAsia"/>
                <w:kern w:val="0"/>
                <w:sz w:val="30"/>
                <w:szCs w:val="30"/>
              </w:rPr>
              <w:t>B3.1.2A</w:t>
            </w:r>
            <w:r>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t>114年版：</w:t>
            </w:r>
            <w:r>
              <w:rPr>
                <w:rFonts w:ascii="標楷體" w:eastAsia="標楷體" w:hAnsi="標楷體" w:cs="新細明體" w:hint="eastAsia"/>
                <w:kern w:val="0"/>
                <w:sz w:val="30"/>
                <w:szCs w:val="30"/>
              </w:rPr>
              <w:t>無</w:t>
            </w:r>
          </w:p>
        </w:tc>
        <w:tc>
          <w:tcPr>
            <w:tcW w:w="9496" w:type="dxa"/>
            <w:tcBorders>
              <w:top w:val="nil"/>
              <w:left w:val="nil"/>
              <w:bottom w:val="single" w:sz="4" w:space="0" w:color="auto"/>
              <w:right w:val="single" w:sz="4" w:space="0" w:color="auto"/>
            </w:tcBorders>
            <w:hideMark/>
          </w:tcPr>
          <w:p w14:paraId="791FB2E2" w14:textId="77777777" w:rsidR="00862086" w:rsidRDefault="00862086">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w:t>
            </w:r>
            <w:r w:rsidRPr="00867787">
              <w:rPr>
                <w:rFonts w:ascii="標楷體" w:eastAsia="標楷體" w:hAnsi="標楷體" w:cs="新細明體" w:hint="eastAsia"/>
                <w:color w:val="000000"/>
                <w:kern w:val="0"/>
                <w:sz w:val="30"/>
                <w:szCs w:val="30"/>
              </w:rPr>
              <w:t>年版：</w:t>
            </w:r>
            <w:r w:rsidRPr="00FE040C">
              <w:rPr>
                <w:rFonts w:ascii="標楷體" w:eastAsia="標楷體" w:hAnsi="標楷體" w:cs="新細明體" w:hint="eastAsia"/>
                <w:color w:val="000000"/>
                <w:kern w:val="0"/>
                <w:sz w:val="30"/>
                <w:szCs w:val="30"/>
              </w:rPr>
              <w:t>除有</w:t>
            </w:r>
            <w:r>
              <w:rPr>
                <w:rFonts w:ascii="標楷體" w:eastAsia="標楷體" w:hAnsi="標楷體" w:cs="新細明體" w:hint="eastAsia"/>
                <w:kern w:val="0"/>
                <w:sz w:val="30"/>
                <w:szCs w:val="30"/>
              </w:rPr>
              <w:t>IFRS9</w:t>
            </w:r>
            <w:r w:rsidRPr="00FE040C">
              <w:rPr>
                <w:rFonts w:ascii="標楷體" w:eastAsia="標楷體" w:hAnsi="標楷體" w:cs="新細明體" w:hint="eastAsia"/>
                <w:color w:val="000000"/>
                <w:kern w:val="0"/>
                <w:sz w:val="30"/>
                <w:szCs w:val="30"/>
              </w:rPr>
              <w:t>第3.1.2段之適用外，個體應於其成為金融工具合約條款之一方之日認列金融資產或金融負債（見</w:t>
            </w:r>
            <w:r>
              <w:rPr>
                <w:rFonts w:ascii="標楷體" w:eastAsia="標楷體" w:hAnsi="標楷體" w:cs="新細明體" w:hint="eastAsia"/>
                <w:kern w:val="0"/>
                <w:sz w:val="30"/>
                <w:szCs w:val="30"/>
              </w:rPr>
              <w:t>IFRS9</w:t>
            </w:r>
            <w:r w:rsidRPr="00FE040C">
              <w:rPr>
                <w:rFonts w:ascii="標楷體" w:eastAsia="標楷體" w:hAnsi="標楷體" w:cs="新細明體" w:hint="eastAsia"/>
                <w:color w:val="000000"/>
                <w:kern w:val="0"/>
                <w:sz w:val="30"/>
                <w:szCs w:val="30"/>
              </w:rPr>
              <w:t>第3.1.1段）。金融資產係於對現金流量之合約權利失效或移轉金融資產之日除列（見</w:t>
            </w:r>
            <w:r>
              <w:rPr>
                <w:rFonts w:ascii="標楷體" w:eastAsia="標楷體" w:hAnsi="標楷體" w:cs="新細明體" w:hint="eastAsia"/>
                <w:kern w:val="0"/>
                <w:sz w:val="30"/>
                <w:szCs w:val="30"/>
              </w:rPr>
              <w:t>IFRS9</w:t>
            </w:r>
            <w:r w:rsidRPr="00FE040C">
              <w:rPr>
                <w:rFonts w:ascii="標楷體" w:eastAsia="標楷體" w:hAnsi="標楷體" w:cs="新細明體" w:hint="eastAsia"/>
                <w:color w:val="000000"/>
                <w:kern w:val="0"/>
                <w:sz w:val="30"/>
                <w:szCs w:val="30"/>
              </w:rPr>
              <w:t>第3.2.3段）。除非個體選擇適用</w:t>
            </w:r>
            <w:r>
              <w:rPr>
                <w:rFonts w:ascii="標楷體" w:eastAsia="標楷體" w:hAnsi="標楷體" w:cs="新細明體" w:hint="eastAsia"/>
                <w:kern w:val="0"/>
                <w:sz w:val="30"/>
                <w:szCs w:val="30"/>
              </w:rPr>
              <w:t>IFRS9</w:t>
            </w:r>
            <w:r w:rsidRPr="00FE040C">
              <w:rPr>
                <w:rFonts w:ascii="標楷體" w:eastAsia="標楷體" w:hAnsi="標楷體" w:cs="新細明體" w:hint="eastAsia"/>
                <w:color w:val="000000"/>
                <w:kern w:val="0"/>
                <w:sz w:val="30"/>
                <w:szCs w:val="30"/>
              </w:rPr>
              <w:t>第B3.3.8段，</w:t>
            </w:r>
            <w:r w:rsidRPr="00356475">
              <w:rPr>
                <w:rFonts w:ascii="標楷體" w:eastAsia="標楷體" w:hAnsi="標楷體" w:cs="新細明體" w:hint="eastAsia"/>
                <w:kern w:val="0"/>
                <w:sz w:val="30"/>
                <w:szCs w:val="30"/>
              </w:rPr>
              <w:t>金融負債係於交割日除列，交割日係指負債因合約明訂之義務履行、取消或到期而消滅之日，或負債符合其他除列條件之日。</w:t>
            </w:r>
            <w:r w:rsidRPr="00867787">
              <w:rPr>
                <w:rFonts w:ascii="標楷體" w:eastAsia="標楷體" w:hAnsi="標楷體" w:cs="新細明體" w:hint="eastAsia"/>
                <w:color w:val="000000"/>
                <w:kern w:val="0"/>
                <w:sz w:val="30"/>
                <w:szCs w:val="30"/>
              </w:rPr>
              <w:br/>
            </w:r>
            <w:r w:rsidRPr="00867787">
              <w:rPr>
                <w:rFonts w:ascii="標楷體" w:eastAsia="標楷體" w:hAnsi="標楷體" w:cs="新細明體" w:hint="eastAsia"/>
                <w:color w:val="000000"/>
                <w:kern w:val="0"/>
                <w:sz w:val="30"/>
                <w:szCs w:val="30"/>
              </w:rPr>
              <w:br/>
              <w:t>114年版：</w:t>
            </w:r>
            <w:r>
              <w:rPr>
                <w:rFonts w:ascii="標楷體" w:eastAsia="標楷體" w:hAnsi="標楷體" w:cs="新細明體" w:hint="eastAsia"/>
                <w:color w:val="000000"/>
                <w:kern w:val="0"/>
                <w:sz w:val="30"/>
                <w:szCs w:val="30"/>
              </w:rPr>
              <w:t>無</w:t>
            </w:r>
          </w:p>
        </w:tc>
      </w:tr>
      <w:tr w:rsidR="00862086" w:rsidRPr="00867787" w14:paraId="5F79DBB2" w14:textId="77777777" w:rsidTr="002B1B86">
        <w:trPr>
          <w:trHeight w:val="2316"/>
        </w:trPr>
        <w:tc>
          <w:tcPr>
            <w:tcW w:w="940" w:type="dxa"/>
            <w:tcBorders>
              <w:top w:val="nil"/>
              <w:left w:val="single" w:sz="4" w:space="0" w:color="auto"/>
              <w:bottom w:val="single" w:sz="4" w:space="0" w:color="auto"/>
              <w:right w:val="single" w:sz="4" w:space="0" w:color="auto"/>
            </w:tcBorders>
            <w:hideMark/>
          </w:tcPr>
          <w:p w14:paraId="3D90F365" w14:textId="1AC7CE5B" w:rsidR="00A7760F" w:rsidRPr="00577F4F" w:rsidRDefault="005C1E8F">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t>5</w:t>
            </w:r>
          </w:p>
        </w:tc>
        <w:tc>
          <w:tcPr>
            <w:tcW w:w="1820" w:type="dxa"/>
            <w:tcBorders>
              <w:top w:val="nil"/>
              <w:left w:val="nil"/>
              <w:bottom w:val="single" w:sz="4" w:space="0" w:color="auto"/>
              <w:right w:val="single" w:sz="4" w:space="0" w:color="auto"/>
            </w:tcBorders>
            <w:hideMark/>
          </w:tcPr>
          <w:p w14:paraId="7CD63FDB" w14:textId="77777777" w:rsidR="00862086" w:rsidRPr="00867787" w:rsidRDefault="00862086" w:rsidP="00867787">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使用電子支付系統清償之金融負債</w:t>
            </w:r>
          </w:p>
        </w:tc>
        <w:tc>
          <w:tcPr>
            <w:tcW w:w="2320" w:type="dxa"/>
            <w:tcBorders>
              <w:top w:val="nil"/>
              <w:left w:val="nil"/>
              <w:bottom w:val="single" w:sz="4" w:space="0" w:color="auto"/>
              <w:right w:val="single" w:sz="4" w:space="0" w:color="auto"/>
            </w:tcBorders>
            <w:hideMark/>
          </w:tcPr>
          <w:p w14:paraId="425CB06A"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78E8B616"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現金及約當現金</w:t>
            </w:r>
            <w:r w:rsidRPr="00867787">
              <w:rPr>
                <w:rFonts w:ascii="標楷體" w:eastAsia="標楷體" w:hAnsi="標楷體" w:cs="新細明體" w:hint="eastAsia"/>
                <w:kern w:val="0"/>
                <w:sz w:val="30"/>
                <w:szCs w:val="30"/>
              </w:rPr>
              <w:br/>
              <w:t>金融負債</w:t>
            </w:r>
          </w:p>
        </w:tc>
        <w:tc>
          <w:tcPr>
            <w:tcW w:w="4180" w:type="dxa"/>
            <w:tcBorders>
              <w:top w:val="nil"/>
              <w:left w:val="nil"/>
              <w:bottom w:val="single" w:sz="4" w:space="0" w:color="auto"/>
              <w:right w:val="single" w:sz="4" w:space="0" w:color="auto"/>
            </w:tcBorders>
            <w:hideMark/>
          </w:tcPr>
          <w:p w14:paraId="129E5332" w14:textId="7E444316" w:rsidR="00862086" w:rsidRPr="00867787" w:rsidRDefault="00862086" w:rsidP="0035647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新增IFRS9.</w:t>
            </w:r>
            <w:r>
              <w:rPr>
                <w:rFonts w:ascii="標楷體" w:eastAsia="標楷體" w:hAnsi="標楷體" w:cs="新細明體" w:hint="eastAsia"/>
                <w:kern w:val="0"/>
                <w:sz w:val="30"/>
                <w:szCs w:val="30"/>
              </w:rPr>
              <w:t>第</w:t>
            </w:r>
            <w:r w:rsidRPr="00356475">
              <w:rPr>
                <w:rFonts w:ascii="標楷體" w:eastAsia="標楷體" w:hAnsi="標楷體" w:cs="新細明體"/>
                <w:kern w:val="0"/>
                <w:sz w:val="30"/>
                <w:szCs w:val="30"/>
              </w:rPr>
              <w:t>B3.1.2A</w:t>
            </w:r>
            <w:r>
              <w:rPr>
                <w:rFonts w:ascii="標楷體" w:eastAsia="標楷體" w:hAnsi="標楷體" w:cs="新細明體" w:hint="eastAsia"/>
                <w:kern w:val="0"/>
                <w:sz w:val="30"/>
                <w:szCs w:val="30"/>
              </w:rPr>
              <w:t>及</w:t>
            </w:r>
            <w:r w:rsidRPr="00867787">
              <w:rPr>
                <w:rFonts w:ascii="標楷體" w:eastAsia="標楷體" w:hAnsi="標楷體" w:cs="新細明體" w:hint="eastAsia"/>
                <w:kern w:val="0"/>
                <w:sz w:val="30"/>
                <w:szCs w:val="30"/>
              </w:rPr>
              <w:t>B3.3.8</w:t>
            </w:r>
            <w:r>
              <w:rPr>
                <w:rFonts w:ascii="標楷體" w:eastAsia="標楷體" w:hAnsi="標楷體" w:cs="新細明體" w:hint="eastAsia"/>
                <w:kern w:val="0"/>
                <w:sz w:val="30"/>
                <w:szCs w:val="30"/>
              </w:rPr>
              <w:t>至</w:t>
            </w:r>
            <w:r w:rsidRPr="00867787">
              <w:rPr>
                <w:rFonts w:ascii="標楷體" w:eastAsia="標楷體" w:hAnsi="標楷體" w:cs="新細明體" w:hint="eastAsia"/>
                <w:kern w:val="0"/>
                <w:sz w:val="30"/>
                <w:szCs w:val="30"/>
              </w:rPr>
              <w:t>B3.3.10</w:t>
            </w:r>
            <w:r>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114年版：無</w:t>
            </w:r>
          </w:p>
        </w:tc>
        <w:tc>
          <w:tcPr>
            <w:tcW w:w="9496" w:type="dxa"/>
            <w:tcBorders>
              <w:top w:val="nil"/>
              <w:left w:val="nil"/>
              <w:bottom w:val="single" w:sz="4" w:space="0" w:color="auto"/>
              <w:right w:val="single" w:sz="4" w:space="0" w:color="auto"/>
            </w:tcBorders>
            <w:hideMark/>
          </w:tcPr>
          <w:p w14:paraId="5EEA598A" w14:textId="455FBA08" w:rsidR="00862086" w:rsidRDefault="00862086">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1.</w:t>
            </w:r>
            <w:r>
              <w:rPr>
                <w:rFonts w:ascii="標楷體" w:eastAsia="標楷體" w:hAnsi="標楷體" w:cs="新細明體" w:hint="eastAsia"/>
                <w:kern w:val="0"/>
                <w:sz w:val="30"/>
                <w:szCs w:val="30"/>
              </w:rPr>
              <w:t>雖有</w:t>
            </w:r>
            <w:r w:rsidRPr="00356475">
              <w:rPr>
                <w:rFonts w:ascii="標楷體" w:eastAsia="標楷體" w:hAnsi="標楷體" w:cs="新細明體" w:hint="eastAsia"/>
                <w:kern w:val="0"/>
                <w:sz w:val="30"/>
                <w:szCs w:val="30"/>
              </w:rPr>
              <w:t>金融負債係於交割日除列</w:t>
            </w:r>
            <w:r>
              <w:rPr>
                <w:rFonts w:ascii="標楷體" w:eastAsia="標楷體" w:hAnsi="標楷體" w:cs="新細明體" w:hint="eastAsia"/>
                <w:kern w:val="0"/>
                <w:sz w:val="30"/>
                <w:szCs w:val="30"/>
              </w:rPr>
              <w:t>之規定，</w:t>
            </w:r>
            <w:r w:rsidRPr="00867787">
              <w:rPr>
                <w:rFonts w:ascii="標楷體" w:eastAsia="標楷體" w:hAnsi="標楷體" w:cs="新細明體" w:hint="eastAsia"/>
                <w:kern w:val="0"/>
                <w:sz w:val="30"/>
                <w:szCs w:val="30"/>
              </w:rPr>
              <w:t>使用電子支付系統以現金清償金融負債</w:t>
            </w:r>
            <w:r>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或部分金融負債</w:t>
            </w:r>
            <w:r>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時，</w:t>
            </w:r>
            <w:proofErr w:type="gramStart"/>
            <w:r w:rsidRPr="00867787">
              <w:rPr>
                <w:rFonts w:ascii="標楷體" w:eastAsia="標楷體" w:hAnsi="標楷體" w:cs="新細明體" w:hint="eastAsia"/>
                <w:kern w:val="0"/>
                <w:sz w:val="30"/>
                <w:szCs w:val="30"/>
              </w:rPr>
              <w:t>於且僅</w:t>
            </w:r>
            <w:proofErr w:type="gramEnd"/>
            <w:r w:rsidRPr="00867787">
              <w:rPr>
                <w:rFonts w:ascii="標楷體" w:eastAsia="標楷體" w:hAnsi="標楷體" w:cs="新細明體" w:hint="eastAsia"/>
                <w:kern w:val="0"/>
                <w:sz w:val="30"/>
                <w:szCs w:val="30"/>
              </w:rPr>
              <w:t>於</w:t>
            </w:r>
            <w:r w:rsidRPr="0035647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已啟動導致下列事項之支付指示之情況下，</w:t>
            </w:r>
            <w:r w:rsidRPr="0035647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始得認定該金融負債</w:t>
            </w:r>
            <w:r>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或其部分</w:t>
            </w:r>
            <w:r>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於交割日前被清償</w:t>
            </w:r>
            <w:r>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t>(a)</w:t>
            </w:r>
            <w:r w:rsidRPr="0035647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不具有撤回、停止或取消該支付指示之實際能力；</w:t>
            </w:r>
            <w:r w:rsidRPr="00867787">
              <w:rPr>
                <w:rFonts w:ascii="標楷體" w:eastAsia="標楷體" w:hAnsi="標楷體" w:cs="新細明體" w:hint="eastAsia"/>
                <w:kern w:val="0"/>
                <w:sz w:val="30"/>
                <w:szCs w:val="30"/>
              </w:rPr>
              <w:br/>
              <w:t>(b)</w:t>
            </w:r>
            <w:r w:rsidRPr="0035647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因該支付指示而不具有取用將被用於交割之現金之實際能力；且</w:t>
            </w:r>
            <w:r w:rsidRPr="00867787">
              <w:rPr>
                <w:rFonts w:ascii="標楷體" w:eastAsia="標楷體" w:hAnsi="標楷體" w:cs="新細明體" w:hint="eastAsia"/>
                <w:kern w:val="0"/>
                <w:sz w:val="30"/>
                <w:szCs w:val="30"/>
              </w:rPr>
              <w:br/>
              <w:t>(c)與該電子支付系統相關之交割風險並不顯著。</w:t>
            </w:r>
            <w:r w:rsidRPr="00867787">
              <w:rPr>
                <w:rFonts w:ascii="標楷體" w:eastAsia="標楷體" w:hAnsi="標楷體" w:cs="新細明體" w:hint="eastAsia"/>
                <w:kern w:val="0"/>
                <w:sz w:val="30"/>
                <w:szCs w:val="30"/>
              </w:rPr>
              <w:br/>
              <w:t>若電子支付系統之特性為支付指示之完成係遵循標準行政流程，且</w:t>
            </w:r>
            <w:r w:rsidRPr="001C2DFB">
              <w:rPr>
                <w:rFonts w:ascii="標楷體" w:eastAsia="標楷體" w:hAnsi="標楷體" w:cs="新細明體" w:hint="eastAsia"/>
                <w:kern w:val="0"/>
                <w:sz w:val="30"/>
                <w:szCs w:val="30"/>
              </w:rPr>
              <w:t>符合</w:t>
            </w:r>
            <w:r>
              <w:rPr>
                <w:rFonts w:ascii="標楷體" w:eastAsia="標楷體" w:hAnsi="標楷體" w:cs="新細明體" w:hint="eastAsia"/>
                <w:kern w:val="0"/>
                <w:sz w:val="30"/>
                <w:szCs w:val="30"/>
              </w:rPr>
              <w:lastRenderedPageBreak/>
              <w:t>前述(a)及(b)之條件與</w:t>
            </w:r>
            <w:r w:rsidRPr="00867787">
              <w:rPr>
                <w:rFonts w:ascii="標楷體" w:eastAsia="標楷體" w:hAnsi="標楷體" w:cs="新細明體" w:hint="eastAsia"/>
                <w:kern w:val="0"/>
                <w:sz w:val="30"/>
                <w:szCs w:val="30"/>
              </w:rPr>
              <w:t>交付現金予交易對方間之時間為短，則與該電子支付系統相關之交割風險不顯著。惟若支付指示之完成係受限於</w:t>
            </w:r>
            <w:r>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於交割日交付現金之能力，則交割風險並非不顯著。</w:t>
            </w:r>
            <w:r w:rsidRPr="00867787">
              <w:rPr>
                <w:rFonts w:ascii="標楷體" w:eastAsia="標楷體" w:hAnsi="標楷體" w:cs="新細明體" w:hint="eastAsia"/>
                <w:kern w:val="0"/>
                <w:sz w:val="30"/>
                <w:szCs w:val="30"/>
              </w:rPr>
              <w:br/>
              <w:t>2.選擇</w:t>
            </w:r>
            <w:r>
              <w:rPr>
                <w:rFonts w:ascii="標楷體" w:eastAsia="標楷體" w:hAnsi="標楷體" w:cs="新細明體" w:hint="eastAsia"/>
                <w:kern w:val="0"/>
                <w:sz w:val="30"/>
                <w:szCs w:val="30"/>
              </w:rPr>
              <w:t>將前述1.之規定</w:t>
            </w:r>
            <w:r w:rsidRPr="00867787">
              <w:rPr>
                <w:rFonts w:ascii="標楷體" w:eastAsia="標楷體" w:hAnsi="標楷體" w:cs="新細明體" w:hint="eastAsia"/>
                <w:kern w:val="0"/>
                <w:sz w:val="30"/>
                <w:szCs w:val="30"/>
              </w:rPr>
              <w:t>適用於使用某一電子支付系統清償金融負債(或部分金融負債)之</w:t>
            </w:r>
            <w:r>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，應將該</w:t>
            </w:r>
            <w:r>
              <w:rPr>
                <w:rFonts w:ascii="標楷體" w:eastAsia="標楷體" w:hAnsi="標楷體" w:cs="新細明體" w:hint="eastAsia"/>
                <w:kern w:val="0"/>
                <w:sz w:val="30"/>
                <w:szCs w:val="30"/>
              </w:rPr>
              <w:t>規定</w:t>
            </w:r>
            <w:r w:rsidRPr="00867787">
              <w:rPr>
                <w:rFonts w:ascii="標楷體" w:eastAsia="標楷體" w:hAnsi="標楷體" w:cs="新細明體" w:hint="eastAsia"/>
                <w:kern w:val="0"/>
                <w:sz w:val="30"/>
                <w:szCs w:val="30"/>
              </w:rPr>
              <w:t>適用於透過同一電子支付系統所作之所有清償。</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114年版：無</w:t>
            </w:r>
          </w:p>
        </w:tc>
      </w:tr>
      <w:tr w:rsidR="00862086" w:rsidRPr="00867787" w14:paraId="7DEF2CE9" w14:textId="77777777" w:rsidTr="002B1B86">
        <w:trPr>
          <w:trHeight w:val="4050"/>
        </w:trPr>
        <w:tc>
          <w:tcPr>
            <w:tcW w:w="940" w:type="dxa"/>
            <w:tcBorders>
              <w:top w:val="nil"/>
              <w:left w:val="single" w:sz="4" w:space="0" w:color="auto"/>
              <w:bottom w:val="single" w:sz="4" w:space="0" w:color="auto"/>
              <w:right w:val="single" w:sz="4" w:space="0" w:color="auto"/>
            </w:tcBorders>
            <w:hideMark/>
          </w:tcPr>
          <w:p w14:paraId="60EE3053" w14:textId="0470B1A2" w:rsidR="00A7760F" w:rsidRPr="00577F4F" w:rsidRDefault="005C1E8F">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lastRenderedPageBreak/>
              <w:t>6</w:t>
            </w:r>
          </w:p>
        </w:tc>
        <w:tc>
          <w:tcPr>
            <w:tcW w:w="1820" w:type="dxa"/>
            <w:tcBorders>
              <w:top w:val="nil"/>
              <w:left w:val="nil"/>
              <w:bottom w:val="single" w:sz="4" w:space="0" w:color="auto"/>
              <w:right w:val="single" w:sz="4" w:space="0" w:color="auto"/>
            </w:tcBorders>
            <w:hideMark/>
          </w:tcPr>
          <w:p w14:paraId="2CC0D93D" w14:textId="77777777" w:rsidR="00862086" w:rsidRPr="00867787" w:rsidRDefault="00862086" w:rsidP="00867787">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涉及依賴自然電力之合約</w:t>
            </w:r>
          </w:p>
        </w:tc>
        <w:tc>
          <w:tcPr>
            <w:tcW w:w="2320" w:type="dxa"/>
            <w:tcBorders>
              <w:top w:val="nil"/>
              <w:left w:val="nil"/>
              <w:bottom w:val="single" w:sz="4" w:space="0" w:color="auto"/>
              <w:right w:val="single" w:sz="4" w:space="0" w:color="auto"/>
            </w:tcBorders>
            <w:hideMark/>
          </w:tcPr>
          <w:p w14:paraId="7D5AC103"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1DAB97B6"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透過損益按公允價值衡量之金融資產</w:t>
            </w:r>
          </w:p>
        </w:tc>
        <w:tc>
          <w:tcPr>
            <w:tcW w:w="4180" w:type="dxa"/>
            <w:tcBorders>
              <w:top w:val="nil"/>
              <w:left w:val="nil"/>
              <w:bottom w:val="single" w:sz="4" w:space="0" w:color="auto"/>
              <w:right w:val="single" w:sz="4" w:space="0" w:color="auto"/>
            </w:tcBorders>
            <w:hideMark/>
          </w:tcPr>
          <w:p w14:paraId="5AE7F243" w14:textId="30457049" w:rsidR="00862086" w:rsidRPr="00867787" w:rsidRDefault="00862086" w:rsidP="00D5655F">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新增IFRS9.</w:t>
            </w:r>
            <w:r>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2.3A</w:t>
            </w:r>
            <w:r>
              <w:rPr>
                <w:rFonts w:ascii="標楷體" w:eastAsia="標楷體" w:hAnsi="標楷體" w:cs="新細明體" w:hint="eastAsia"/>
                <w:kern w:val="0"/>
                <w:sz w:val="30"/>
                <w:szCs w:val="30"/>
              </w:rPr>
              <w:t>至</w:t>
            </w:r>
            <w:r w:rsidRPr="00867787">
              <w:rPr>
                <w:rFonts w:ascii="標楷體" w:eastAsia="標楷體" w:hAnsi="標楷體" w:cs="新細明體" w:hint="eastAsia"/>
                <w:kern w:val="0"/>
                <w:sz w:val="30"/>
                <w:szCs w:val="30"/>
              </w:rPr>
              <w:t>2.3B</w:t>
            </w:r>
            <w:r>
              <w:rPr>
                <w:rFonts w:ascii="標楷體" w:eastAsia="標楷體" w:hAnsi="標楷體" w:cs="新細明體" w:hint="eastAsia"/>
                <w:kern w:val="0"/>
                <w:sz w:val="30"/>
                <w:szCs w:val="30"/>
              </w:rPr>
              <w:t>及</w:t>
            </w:r>
            <w:r w:rsidRPr="00867787">
              <w:rPr>
                <w:rFonts w:ascii="標楷體" w:eastAsia="標楷體" w:hAnsi="標楷體" w:cs="新細明體" w:hint="eastAsia"/>
                <w:kern w:val="0"/>
                <w:sz w:val="30"/>
                <w:szCs w:val="30"/>
              </w:rPr>
              <w:t>B2.7~B2.8</w:t>
            </w:r>
            <w:r>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t>114年版：無</w:t>
            </w:r>
          </w:p>
        </w:tc>
        <w:tc>
          <w:tcPr>
            <w:tcW w:w="9496" w:type="dxa"/>
            <w:tcBorders>
              <w:top w:val="nil"/>
              <w:left w:val="nil"/>
              <w:bottom w:val="single" w:sz="4" w:space="0" w:color="auto"/>
              <w:right w:val="single" w:sz="4" w:space="0" w:color="auto"/>
            </w:tcBorders>
            <w:hideMark/>
          </w:tcPr>
          <w:p w14:paraId="0F45E9AE" w14:textId="35DBA27D" w:rsidR="00862086" w:rsidRDefault="00862086" w:rsidP="00D5655F">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1.</w:t>
            </w:r>
            <w:r w:rsidRPr="00D5655F">
              <w:rPr>
                <w:rFonts w:ascii="標楷體" w:eastAsia="標楷體" w:hAnsi="標楷體" w:cs="新細明體" w:hint="eastAsia"/>
                <w:kern w:val="0"/>
                <w:sz w:val="30"/>
                <w:szCs w:val="30"/>
              </w:rPr>
              <w:t>涉及依賴自然電力之合約，係指</w:t>
            </w:r>
            <w:r w:rsidRPr="00867787">
              <w:rPr>
                <w:rFonts w:ascii="標楷體" w:eastAsia="標楷體" w:hAnsi="標楷體" w:cs="新細明體" w:hint="eastAsia"/>
                <w:kern w:val="0"/>
                <w:sz w:val="30"/>
                <w:szCs w:val="30"/>
              </w:rPr>
              <w:t>使個體因發電之來源取決於無法控制之自然狀況(例如天氣)而暴露於標的電力數量變異性之合約</w:t>
            </w:r>
            <w:r w:rsidRPr="00D5655F">
              <w:rPr>
                <w:rFonts w:ascii="標楷體" w:eastAsia="標楷體" w:hAnsi="標楷體" w:cs="新細明體" w:hint="eastAsia"/>
                <w:kern w:val="0"/>
                <w:sz w:val="30"/>
                <w:szCs w:val="30"/>
              </w:rPr>
              <w:t>，包括購買或出售依賴自然電力之合約及涉及此電力之金融工具兩者</w:t>
            </w:r>
            <w:r w:rsidRPr="00867787">
              <w:rPr>
                <w:rFonts w:ascii="標楷體" w:eastAsia="標楷體" w:hAnsi="標楷體" w:cs="新細明體" w:hint="eastAsia"/>
                <w:kern w:val="0"/>
                <w:sz w:val="30"/>
                <w:szCs w:val="30"/>
              </w:rPr>
              <w:t>。</w:t>
            </w:r>
          </w:p>
          <w:p w14:paraId="08227CED" w14:textId="34AA09F4" w:rsidR="00862086" w:rsidRDefault="00862086" w:rsidP="007B1ABA">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t>2.</w:t>
            </w:r>
            <w:r w:rsidRPr="00867787">
              <w:rPr>
                <w:rFonts w:ascii="標楷體" w:eastAsia="標楷體" w:hAnsi="標楷體" w:cs="新細明體" w:hint="eastAsia"/>
                <w:kern w:val="0"/>
                <w:sz w:val="30"/>
                <w:szCs w:val="30"/>
              </w:rPr>
              <w:t>某些涉及依賴自然電力之合約</w:t>
            </w:r>
            <w:r w:rsidRPr="00685322">
              <w:rPr>
                <w:rFonts w:ascii="標楷體" w:eastAsia="標楷體" w:hAnsi="標楷體" w:cs="新細明體" w:hint="eastAsia"/>
                <w:kern w:val="0"/>
                <w:sz w:val="30"/>
                <w:szCs w:val="30"/>
              </w:rPr>
              <w:t>規定個體於發電時購買並取得該電力</w:t>
            </w:r>
            <w:r>
              <w:rPr>
                <w:rFonts w:ascii="標楷體" w:eastAsia="標楷體" w:hAnsi="標楷體" w:cs="新細明體" w:hint="eastAsia"/>
                <w:kern w:val="0"/>
                <w:sz w:val="30"/>
                <w:szCs w:val="30"/>
              </w:rPr>
              <w:t>。此等合約</w:t>
            </w:r>
            <w:r w:rsidRPr="00867787">
              <w:rPr>
                <w:rFonts w:ascii="標楷體" w:eastAsia="標楷體" w:hAnsi="標楷體" w:cs="新細明體" w:hint="eastAsia"/>
                <w:kern w:val="0"/>
                <w:sz w:val="30"/>
                <w:szCs w:val="30"/>
              </w:rPr>
              <w:t>特性使</w:t>
            </w:r>
            <w:r>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暴露於將須在其無法使用電力之交付期間內購買該電力之風險</w:t>
            </w:r>
            <w:r>
              <w:rPr>
                <w:rFonts w:ascii="標楷體" w:eastAsia="標楷體" w:hAnsi="標楷體" w:cs="新細明體" w:hint="eastAsia"/>
                <w:kern w:val="0"/>
                <w:sz w:val="30"/>
                <w:szCs w:val="30"/>
              </w:rPr>
              <w:t>；個體亦可能</w:t>
            </w:r>
            <w:r w:rsidRPr="00685322">
              <w:rPr>
                <w:rFonts w:ascii="標楷體" w:eastAsia="標楷體" w:hAnsi="標楷體" w:cs="新細明體" w:hint="eastAsia"/>
                <w:kern w:val="0"/>
                <w:sz w:val="30"/>
                <w:szCs w:val="30"/>
              </w:rPr>
              <w:t>不具有避免出售未使用電力之實際能力，</w:t>
            </w:r>
            <w:r>
              <w:rPr>
                <w:rFonts w:ascii="標楷體" w:eastAsia="標楷體" w:hAnsi="標楷體" w:cs="新細明體" w:hint="eastAsia"/>
                <w:kern w:val="0"/>
                <w:sz w:val="30"/>
                <w:szCs w:val="30"/>
              </w:rPr>
              <w:t>因依</w:t>
            </w:r>
            <w:r w:rsidRPr="00867787">
              <w:rPr>
                <w:rFonts w:ascii="標楷體" w:eastAsia="標楷體" w:hAnsi="標楷體" w:cs="新細明體" w:hint="eastAsia"/>
                <w:kern w:val="0"/>
                <w:sz w:val="30"/>
                <w:szCs w:val="30"/>
              </w:rPr>
              <w:t>該合約下電力所交易之電力市場</w:t>
            </w:r>
            <w:r>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設計及運作，未使用電力之任何數量須於特定時間內出售。</w:t>
            </w:r>
            <w:r w:rsidRPr="007B1ABA">
              <w:rPr>
                <w:rFonts w:ascii="標楷體" w:eastAsia="標楷體" w:hAnsi="標楷體" w:cs="新細明體" w:hint="eastAsia"/>
                <w:kern w:val="0"/>
                <w:sz w:val="30"/>
                <w:szCs w:val="30"/>
              </w:rPr>
              <w:t>若個體於該合約期間已係（且預期將係）電力之</w:t>
            </w:r>
            <w:r w:rsidRPr="007B1ABA">
              <w:rPr>
                <w:rFonts w:ascii="標楷體" w:eastAsia="標楷體" w:hAnsi="標楷體" w:cs="新細明體" w:hint="eastAsia"/>
                <w:kern w:val="0"/>
                <w:sz w:val="30"/>
                <w:szCs w:val="30"/>
              </w:rPr>
              <w:lastRenderedPageBreak/>
              <w:t>淨購買者，則個體依其預期電力使用之需求簽訂並持續持有此合約。若個體於其出售電力之同一市場中購買足夠之電力以抵銷任何未使用電力之出售，則個體係電力之淨購買者。個體係電力之淨購買者時</w:t>
            </w:r>
            <w:r>
              <w:rPr>
                <w:rFonts w:ascii="標楷體" w:eastAsia="標楷體" w:hAnsi="標楷體" w:cs="新細明體" w:hint="eastAsia"/>
                <w:kern w:val="0"/>
                <w:sz w:val="30"/>
                <w:szCs w:val="30"/>
              </w:rPr>
              <w:t>，適用IFRS9第2.4段中本身使用之例外規定。</w:t>
            </w:r>
          </w:p>
          <w:p w14:paraId="2E1F32DE" w14:textId="1E475EC7" w:rsidR="00862086" w:rsidRPr="00867787" w:rsidRDefault="00862086" w:rsidP="00CE4C9D">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t>3.</w:t>
            </w:r>
            <w:r w:rsidRPr="007B1ABA">
              <w:rPr>
                <w:rFonts w:ascii="標楷體" w:eastAsia="標楷體" w:hAnsi="標楷體" w:cs="新細明體" w:hint="eastAsia"/>
                <w:kern w:val="0"/>
                <w:sz w:val="30"/>
                <w:szCs w:val="30"/>
              </w:rPr>
              <w:t>判定個體是否係電力之淨購買者時，個體應</w:t>
            </w:r>
            <w:r w:rsidRPr="00867787">
              <w:rPr>
                <w:rFonts w:ascii="標楷體" w:eastAsia="標楷體" w:hAnsi="標楷體" w:cs="新細明體" w:hint="eastAsia"/>
                <w:kern w:val="0"/>
                <w:sz w:val="30"/>
                <w:szCs w:val="30"/>
              </w:rPr>
              <w:t>考量有關</w:t>
            </w:r>
            <w:proofErr w:type="gramStart"/>
            <w:r w:rsidRPr="007B1ABA">
              <w:rPr>
                <w:rFonts w:ascii="標楷體" w:eastAsia="標楷體" w:hAnsi="標楷體" w:cs="新細明體" w:hint="eastAsia"/>
                <w:kern w:val="0"/>
                <w:sz w:val="30"/>
                <w:szCs w:val="30"/>
              </w:rPr>
              <w:t>一</w:t>
            </w:r>
            <w:proofErr w:type="gramEnd"/>
            <w:r w:rsidRPr="007B1ABA">
              <w:rPr>
                <w:rFonts w:ascii="標楷體" w:eastAsia="標楷體" w:hAnsi="標楷體" w:cs="新細明體" w:hint="eastAsia"/>
                <w:kern w:val="0"/>
                <w:sz w:val="30"/>
                <w:szCs w:val="30"/>
              </w:rPr>
              <w:t>合理時間</w:t>
            </w:r>
            <w:proofErr w:type="gramStart"/>
            <w:r>
              <w:rPr>
                <w:rFonts w:ascii="標楷體" w:eastAsia="標楷體" w:hAnsi="標楷體" w:cs="新細明體" w:hint="eastAsia"/>
                <w:kern w:val="0"/>
                <w:sz w:val="30"/>
                <w:szCs w:val="30"/>
              </w:rPr>
              <w:t>（</w:t>
            </w:r>
            <w:proofErr w:type="gramEnd"/>
            <w:r w:rsidRPr="007B1ABA">
              <w:rPr>
                <w:rFonts w:ascii="標楷體" w:eastAsia="標楷體" w:hAnsi="標楷體" w:cs="新細明體" w:hint="eastAsia"/>
                <w:kern w:val="0"/>
                <w:sz w:val="30"/>
                <w:szCs w:val="30"/>
              </w:rPr>
              <w:t>藉由考量因自然狀況之季節性週期所預期發電數量之變異性及個體因其營業週期所導致電力需求之變異性</w:t>
            </w:r>
            <w:r>
              <w:rPr>
                <w:rFonts w:ascii="標楷體" w:eastAsia="標楷體" w:hAnsi="標楷體" w:cs="新細明體" w:hint="eastAsia"/>
                <w:kern w:val="0"/>
                <w:sz w:val="30"/>
                <w:szCs w:val="30"/>
              </w:rPr>
              <w:t>以</w:t>
            </w:r>
            <w:r w:rsidRPr="007B1ABA">
              <w:rPr>
                <w:rFonts w:ascii="標楷體" w:eastAsia="標楷體" w:hAnsi="標楷體" w:cs="新細明體" w:hint="eastAsia"/>
                <w:kern w:val="0"/>
                <w:sz w:val="30"/>
                <w:szCs w:val="30"/>
              </w:rPr>
              <w:t>辨認「</w:t>
            </w:r>
            <w:proofErr w:type="gramStart"/>
            <w:r w:rsidRPr="007B1ABA">
              <w:rPr>
                <w:rFonts w:ascii="標楷體" w:eastAsia="標楷體" w:hAnsi="標楷體" w:cs="新細明體" w:hint="eastAsia"/>
                <w:kern w:val="0"/>
                <w:sz w:val="30"/>
                <w:szCs w:val="30"/>
              </w:rPr>
              <w:t>一</w:t>
            </w:r>
            <w:proofErr w:type="gramEnd"/>
            <w:r w:rsidRPr="007B1ABA">
              <w:rPr>
                <w:rFonts w:ascii="標楷體" w:eastAsia="標楷體" w:hAnsi="標楷體" w:cs="新細明體" w:hint="eastAsia"/>
                <w:kern w:val="0"/>
                <w:sz w:val="30"/>
                <w:szCs w:val="30"/>
              </w:rPr>
              <w:t>合理時間」</w:t>
            </w:r>
            <w:r>
              <w:rPr>
                <w:rFonts w:ascii="標楷體" w:eastAsia="標楷體" w:hAnsi="標楷體" w:cs="新細明體" w:hint="eastAsia"/>
                <w:kern w:val="0"/>
                <w:sz w:val="30"/>
                <w:szCs w:val="30"/>
              </w:rPr>
              <w:t>；其</w:t>
            </w:r>
            <w:r w:rsidRPr="00867787">
              <w:rPr>
                <w:rFonts w:ascii="標楷體" w:eastAsia="標楷體" w:hAnsi="標楷體" w:cs="新細明體" w:hint="eastAsia"/>
                <w:kern w:val="0"/>
                <w:sz w:val="30"/>
                <w:szCs w:val="30"/>
              </w:rPr>
              <w:t>不</w:t>
            </w:r>
            <w:r>
              <w:rPr>
                <w:rFonts w:ascii="標楷體" w:eastAsia="標楷體" w:hAnsi="標楷體" w:cs="新細明體" w:hint="eastAsia"/>
                <w:kern w:val="0"/>
                <w:sz w:val="30"/>
                <w:szCs w:val="30"/>
              </w:rPr>
              <w:t>應</w:t>
            </w:r>
            <w:r w:rsidRPr="00867787">
              <w:rPr>
                <w:rFonts w:ascii="標楷體" w:eastAsia="標楷體" w:hAnsi="標楷體" w:cs="新細明體" w:hint="eastAsia"/>
                <w:kern w:val="0"/>
                <w:sz w:val="30"/>
                <w:szCs w:val="30"/>
              </w:rPr>
              <w:t>超過12個月</w:t>
            </w:r>
            <w:proofErr w:type="gramStart"/>
            <w:r>
              <w:rPr>
                <w:rFonts w:ascii="標楷體" w:eastAsia="標楷體" w:hAnsi="標楷體" w:cs="新細明體" w:hint="eastAsia"/>
                <w:kern w:val="0"/>
                <w:sz w:val="30"/>
                <w:szCs w:val="30"/>
              </w:rPr>
              <w:t>）</w:t>
            </w:r>
            <w:proofErr w:type="gramEnd"/>
            <w:r w:rsidRPr="00867787">
              <w:rPr>
                <w:rFonts w:ascii="標楷體" w:eastAsia="標楷體" w:hAnsi="標楷體" w:cs="新細明體" w:hint="eastAsia"/>
                <w:kern w:val="0"/>
                <w:sz w:val="30"/>
                <w:szCs w:val="30"/>
              </w:rPr>
              <w:t>內</w:t>
            </w:r>
            <w:r>
              <w:rPr>
                <w:rFonts w:ascii="標楷體" w:eastAsia="標楷體" w:hAnsi="標楷體" w:cs="新細明體" w:hint="eastAsia"/>
                <w:kern w:val="0"/>
                <w:sz w:val="30"/>
                <w:szCs w:val="30"/>
              </w:rPr>
              <w:t>其</w:t>
            </w:r>
            <w:r w:rsidRPr="00867787">
              <w:rPr>
                <w:rFonts w:ascii="標楷體" w:eastAsia="標楷體" w:hAnsi="標楷體" w:cs="新細明體" w:hint="eastAsia"/>
                <w:kern w:val="0"/>
                <w:sz w:val="30"/>
                <w:szCs w:val="30"/>
              </w:rPr>
              <w:t>過去、當</w:t>
            </w:r>
            <w:r>
              <w:rPr>
                <w:rFonts w:ascii="標楷體" w:eastAsia="標楷體" w:hAnsi="標楷體" w:cs="新細明體" w:hint="eastAsia"/>
                <w:kern w:val="0"/>
                <w:sz w:val="30"/>
                <w:szCs w:val="30"/>
              </w:rPr>
              <w:t>期及</w:t>
            </w:r>
            <w:r w:rsidRPr="00867787">
              <w:rPr>
                <w:rFonts w:ascii="標楷體" w:eastAsia="標楷體" w:hAnsi="標楷體" w:cs="新細明體" w:hint="eastAsia"/>
                <w:kern w:val="0"/>
                <w:sz w:val="30"/>
                <w:szCs w:val="30"/>
              </w:rPr>
              <w:t>預期未來電力交易</w:t>
            </w:r>
            <w:r>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合理且</w:t>
            </w:r>
            <w:r>
              <w:rPr>
                <w:rFonts w:ascii="標楷體" w:eastAsia="標楷體" w:hAnsi="標楷體" w:cs="新細明體" w:hint="eastAsia"/>
                <w:kern w:val="0"/>
                <w:sz w:val="30"/>
                <w:szCs w:val="30"/>
              </w:rPr>
              <w:t>可佐證之</w:t>
            </w:r>
            <w:r w:rsidRPr="00867787">
              <w:rPr>
                <w:rFonts w:ascii="標楷體" w:eastAsia="標楷體" w:hAnsi="標楷體" w:cs="新細明體" w:hint="eastAsia"/>
                <w:kern w:val="0"/>
                <w:sz w:val="30"/>
                <w:szCs w:val="30"/>
              </w:rPr>
              <w:t>資訊</w:t>
            </w:r>
            <w:r w:rsidRPr="007B1ABA">
              <w:rPr>
                <w:rFonts w:ascii="標楷體" w:eastAsia="標楷體" w:hAnsi="標楷體" w:cs="新細明體" w:hint="eastAsia"/>
                <w:kern w:val="0"/>
                <w:sz w:val="30"/>
                <w:szCs w:val="30"/>
              </w:rPr>
              <w:t>（無需過度成本或投入即可取得者）</w:t>
            </w:r>
            <w:r w:rsidRPr="00867787">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114年版：無</w:t>
            </w:r>
          </w:p>
        </w:tc>
      </w:tr>
      <w:tr w:rsidR="00862086" w:rsidRPr="00867787" w14:paraId="4DC4FDBF" w14:textId="77777777" w:rsidTr="002B1B86">
        <w:trPr>
          <w:trHeight w:val="1324"/>
        </w:trPr>
        <w:tc>
          <w:tcPr>
            <w:tcW w:w="940" w:type="dxa"/>
            <w:tcBorders>
              <w:top w:val="nil"/>
              <w:left w:val="single" w:sz="4" w:space="0" w:color="auto"/>
              <w:bottom w:val="single" w:sz="4" w:space="0" w:color="auto"/>
              <w:right w:val="single" w:sz="4" w:space="0" w:color="auto"/>
            </w:tcBorders>
            <w:hideMark/>
          </w:tcPr>
          <w:p w14:paraId="5B9AE4AC" w14:textId="330BB5BC" w:rsidR="00A7760F" w:rsidRPr="00577F4F" w:rsidRDefault="005C1E8F">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lastRenderedPageBreak/>
              <w:t>7</w:t>
            </w:r>
          </w:p>
        </w:tc>
        <w:tc>
          <w:tcPr>
            <w:tcW w:w="1820" w:type="dxa"/>
            <w:tcBorders>
              <w:top w:val="nil"/>
              <w:left w:val="nil"/>
              <w:bottom w:val="single" w:sz="4" w:space="0" w:color="auto"/>
              <w:right w:val="single" w:sz="4" w:space="0" w:color="auto"/>
            </w:tcBorders>
            <w:hideMark/>
          </w:tcPr>
          <w:p w14:paraId="60438867" w14:textId="77777777" w:rsidR="00862086" w:rsidRPr="00867787" w:rsidRDefault="00862086" w:rsidP="00CE4C9D">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涉及依賴自然電力之合約</w:t>
            </w:r>
          </w:p>
        </w:tc>
        <w:tc>
          <w:tcPr>
            <w:tcW w:w="2320" w:type="dxa"/>
            <w:tcBorders>
              <w:top w:val="nil"/>
              <w:left w:val="nil"/>
              <w:bottom w:val="single" w:sz="4" w:space="0" w:color="auto"/>
              <w:right w:val="single" w:sz="4" w:space="0" w:color="auto"/>
            </w:tcBorders>
            <w:hideMark/>
          </w:tcPr>
          <w:p w14:paraId="19D4C32B"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資產負債表</w:t>
            </w:r>
          </w:p>
        </w:tc>
        <w:tc>
          <w:tcPr>
            <w:tcW w:w="2380" w:type="dxa"/>
            <w:tcBorders>
              <w:top w:val="nil"/>
              <w:left w:val="nil"/>
              <w:bottom w:val="single" w:sz="4" w:space="0" w:color="auto"/>
              <w:right w:val="single" w:sz="4" w:space="0" w:color="auto"/>
            </w:tcBorders>
            <w:hideMark/>
          </w:tcPr>
          <w:p w14:paraId="125003BE" w14:textId="77777777" w:rsidR="00862086" w:rsidRPr="00867787" w:rsidRDefault="00862086"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 xml:space="preserve">　</w:t>
            </w:r>
          </w:p>
        </w:tc>
        <w:tc>
          <w:tcPr>
            <w:tcW w:w="4180" w:type="dxa"/>
            <w:tcBorders>
              <w:top w:val="nil"/>
              <w:left w:val="nil"/>
              <w:bottom w:val="single" w:sz="4" w:space="0" w:color="auto"/>
              <w:right w:val="single" w:sz="4" w:space="0" w:color="auto"/>
            </w:tcBorders>
            <w:hideMark/>
          </w:tcPr>
          <w:p w14:paraId="22AC4F91" w14:textId="6347C509" w:rsidR="00862086" w:rsidRPr="00867787" w:rsidRDefault="00862086" w:rsidP="00E636B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新增IFRS9.</w:t>
            </w:r>
            <w:r>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6.10.1</w:t>
            </w:r>
            <w:r>
              <w:rPr>
                <w:rFonts w:ascii="標楷體" w:eastAsia="標楷體" w:hAnsi="標楷體" w:cs="新細明體" w:hint="eastAsia"/>
                <w:kern w:val="0"/>
                <w:sz w:val="30"/>
                <w:szCs w:val="30"/>
              </w:rPr>
              <w:t>至</w:t>
            </w:r>
            <w:r w:rsidRPr="00867787">
              <w:rPr>
                <w:rFonts w:ascii="標楷體" w:eastAsia="標楷體" w:hAnsi="標楷體" w:cs="新細明體" w:hint="eastAsia"/>
                <w:kern w:val="0"/>
                <w:sz w:val="30"/>
                <w:szCs w:val="30"/>
              </w:rPr>
              <w:t>6.10.2</w:t>
            </w:r>
            <w:r>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t>114年版：無</w:t>
            </w:r>
          </w:p>
        </w:tc>
        <w:tc>
          <w:tcPr>
            <w:tcW w:w="9496" w:type="dxa"/>
            <w:tcBorders>
              <w:top w:val="nil"/>
              <w:left w:val="nil"/>
              <w:bottom w:val="single" w:sz="4" w:space="0" w:color="auto"/>
              <w:right w:val="single" w:sz="4" w:space="0" w:color="auto"/>
            </w:tcBorders>
            <w:hideMark/>
          </w:tcPr>
          <w:p w14:paraId="4775225A" w14:textId="66A8484B" w:rsidR="00862086" w:rsidRDefault="00862086"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115年版：某些涉及依賴自然電力之合約於預期電力交易之</w:t>
            </w:r>
            <w:r w:rsidRPr="00502463">
              <w:rPr>
                <w:rFonts w:ascii="標楷體" w:eastAsia="標楷體" w:hAnsi="標楷體" w:cs="新細明體" w:hint="eastAsia"/>
                <w:kern w:val="0"/>
                <w:sz w:val="30"/>
                <w:szCs w:val="30"/>
              </w:rPr>
              <w:t>避險中被指定為避險工具</w:t>
            </w:r>
            <w:r>
              <w:rPr>
                <w:rFonts w:ascii="標楷體" w:eastAsia="標楷體" w:hAnsi="標楷體" w:cs="新細明體" w:hint="eastAsia"/>
                <w:kern w:val="0"/>
                <w:sz w:val="30"/>
                <w:szCs w:val="30"/>
              </w:rPr>
              <w:t>。除IFRS9</w:t>
            </w:r>
            <w:r w:rsidRPr="00502463">
              <w:rPr>
                <w:rFonts w:ascii="標楷體" w:eastAsia="標楷體" w:hAnsi="標楷體" w:cs="新細明體" w:hint="eastAsia"/>
                <w:kern w:val="0"/>
                <w:sz w:val="30"/>
                <w:szCs w:val="30"/>
              </w:rPr>
              <w:t>第6.3.7段之規定外</w:t>
            </w:r>
            <w:r>
              <w:rPr>
                <w:rFonts w:ascii="標楷體" w:eastAsia="標楷體" w:hAnsi="標楷體" w:cs="新細明體" w:hint="eastAsia"/>
                <w:kern w:val="0"/>
                <w:sz w:val="30"/>
                <w:szCs w:val="30"/>
              </w:rPr>
              <w:t>，對於此一避險關係，</w:t>
            </w:r>
            <w:r w:rsidRPr="00502463">
              <w:rPr>
                <w:rFonts w:ascii="標楷體" w:eastAsia="標楷體" w:hAnsi="標楷體" w:cs="新細明體" w:hint="eastAsia"/>
                <w:kern w:val="0"/>
                <w:sz w:val="30"/>
                <w:szCs w:val="30"/>
              </w:rPr>
              <w:t>個體尚得</w:t>
            </w:r>
            <w:r w:rsidRPr="00867787">
              <w:rPr>
                <w:rFonts w:ascii="標楷體" w:eastAsia="標楷體" w:hAnsi="標楷體" w:cs="新細明體" w:hint="eastAsia"/>
                <w:kern w:val="0"/>
                <w:sz w:val="30"/>
                <w:szCs w:val="30"/>
              </w:rPr>
              <w:t>將</w:t>
            </w:r>
            <w:proofErr w:type="gramStart"/>
            <w:r w:rsidRPr="00867787">
              <w:rPr>
                <w:rFonts w:ascii="標楷體" w:eastAsia="標楷體" w:hAnsi="標楷體" w:cs="新細明體" w:hint="eastAsia"/>
                <w:kern w:val="0"/>
                <w:sz w:val="30"/>
                <w:szCs w:val="30"/>
              </w:rPr>
              <w:t>與該避險</w:t>
            </w:r>
            <w:proofErr w:type="gramEnd"/>
            <w:r w:rsidRPr="00867787">
              <w:rPr>
                <w:rFonts w:ascii="標楷體" w:eastAsia="標楷體" w:hAnsi="標楷體" w:cs="新細明體" w:hint="eastAsia"/>
                <w:kern w:val="0"/>
                <w:sz w:val="30"/>
                <w:szCs w:val="30"/>
              </w:rPr>
              <w:t>工具中所涉及之發電設施預期將交付之依賴自然電力之變動數量一致</w:t>
            </w:r>
            <w:r w:rsidRPr="00502463">
              <w:rPr>
                <w:rFonts w:ascii="標楷體" w:eastAsia="標楷體" w:hAnsi="標楷體" w:cs="新細明體" w:hint="eastAsia"/>
                <w:kern w:val="0"/>
                <w:sz w:val="30"/>
                <w:szCs w:val="30"/>
              </w:rPr>
              <w:t>之預期電力交易之變動名目數量</w:t>
            </w:r>
            <w:r w:rsidRPr="00867787">
              <w:rPr>
                <w:rFonts w:ascii="標楷體" w:eastAsia="標楷體" w:hAnsi="標楷體" w:cs="新細明體" w:hint="eastAsia"/>
                <w:kern w:val="0"/>
                <w:sz w:val="30"/>
                <w:szCs w:val="30"/>
              </w:rPr>
              <w:t>，指定</w:t>
            </w:r>
            <w:proofErr w:type="gramStart"/>
            <w:r w:rsidRPr="00867787">
              <w:rPr>
                <w:rFonts w:ascii="標楷體" w:eastAsia="標楷體" w:hAnsi="標楷體" w:cs="新細明體" w:hint="eastAsia"/>
                <w:kern w:val="0"/>
                <w:sz w:val="30"/>
                <w:szCs w:val="30"/>
              </w:rPr>
              <w:t>為被避險</w:t>
            </w:r>
            <w:proofErr w:type="gramEnd"/>
            <w:r w:rsidRPr="00867787">
              <w:rPr>
                <w:rFonts w:ascii="標楷體" w:eastAsia="標楷體" w:hAnsi="標楷體" w:cs="新細明體" w:hint="eastAsia"/>
                <w:kern w:val="0"/>
                <w:sz w:val="30"/>
                <w:szCs w:val="30"/>
              </w:rPr>
              <w:t>項目。</w:t>
            </w:r>
            <w:r w:rsidRPr="00502463">
              <w:rPr>
                <w:rFonts w:ascii="標楷體" w:eastAsia="標楷體" w:hAnsi="標楷體" w:cs="新細明體" w:hint="eastAsia"/>
                <w:kern w:val="0"/>
                <w:sz w:val="30"/>
                <w:szCs w:val="30"/>
              </w:rPr>
              <w:t>若</w:t>
            </w:r>
            <w:r>
              <w:rPr>
                <w:rFonts w:ascii="標楷體" w:eastAsia="標楷體" w:hAnsi="標楷體" w:cs="新細明體" w:hint="eastAsia"/>
                <w:kern w:val="0"/>
                <w:sz w:val="30"/>
                <w:szCs w:val="30"/>
              </w:rPr>
              <w:t>前述</w:t>
            </w:r>
            <w:r w:rsidRPr="00502463">
              <w:rPr>
                <w:rFonts w:ascii="標楷體" w:eastAsia="標楷體" w:hAnsi="標楷體" w:cs="新細明體" w:hint="eastAsia"/>
                <w:kern w:val="0"/>
                <w:sz w:val="30"/>
                <w:szCs w:val="30"/>
              </w:rPr>
              <w:t>避險工具之現金流量</w:t>
            </w:r>
            <w:r w:rsidRPr="00867787">
              <w:rPr>
                <w:rFonts w:ascii="標楷體" w:eastAsia="標楷體" w:hAnsi="標楷體" w:cs="新細明體" w:hint="eastAsia"/>
                <w:kern w:val="0"/>
                <w:sz w:val="30"/>
                <w:szCs w:val="30"/>
              </w:rPr>
              <w:t>，</w:t>
            </w:r>
            <w:r w:rsidRPr="00502463">
              <w:rPr>
                <w:rFonts w:ascii="標楷體" w:eastAsia="標楷體" w:hAnsi="標楷體" w:cs="新細明體" w:hint="eastAsia"/>
                <w:kern w:val="0"/>
                <w:sz w:val="30"/>
                <w:szCs w:val="30"/>
              </w:rPr>
              <w:t>係</w:t>
            </w:r>
            <w:r w:rsidRPr="00867787">
              <w:rPr>
                <w:rFonts w:ascii="標楷體" w:eastAsia="標楷體" w:hAnsi="標楷體" w:cs="新細明體" w:hint="eastAsia"/>
                <w:kern w:val="0"/>
                <w:sz w:val="30"/>
                <w:szCs w:val="30"/>
              </w:rPr>
              <w:t>以</w:t>
            </w:r>
            <w:r w:rsidRPr="00502463">
              <w:rPr>
                <w:rFonts w:ascii="標楷體" w:eastAsia="標楷體" w:hAnsi="標楷體" w:cs="新細明體" w:hint="eastAsia"/>
                <w:kern w:val="0"/>
                <w:sz w:val="30"/>
                <w:szCs w:val="30"/>
              </w:rPr>
              <w:t>被</w:t>
            </w:r>
            <w:r w:rsidRPr="00867787">
              <w:rPr>
                <w:rFonts w:ascii="標楷體" w:eastAsia="標楷體" w:hAnsi="標楷體" w:cs="新細明體" w:hint="eastAsia"/>
                <w:kern w:val="0"/>
                <w:sz w:val="30"/>
                <w:szCs w:val="30"/>
              </w:rPr>
              <w:t>指定</w:t>
            </w:r>
            <w:proofErr w:type="gramStart"/>
            <w:r w:rsidRPr="00502463">
              <w:rPr>
                <w:rFonts w:ascii="標楷體" w:eastAsia="標楷體" w:hAnsi="標楷體" w:cs="新細明體" w:hint="eastAsia"/>
                <w:kern w:val="0"/>
                <w:sz w:val="30"/>
                <w:szCs w:val="30"/>
              </w:rPr>
              <w:t>為被避險</w:t>
            </w:r>
            <w:proofErr w:type="gramEnd"/>
            <w:r w:rsidRPr="00502463">
              <w:rPr>
                <w:rFonts w:ascii="標楷體" w:eastAsia="標楷體" w:hAnsi="標楷體" w:cs="新細明體" w:hint="eastAsia"/>
                <w:kern w:val="0"/>
                <w:sz w:val="30"/>
                <w:szCs w:val="30"/>
              </w:rPr>
              <w:t>項目之</w:t>
            </w:r>
            <w:r w:rsidRPr="00867787">
              <w:rPr>
                <w:rFonts w:ascii="標楷體" w:eastAsia="標楷體" w:hAnsi="標楷體" w:cs="新細明體" w:hint="eastAsia"/>
                <w:kern w:val="0"/>
                <w:sz w:val="30"/>
                <w:szCs w:val="30"/>
              </w:rPr>
              <w:t>預期交易</w:t>
            </w:r>
            <w:r w:rsidRPr="00502463">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發生為條件，則該預期</w:t>
            </w:r>
            <w:proofErr w:type="gramStart"/>
            <w:r w:rsidRPr="00867787">
              <w:rPr>
                <w:rFonts w:ascii="標楷體" w:eastAsia="標楷體" w:hAnsi="標楷體" w:cs="新細明體" w:hint="eastAsia"/>
                <w:kern w:val="0"/>
                <w:sz w:val="30"/>
                <w:szCs w:val="30"/>
              </w:rPr>
              <w:t>交易</w:t>
            </w:r>
            <w:r w:rsidRPr="00502463">
              <w:rPr>
                <w:rFonts w:ascii="標楷體" w:eastAsia="標楷體" w:hAnsi="標楷體" w:cs="新細明體" w:hint="eastAsia"/>
                <w:kern w:val="0"/>
                <w:sz w:val="30"/>
                <w:szCs w:val="30"/>
              </w:rPr>
              <w:t>係</w:t>
            </w:r>
            <w:r w:rsidRPr="00867787">
              <w:rPr>
                <w:rFonts w:ascii="標楷體" w:eastAsia="標楷體" w:hAnsi="標楷體" w:cs="新細明體" w:hint="eastAsia"/>
                <w:kern w:val="0"/>
                <w:sz w:val="30"/>
                <w:szCs w:val="30"/>
              </w:rPr>
              <w:t>推定</w:t>
            </w:r>
            <w:proofErr w:type="gramEnd"/>
            <w:r w:rsidRPr="00867787">
              <w:rPr>
                <w:rFonts w:ascii="標楷體" w:eastAsia="標楷體" w:hAnsi="標楷體" w:cs="新細明體" w:hint="eastAsia"/>
                <w:kern w:val="0"/>
                <w:sz w:val="30"/>
                <w:szCs w:val="30"/>
              </w:rPr>
              <w:t>為高度很有可能。</w:t>
            </w:r>
          </w:p>
          <w:p w14:paraId="73B3A4C5" w14:textId="60EA65BF" w:rsidR="00862086" w:rsidRPr="00867787" w:rsidRDefault="00862086"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lastRenderedPageBreak/>
              <w:br/>
              <w:t>114年版：無</w:t>
            </w:r>
          </w:p>
        </w:tc>
      </w:tr>
    </w:tbl>
    <w:p w14:paraId="3D61BC9A" w14:textId="77777777" w:rsidR="00FE040C" w:rsidRDefault="00FE040C">
      <w:r w:rsidRPr="00867787">
        <w:rPr>
          <w:rFonts w:ascii="標楷體" w:eastAsia="標楷體" w:hAnsi="標楷體" w:cs="新細明體" w:hint="eastAsia"/>
          <w:b/>
          <w:bCs/>
          <w:color w:val="0000FF"/>
          <w:kern w:val="0"/>
          <w:sz w:val="28"/>
          <w:szCs w:val="28"/>
        </w:rPr>
        <w:lastRenderedPageBreak/>
        <w:t>二、重大影響財報附註</w:t>
      </w:r>
    </w:p>
    <w:tbl>
      <w:tblPr>
        <w:tblW w:w="20994" w:type="dxa"/>
        <w:tblInd w:w="13" w:type="dxa"/>
        <w:tblCellMar>
          <w:left w:w="28" w:type="dxa"/>
          <w:right w:w="28" w:type="dxa"/>
        </w:tblCellMar>
        <w:tblLook w:val="04A0" w:firstRow="1" w:lastRow="0" w:firstColumn="1" w:lastColumn="0" w:noHBand="0" w:noVBand="1"/>
      </w:tblPr>
      <w:tblGrid>
        <w:gridCol w:w="940"/>
        <w:gridCol w:w="1980"/>
        <w:gridCol w:w="2900"/>
        <w:gridCol w:w="3500"/>
        <w:gridCol w:w="11674"/>
      </w:tblGrid>
      <w:tr w:rsidR="00867787" w:rsidRPr="00867787" w14:paraId="07B3C242" w14:textId="77777777" w:rsidTr="00FE040C">
        <w:trPr>
          <w:trHeight w:val="390"/>
          <w:tblHeader/>
        </w:trPr>
        <w:tc>
          <w:tcPr>
            <w:tcW w:w="94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98D25A0" w14:textId="77777777" w:rsidR="00867787" w:rsidRPr="00867787" w:rsidRDefault="00867787" w:rsidP="00867787">
            <w:pPr>
              <w:widowControl/>
              <w:rPr>
                <w:rFonts w:ascii="Times New Roman" w:eastAsia="新細明體" w:hAnsi="Times New Roman" w:cs="Times New Roman"/>
                <w:b/>
                <w:bCs/>
                <w:kern w:val="0"/>
                <w:sz w:val="28"/>
                <w:szCs w:val="28"/>
              </w:rPr>
            </w:pPr>
            <w:r w:rsidRPr="00867787">
              <w:rPr>
                <w:rFonts w:ascii="標楷體" w:eastAsia="標楷體" w:hAnsi="標楷體" w:cs="Times New Roman" w:hint="eastAsia"/>
                <w:b/>
                <w:bCs/>
                <w:kern w:val="0"/>
                <w:sz w:val="28"/>
                <w:szCs w:val="28"/>
              </w:rPr>
              <w:t>項次</w:t>
            </w:r>
          </w:p>
        </w:tc>
        <w:tc>
          <w:tcPr>
            <w:tcW w:w="1980" w:type="dxa"/>
            <w:tcBorders>
              <w:top w:val="single" w:sz="4" w:space="0" w:color="auto"/>
              <w:left w:val="nil"/>
              <w:bottom w:val="single" w:sz="4" w:space="0" w:color="auto"/>
              <w:right w:val="single" w:sz="4" w:space="0" w:color="auto"/>
            </w:tcBorders>
            <w:shd w:val="clear" w:color="000000" w:fill="92D050"/>
            <w:vAlign w:val="center"/>
            <w:hideMark/>
          </w:tcPr>
          <w:p w14:paraId="66E9687A" w14:textId="77777777" w:rsidR="00867787" w:rsidRPr="00867787" w:rsidRDefault="00867787" w:rsidP="00867787">
            <w:pPr>
              <w:widowControl/>
              <w:rPr>
                <w:rFonts w:ascii="Times New Roman" w:eastAsia="新細明體" w:hAnsi="Times New Roman" w:cs="Times New Roman"/>
                <w:b/>
                <w:bCs/>
                <w:kern w:val="0"/>
                <w:sz w:val="28"/>
                <w:szCs w:val="28"/>
              </w:rPr>
            </w:pPr>
            <w:r w:rsidRPr="00867787">
              <w:rPr>
                <w:rFonts w:ascii="標楷體" w:eastAsia="標楷體" w:hAnsi="標楷體" w:cs="Times New Roman" w:hint="eastAsia"/>
                <w:b/>
                <w:bCs/>
                <w:kern w:val="0"/>
                <w:sz w:val="28"/>
                <w:szCs w:val="28"/>
              </w:rPr>
              <w:t>議題</w:t>
            </w:r>
          </w:p>
        </w:tc>
        <w:tc>
          <w:tcPr>
            <w:tcW w:w="2900" w:type="dxa"/>
            <w:tcBorders>
              <w:top w:val="single" w:sz="4" w:space="0" w:color="auto"/>
              <w:left w:val="nil"/>
              <w:bottom w:val="single" w:sz="4" w:space="0" w:color="auto"/>
              <w:right w:val="single" w:sz="4" w:space="0" w:color="auto"/>
            </w:tcBorders>
            <w:shd w:val="clear" w:color="000000" w:fill="92D050"/>
            <w:vAlign w:val="center"/>
            <w:hideMark/>
          </w:tcPr>
          <w:p w14:paraId="235A0C1B" w14:textId="77777777" w:rsidR="00867787" w:rsidRPr="00867787" w:rsidRDefault="00867787" w:rsidP="00867787">
            <w:pPr>
              <w:widowControl/>
              <w:rPr>
                <w:rFonts w:ascii="標楷體" w:eastAsia="標楷體" w:hAnsi="標楷體" w:cs="新細明體"/>
                <w:b/>
                <w:bCs/>
                <w:kern w:val="0"/>
                <w:sz w:val="28"/>
                <w:szCs w:val="28"/>
              </w:rPr>
            </w:pPr>
            <w:r w:rsidRPr="00867787">
              <w:rPr>
                <w:rFonts w:ascii="標楷體" w:eastAsia="標楷體" w:hAnsi="標楷體" w:cs="新細明體" w:hint="eastAsia"/>
                <w:b/>
                <w:bCs/>
                <w:kern w:val="0"/>
                <w:sz w:val="28"/>
                <w:szCs w:val="28"/>
              </w:rPr>
              <w:t>會計項目</w:t>
            </w:r>
          </w:p>
        </w:tc>
        <w:tc>
          <w:tcPr>
            <w:tcW w:w="3500" w:type="dxa"/>
            <w:tcBorders>
              <w:top w:val="single" w:sz="4" w:space="0" w:color="auto"/>
              <w:left w:val="nil"/>
              <w:bottom w:val="single" w:sz="4" w:space="0" w:color="auto"/>
              <w:right w:val="single" w:sz="4" w:space="0" w:color="auto"/>
            </w:tcBorders>
            <w:shd w:val="clear" w:color="000000" w:fill="92D050"/>
            <w:vAlign w:val="center"/>
            <w:hideMark/>
          </w:tcPr>
          <w:p w14:paraId="508F1DFB" w14:textId="1B4E3DEF" w:rsidR="00867787" w:rsidRPr="00867787" w:rsidRDefault="007B66D5" w:rsidP="00867787">
            <w:pPr>
              <w:widowControl/>
              <w:rPr>
                <w:rFonts w:ascii="Times New Roman" w:eastAsia="新細明體" w:hAnsi="Times New Roman" w:cs="Times New Roman"/>
                <w:b/>
                <w:bCs/>
                <w:kern w:val="0"/>
                <w:sz w:val="28"/>
                <w:szCs w:val="28"/>
              </w:rPr>
            </w:pPr>
            <w:r>
              <w:rPr>
                <w:rFonts w:ascii="標楷體" w:eastAsia="標楷體" w:hAnsi="標楷體" w:cs="Times New Roman" w:hint="eastAsia"/>
                <w:b/>
                <w:bCs/>
                <w:kern w:val="0"/>
                <w:sz w:val="28"/>
                <w:szCs w:val="28"/>
              </w:rPr>
              <w:t>準則</w:t>
            </w:r>
            <w:r w:rsidR="00867787" w:rsidRPr="00867787">
              <w:rPr>
                <w:rFonts w:ascii="標楷體" w:eastAsia="標楷體" w:hAnsi="標楷體" w:cs="Times New Roman" w:hint="eastAsia"/>
                <w:b/>
                <w:bCs/>
                <w:kern w:val="0"/>
                <w:sz w:val="28"/>
                <w:szCs w:val="28"/>
              </w:rPr>
              <w:t>號次及段落</w:t>
            </w:r>
          </w:p>
        </w:tc>
        <w:tc>
          <w:tcPr>
            <w:tcW w:w="11674" w:type="dxa"/>
            <w:tcBorders>
              <w:top w:val="single" w:sz="4" w:space="0" w:color="auto"/>
              <w:left w:val="nil"/>
              <w:bottom w:val="single" w:sz="4" w:space="0" w:color="auto"/>
              <w:right w:val="single" w:sz="4" w:space="0" w:color="auto"/>
            </w:tcBorders>
            <w:shd w:val="clear" w:color="000000" w:fill="92D050"/>
            <w:vAlign w:val="center"/>
            <w:hideMark/>
          </w:tcPr>
          <w:p w14:paraId="1D7E0C8A" w14:textId="77777777" w:rsidR="00867787" w:rsidRPr="00867787" w:rsidRDefault="00867787" w:rsidP="00867787">
            <w:pPr>
              <w:widowControl/>
              <w:rPr>
                <w:rFonts w:ascii="標楷體" w:eastAsia="標楷體" w:hAnsi="標楷體" w:cs="新細明體"/>
                <w:b/>
                <w:bCs/>
                <w:kern w:val="0"/>
                <w:sz w:val="28"/>
                <w:szCs w:val="28"/>
              </w:rPr>
            </w:pPr>
            <w:r w:rsidRPr="00867787">
              <w:rPr>
                <w:rFonts w:ascii="標楷體" w:eastAsia="標楷體" w:hAnsi="標楷體" w:cs="新細明體" w:hint="eastAsia"/>
                <w:b/>
                <w:bCs/>
                <w:kern w:val="0"/>
                <w:sz w:val="28"/>
                <w:szCs w:val="28"/>
              </w:rPr>
              <w:t>差異內容說明</w:t>
            </w:r>
          </w:p>
        </w:tc>
      </w:tr>
      <w:tr w:rsidR="00867787" w:rsidRPr="00867787" w14:paraId="1781D60F" w14:textId="77777777" w:rsidTr="002B1B86">
        <w:trPr>
          <w:trHeight w:val="1252"/>
        </w:trPr>
        <w:tc>
          <w:tcPr>
            <w:tcW w:w="940" w:type="dxa"/>
            <w:tcBorders>
              <w:top w:val="nil"/>
              <w:left w:val="single" w:sz="4" w:space="0" w:color="auto"/>
              <w:bottom w:val="single" w:sz="4" w:space="0" w:color="auto"/>
              <w:right w:val="single" w:sz="4" w:space="0" w:color="auto"/>
            </w:tcBorders>
            <w:hideMark/>
          </w:tcPr>
          <w:p w14:paraId="16301354" w14:textId="77777777" w:rsidR="00867787" w:rsidRPr="00577F4F" w:rsidRDefault="00867787" w:rsidP="00867787">
            <w:pPr>
              <w:widowControl/>
              <w:rPr>
                <w:rFonts w:ascii="標楷體" w:eastAsia="標楷體" w:hAnsi="標楷體" w:cs="新細明體"/>
                <w:color w:val="000000"/>
                <w:kern w:val="0"/>
                <w:sz w:val="30"/>
                <w:szCs w:val="30"/>
              </w:rPr>
            </w:pPr>
            <w:r w:rsidRPr="00577F4F">
              <w:rPr>
                <w:rFonts w:ascii="標楷體" w:eastAsia="標楷體" w:hAnsi="標楷體" w:cs="新細明體" w:hint="eastAsia"/>
                <w:color w:val="000000"/>
                <w:kern w:val="0"/>
                <w:sz w:val="30"/>
                <w:szCs w:val="30"/>
              </w:rPr>
              <w:t>1</w:t>
            </w:r>
          </w:p>
        </w:tc>
        <w:tc>
          <w:tcPr>
            <w:tcW w:w="1980" w:type="dxa"/>
            <w:tcBorders>
              <w:top w:val="nil"/>
              <w:left w:val="nil"/>
              <w:bottom w:val="single" w:sz="4" w:space="0" w:color="auto"/>
              <w:right w:val="single" w:sz="4" w:space="0" w:color="auto"/>
            </w:tcBorders>
            <w:hideMark/>
          </w:tcPr>
          <w:p w14:paraId="4D623D94" w14:textId="77777777" w:rsidR="00867787" w:rsidRPr="00867787" w:rsidRDefault="00867787" w:rsidP="00867787">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金融資產之合約現金流量特性之評估</w:t>
            </w:r>
          </w:p>
        </w:tc>
        <w:tc>
          <w:tcPr>
            <w:tcW w:w="2900" w:type="dxa"/>
            <w:tcBorders>
              <w:top w:val="nil"/>
              <w:left w:val="nil"/>
              <w:bottom w:val="single" w:sz="4" w:space="0" w:color="auto"/>
              <w:right w:val="single" w:sz="4" w:space="0" w:color="auto"/>
            </w:tcBorders>
            <w:hideMark/>
          </w:tcPr>
          <w:p w14:paraId="4CE13C38"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透過損益按公允價值衡量之金融資產</w:t>
            </w:r>
            <w:r w:rsidRPr="00867787">
              <w:rPr>
                <w:rFonts w:ascii="標楷體" w:eastAsia="標楷體" w:hAnsi="標楷體" w:cs="新細明體" w:hint="eastAsia"/>
                <w:kern w:val="0"/>
                <w:sz w:val="30"/>
                <w:szCs w:val="30"/>
              </w:rPr>
              <w:br/>
              <w:t>透過其他綜合損益按公允價值衡量之金融資產</w:t>
            </w:r>
            <w:r w:rsidRPr="00867787">
              <w:rPr>
                <w:rFonts w:ascii="標楷體" w:eastAsia="標楷體" w:hAnsi="標楷體" w:cs="新細明體" w:hint="eastAsia"/>
                <w:kern w:val="0"/>
                <w:sz w:val="30"/>
                <w:szCs w:val="30"/>
              </w:rPr>
              <w:br/>
            </w:r>
            <w:proofErr w:type="gramStart"/>
            <w:r w:rsidRPr="00867787">
              <w:rPr>
                <w:rFonts w:ascii="標楷體" w:eastAsia="標楷體" w:hAnsi="標楷體" w:cs="新細明體" w:hint="eastAsia"/>
                <w:kern w:val="0"/>
                <w:sz w:val="30"/>
                <w:szCs w:val="30"/>
              </w:rPr>
              <w:t>按攤銷後</w:t>
            </w:r>
            <w:proofErr w:type="gramEnd"/>
            <w:r w:rsidRPr="00867787">
              <w:rPr>
                <w:rFonts w:ascii="標楷體" w:eastAsia="標楷體" w:hAnsi="標楷體" w:cs="新細明體" w:hint="eastAsia"/>
                <w:kern w:val="0"/>
                <w:sz w:val="30"/>
                <w:szCs w:val="30"/>
              </w:rPr>
              <w:t>成本衡量之金融資產/負債</w:t>
            </w:r>
          </w:p>
        </w:tc>
        <w:tc>
          <w:tcPr>
            <w:tcW w:w="3500" w:type="dxa"/>
            <w:tcBorders>
              <w:top w:val="nil"/>
              <w:left w:val="nil"/>
              <w:bottom w:val="single" w:sz="4" w:space="0" w:color="auto"/>
              <w:right w:val="single" w:sz="4" w:space="0" w:color="auto"/>
            </w:tcBorders>
            <w:hideMark/>
          </w:tcPr>
          <w:p w14:paraId="77D007EF" w14:textId="23AAC2BB" w:rsidR="00867787" w:rsidRPr="00867787" w:rsidRDefault="00867787"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新增IFRS7</w:t>
            </w:r>
            <w:r w:rsidR="007B66D5">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20B~20D</w:t>
            </w:r>
            <w:r w:rsidR="007B66D5">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114年版：無</w:t>
            </w:r>
          </w:p>
        </w:tc>
        <w:tc>
          <w:tcPr>
            <w:tcW w:w="11674" w:type="dxa"/>
            <w:tcBorders>
              <w:top w:val="nil"/>
              <w:left w:val="nil"/>
              <w:bottom w:val="single" w:sz="4" w:space="0" w:color="auto"/>
              <w:right w:val="single" w:sz="4" w:space="0" w:color="auto"/>
            </w:tcBorders>
            <w:hideMark/>
          </w:tcPr>
          <w:p w14:paraId="02CD42A1" w14:textId="019F6019" w:rsidR="00867787" w:rsidRPr="00867787" w:rsidRDefault="00867787"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r>
            <w:r w:rsidR="007B66D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應</w:t>
            </w:r>
            <w:proofErr w:type="gramStart"/>
            <w:r w:rsidRPr="00867787">
              <w:rPr>
                <w:rFonts w:ascii="標楷體" w:eastAsia="標楷體" w:hAnsi="標楷體" w:cs="新細明體" w:hint="eastAsia"/>
                <w:kern w:val="0"/>
                <w:sz w:val="30"/>
                <w:szCs w:val="30"/>
              </w:rPr>
              <w:t>依按攤銷後</w:t>
            </w:r>
            <w:proofErr w:type="gramEnd"/>
            <w:r w:rsidRPr="00867787">
              <w:rPr>
                <w:rFonts w:ascii="標楷體" w:eastAsia="標楷體" w:hAnsi="標楷體" w:cs="新細明體" w:hint="eastAsia"/>
                <w:kern w:val="0"/>
                <w:sz w:val="30"/>
                <w:szCs w:val="30"/>
              </w:rPr>
              <w:t>成本衡量或透過其他綜合損益按公允價值衡量之金融資產之類別及</w:t>
            </w:r>
            <w:proofErr w:type="gramStart"/>
            <w:r w:rsidRPr="00867787">
              <w:rPr>
                <w:rFonts w:ascii="標楷體" w:eastAsia="標楷體" w:hAnsi="標楷體" w:cs="新細明體" w:hint="eastAsia"/>
                <w:kern w:val="0"/>
                <w:sz w:val="30"/>
                <w:szCs w:val="30"/>
              </w:rPr>
              <w:t>依按攤銷後</w:t>
            </w:r>
            <w:proofErr w:type="gramEnd"/>
            <w:r w:rsidRPr="00867787">
              <w:rPr>
                <w:rFonts w:ascii="標楷體" w:eastAsia="標楷體" w:hAnsi="標楷體" w:cs="新細明體" w:hint="eastAsia"/>
                <w:kern w:val="0"/>
                <w:sz w:val="30"/>
                <w:szCs w:val="30"/>
              </w:rPr>
              <w:t>成本衡量之金融負債之類別，對基於與基本放款風險及成本(諸如貨幣時間價值或信用風險)非直接相關之或有事項之發生(或不發生)而可能改變合約現金流量金額之合約條款，</w:t>
            </w:r>
            <w:r w:rsidR="007B66D5" w:rsidRPr="00867787">
              <w:rPr>
                <w:rFonts w:ascii="標楷體" w:eastAsia="標楷體" w:hAnsi="標楷體" w:cs="新細明體" w:hint="eastAsia"/>
                <w:kern w:val="0"/>
                <w:sz w:val="30"/>
                <w:szCs w:val="30"/>
              </w:rPr>
              <w:t>揭露</w:t>
            </w:r>
            <w:r w:rsidR="007B66D5">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t>(a)</w:t>
            </w:r>
            <w:proofErr w:type="gramStart"/>
            <w:r w:rsidRPr="00867787">
              <w:rPr>
                <w:rFonts w:ascii="標楷體" w:eastAsia="標楷體" w:hAnsi="標楷體" w:cs="新細明體" w:hint="eastAsia"/>
                <w:kern w:val="0"/>
                <w:sz w:val="30"/>
                <w:szCs w:val="30"/>
              </w:rPr>
              <w:t>該或有</w:t>
            </w:r>
            <w:proofErr w:type="gramEnd"/>
            <w:r w:rsidRPr="00867787">
              <w:rPr>
                <w:rFonts w:ascii="標楷體" w:eastAsia="標楷體" w:hAnsi="標楷體" w:cs="新細明體" w:hint="eastAsia"/>
                <w:kern w:val="0"/>
                <w:sz w:val="30"/>
                <w:szCs w:val="30"/>
              </w:rPr>
              <w:t>事項性質之質性描述；</w:t>
            </w:r>
            <w:r w:rsidRPr="00867787">
              <w:rPr>
                <w:rFonts w:ascii="標楷體" w:eastAsia="標楷體" w:hAnsi="標楷體" w:cs="新細明體" w:hint="eastAsia"/>
                <w:kern w:val="0"/>
                <w:sz w:val="30"/>
                <w:szCs w:val="30"/>
              </w:rPr>
              <w:br/>
              <w:t>(b)有關該等合約條款可能導致合約現金流量之可能變動之量化資訊(例如,可能之變動區間)；及</w:t>
            </w:r>
            <w:r w:rsidRPr="00867787">
              <w:rPr>
                <w:rFonts w:ascii="標楷體" w:eastAsia="標楷體" w:hAnsi="標楷體" w:cs="新細明體" w:hint="eastAsia"/>
                <w:kern w:val="0"/>
                <w:sz w:val="30"/>
                <w:szCs w:val="30"/>
              </w:rPr>
              <w:br/>
              <w:t>(c)具該等合約條款之金融資產之總</w:t>
            </w:r>
            <w:proofErr w:type="gramStart"/>
            <w:r w:rsidRPr="00867787">
              <w:rPr>
                <w:rFonts w:ascii="標楷體" w:eastAsia="標楷體" w:hAnsi="標楷體" w:cs="新細明體" w:hint="eastAsia"/>
                <w:kern w:val="0"/>
                <w:sz w:val="30"/>
                <w:szCs w:val="30"/>
              </w:rPr>
              <w:t>帳面</w:t>
            </w:r>
            <w:proofErr w:type="gramEnd"/>
            <w:r w:rsidRPr="00867787">
              <w:rPr>
                <w:rFonts w:ascii="標楷體" w:eastAsia="標楷體" w:hAnsi="標楷體" w:cs="新細明體" w:hint="eastAsia"/>
                <w:kern w:val="0"/>
                <w:sz w:val="30"/>
                <w:szCs w:val="30"/>
              </w:rPr>
              <w:t>金額及金融負債之</w:t>
            </w:r>
            <w:proofErr w:type="gramStart"/>
            <w:r w:rsidRPr="00867787">
              <w:rPr>
                <w:rFonts w:ascii="標楷體" w:eastAsia="標楷體" w:hAnsi="標楷體" w:cs="新細明體" w:hint="eastAsia"/>
                <w:kern w:val="0"/>
                <w:sz w:val="30"/>
                <w:szCs w:val="30"/>
              </w:rPr>
              <w:t>攤銷後成本</w:t>
            </w:r>
            <w:proofErr w:type="gramEnd"/>
            <w:r w:rsidRPr="00867787">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114年版：無</w:t>
            </w:r>
          </w:p>
        </w:tc>
      </w:tr>
      <w:tr w:rsidR="00867787" w:rsidRPr="00867787" w14:paraId="23D4EC26" w14:textId="77777777" w:rsidTr="002B1B86">
        <w:trPr>
          <w:trHeight w:val="615"/>
        </w:trPr>
        <w:tc>
          <w:tcPr>
            <w:tcW w:w="940" w:type="dxa"/>
            <w:tcBorders>
              <w:top w:val="nil"/>
              <w:left w:val="single" w:sz="4" w:space="0" w:color="auto"/>
              <w:bottom w:val="single" w:sz="4" w:space="0" w:color="auto"/>
              <w:right w:val="single" w:sz="4" w:space="0" w:color="auto"/>
            </w:tcBorders>
            <w:noWrap/>
            <w:hideMark/>
          </w:tcPr>
          <w:p w14:paraId="6AFDC06F" w14:textId="77777777" w:rsidR="00867787" w:rsidRPr="00577F4F" w:rsidRDefault="00867787" w:rsidP="00867787">
            <w:pPr>
              <w:widowControl/>
              <w:rPr>
                <w:rFonts w:ascii="標楷體" w:eastAsia="標楷體" w:hAnsi="標楷體" w:cs="新細明體"/>
                <w:color w:val="000000"/>
                <w:kern w:val="0"/>
                <w:sz w:val="28"/>
                <w:szCs w:val="28"/>
              </w:rPr>
            </w:pPr>
            <w:r w:rsidRPr="00577F4F">
              <w:rPr>
                <w:rFonts w:ascii="標楷體" w:eastAsia="標楷體" w:hAnsi="標楷體" w:cs="新細明體" w:hint="eastAsia"/>
                <w:color w:val="000000"/>
                <w:kern w:val="0"/>
                <w:sz w:val="28"/>
                <w:szCs w:val="28"/>
              </w:rPr>
              <w:t>2</w:t>
            </w:r>
          </w:p>
        </w:tc>
        <w:tc>
          <w:tcPr>
            <w:tcW w:w="1980" w:type="dxa"/>
            <w:tcBorders>
              <w:top w:val="nil"/>
              <w:left w:val="nil"/>
              <w:bottom w:val="single" w:sz="4" w:space="0" w:color="auto"/>
              <w:right w:val="single" w:sz="4" w:space="0" w:color="auto"/>
            </w:tcBorders>
            <w:hideMark/>
          </w:tcPr>
          <w:p w14:paraId="23CC6201"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透過其他綜合損益按公允價</w:t>
            </w:r>
            <w:r w:rsidRPr="00867787">
              <w:rPr>
                <w:rFonts w:ascii="標楷體" w:eastAsia="標楷體" w:hAnsi="標楷體" w:cs="新細明體" w:hint="eastAsia"/>
                <w:kern w:val="0"/>
                <w:sz w:val="30"/>
                <w:szCs w:val="30"/>
              </w:rPr>
              <w:lastRenderedPageBreak/>
              <w:t>值衡量之金融資產之揭露</w:t>
            </w:r>
          </w:p>
        </w:tc>
        <w:tc>
          <w:tcPr>
            <w:tcW w:w="2900" w:type="dxa"/>
            <w:tcBorders>
              <w:top w:val="nil"/>
              <w:left w:val="nil"/>
              <w:bottom w:val="single" w:sz="4" w:space="0" w:color="auto"/>
              <w:right w:val="single" w:sz="4" w:space="0" w:color="auto"/>
            </w:tcBorders>
            <w:hideMark/>
          </w:tcPr>
          <w:p w14:paraId="72D8879E"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lastRenderedPageBreak/>
              <w:t>透過其他綜合損益按公允價值衡量之金融</w:t>
            </w:r>
            <w:r w:rsidRPr="00867787">
              <w:rPr>
                <w:rFonts w:ascii="標楷體" w:eastAsia="標楷體" w:hAnsi="標楷體" w:cs="新細明體" w:hint="eastAsia"/>
                <w:kern w:val="0"/>
                <w:sz w:val="30"/>
                <w:szCs w:val="30"/>
              </w:rPr>
              <w:lastRenderedPageBreak/>
              <w:t>資產</w:t>
            </w:r>
          </w:p>
        </w:tc>
        <w:tc>
          <w:tcPr>
            <w:tcW w:w="3500" w:type="dxa"/>
            <w:tcBorders>
              <w:top w:val="nil"/>
              <w:left w:val="nil"/>
              <w:bottom w:val="single" w:sz="4" w:space="0" w:color="auto"/>
              <w:right w:val="single" w:sz="4" w:space="0" w:color="auto"/>
            </w:tcBorders>
            <w:hideMark/>
          </w:tcPr>
          <w:p w14:paraId="77D7AEA2" w14:textId="7337B088" w:rsidR="00867787" w:rsidRPr="00867787" w:rsidRDefault="00867787" w:rsidP="00D754D9">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lastRenderedPageBreak/>
              <w:t>115年版：</w:t>
            </w:r>
            <w:r w:rsidRPr="00867787">
              <w:rPr>
                <w:rFonts w:ascii="標楷體" w:eastAsia="標楷體" w:hAnsi="標楷體" w:cs="新細明體" w:hint="eastAsia"/>
                <w:kern w:val="0"/>
                <w:sz w:val="30"/>
                <w:szCs w:val="30"/>
              </w:rPr>
              <w:br/>
            </w:r>
            <w:r w:rsidR="00D754D9">
              <w:rPr>
                <w:rFonts w:ascii="標楷體" w:eastAsia="標楷體" w:hAnsi="標楷體" w:cs="新細明體" w:hint="eastAsia"/>
                <w:kern w:val="0"/>
                <w:sz w:val="30"/>
                <w:szCs w:val="30"/>
              </w:rPr>
              <w:t>新增</w:t>
            </w:r>
            <w:r w:rsidRPr="00867787">
              <w:rPr>
                <w:rFonts w:ascii="標楷體" w:eastAsia="標楷體" w:hAnsi="標楷體" w:cs="新細明體" w:hint="eastAsia"/>
                <w:kern w:val="0"/>
                <w:sz w:val="30"/>
                <w:szCs w:val="30"/>
              </w:rPr>
              <w:t>IFRS7</w:t>
            </w:r>
            <w:r w:rsidR="00D754D9">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11A</w:t>
            </w:r>
            <w:r w:rsidR="00D754D9">
              <w:rPr>
                <w:rFonts w:ascii="標楷體" w:eastAsia="標楷體" w:hAnsi="標楷體" w:cs="新細明體" w:hint="eastAsia"/>
                <w:kern w:val="0"/>
                <w:sz w:val="30"/>
                <w:szCs w:val="30"/>
              </w:rPr>
              <w:t>段之</w:t>
            </w:r>
            <w:r w:rsidR="007B66D5">
              <w:rPr>
                <w:rFonts w:ascii="標楷體" w:eastAsia="標楷體" w:hAnsi="標楷體" w:cs="新細明體" w:hint="eastAsia"/>
                <w:kern w:val="0"/>
                <w:sz w:val="30"/>
                <w:szCs w:val="30"/>
              </w:rPr>
              <w:t>(f)</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lastRenderedPageBreak/>
              <w:t>114年版：</w:t>
            </w:r>
            <w:r w:rsidRPr="00867787">
              <w:rPr>
                <w:rFonts w:ascii="標楷體" w:eastAsia="標楷體" w:hAnsi="標楷體" w:cs="新細明體" w:hint="eastAsia"/>
                <w:kern w:val="0"/>
                <w:sz w:val="30"/>
                <w:szCs w:val="30"/>
              </w:rPr>
              <w:br/>
            </w:r>
            <w:r w:rsidR="007B66D5">
              <w:rPr>
                <w:rFonts w:ascii="標楷體" w:eastAsia="標楷體" w:hAnsi="標楷體" w:cs="新細明體" w:hint="eastAsia"/>
                <w:kern w:val="0"/>
                <w:sz w:val="30"/>
                <w:szCs w:val="30"/>
              </w:rPr>
              <w:t>無</w:t>
            </w:r>
          </w:p>
        </w:tc>
        <w:tc>
          <w:tcPr>
            <w:tcW w:w="11674" w:type="dxa"/>
            <w:tcBorders>
              <w:top w:val="nil"/>
              <w:left w:val="nil"/>
              <w:bottom w:val="single" w:sz="4" w:space="0" w:color="auto"/>
              <w:right w:val="single" w:sz="4" w:space="0" w:color="auto"/>
            </w:tcBorders>
            <w:hideMark/>
          </w:tcPr>
          <w:p w14:paraId="28536EF8" w14:textId="6F9FAEBF" w:rsidR="00ED08C9" w:rsidRDefault="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lastRenderedPageBreak/>
              <w:t>115年版：</w:t>
            </w:r>
            <w:r w:rsidRPr="00867787">
              <w:rPr>
                <w:rFonts w:ascii="標楷體" w:eastAsia="標楷體" w:hAnsi="標楷體" w:cs="新細明體" w:hint="eastAsia"/>
                <w:kern w:val="0"/>
                <w:sz w:val="30"/>
                <w:szCs w:val="30"/>
              </w:rPr>
              <w:br/>
            </w:r>
            <w:r w:rsidR="007B66D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就指定</w:t>
            </w:r>
            <w:r w:rsidR="007B66D5" w:rsidRPr="007B66D5">
              <w:rPr>
                <w:rFonts w:ascii="標楷體" w:eastAsia="標楷體" w:hAnsi="標楷體" w:cs="新細明體" w:hint="eastAsia"/>
                <w:kern w:val="0"/>
                <w:sz w:val="30"/>
                <w:szCs w:val="30"/>
              </w:rPr>
              <w:t>為透過其他綜合損益按公允價值衡量</w:t>
            </w:r>
            <w:r w:rsidR="007B66D5">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權益工具投資</w:t>
            </w:r>
            <w:r w:rsidR="007B66D5">
              <w:rPr>
                <w:rFonts w:ascii="標楷體" w:eastAsia="標楷體" w:hAnsi="標楷體" w:cs="新細明體" w:hint="eastAsia"/>
                <w:kern w:val="0"/>
                <w:sz w:val="30"/>
                <w:szCs w:val="30"/>
              </w:rPr>
              <w:t>，應對投資</w:t>
            </w:r>
            <w:r w:rsidRPr="00867787">
              <w:rPr>
                <w:rFonts w:ascii="標楷體" w:eastAsia="標楷體" w:hAnsi="標楷體" w:cs="新細明體" w:hint="eastAsia"/>
                <w:kern w:val="0"/>
                <w:sz w:val="30"/>
                <w:szCs w:val="30"/>
              </w:rPr>
              <w:t>之每一類別揭</w:t>
            </w:r>
            <w:r w:rsidRPr="00867787">
              <w:rPr>
                <w:rFonts w:ascii="標楷體" w:eastAsia="標楷體" w:hAnsi="標楷體" w:cs="新細明體" w:hint="eastAsia"/>
                <w:kern w:val="0"/>
                <w:sz w:val="30"/>
                <w:szCs w:val="30"/>
              </w:rPr>
              <w:lastRenderedPageBreak/>
              <w:t>露</w:t>
            </w:r>
            <w:r w:rsidR="007B66D5" w:rsidRPr="007B66D5">
              <w:rPr>
                <w:rFonts w:ascii="標楷體" w:eastAsia="標楷體" w:hAnsi="標楷體" w:cs="新細明體" w:hint="eastAsia"/>
                <w:kern w:val="0"/>
                <w:sz w:val="30"/>
                <w:szCs w:val="30"/>
              </w:rPr>
              <w:t>於該期間列報於其他綜合損益之公允價值利益或損失</w:t>
            </w:r>
            <w:r w:rsidR="007B66D5">
              <w:rPr>
                <w:rFonts w:ascii="標楷體" w:eastAsia="標楷體" w:hAnsi="標楷體" w:cs="新細明體" w:hint="eastAsia"/>
                <w:kern w:val="0"/>
                <w:sz w:val="30"/>
                <w:szCs w:val="30"/>
              </w:rPr>
              <w:t>（</w:t>
            </w:r>
            <w:r w:rsidR="007B66D5" w:rsidRPr="007B66D5">
              <w:rPr>
                <w:rFonts w:ascii="標楷體" w:eastAsia="標楷體" w:hAnsi="標楷體" w:cs="新細明體" w:hint="eastAsia"/>
                <w:kern w:val="0"/>
                <w:sz w:val="30"/>
                <w:szCs w:val="30"/>
              </w:rPr>
              <w:t>分別列示與於報導期間內除列之投資有關</w:t>
            </w:r>
            <w:r w:rsidR="007B66D5">
              <w:rPr>
                <w:rFonts w:ascii="標楷體" w:eastAsia="標楷體" w:hAnsi="標楷體" w:cs="新細明體" w:hint="eastAsia"/>
                <w:kern w:val="0"/>
                <w:sz w:val="30"/>
                <w:szCs w:val="30"/>
              </w:rPr>
              <w:t>者</w:t>
            </w:r>
            <w:r w:rsidR="007B66D5" w:rsidRPr="007B66D5">
              <w:rPr>
                <w:rFonts w:ascii="標楷體" w:eastAsia="標楷體" w:hAnsi="標楷體" w:cs="新細明體" w:hint="eastAsia"/>
                <w:kern w:val="0"/>
                <w:sz w:val="30"/>
                <w:szCs w:val="30"/>
              </w:rPr>
              <w:t>，以及與於報導期間結束日仍持有之投資有關</w:t>
            </w:r>
            <w:r w:rsidR="007B66D5">
              <w:rPr>
                <w:rFonts w:ascii="標楷體" w:eastAsia="標楷體" w:hAnsi="標楷體" w:cs="新細明體" w:hint="eastAsia"/>
                <w:kern w:val="0"/>
                <w:sz w:val="30"/>
                <w:szCs w:val="30"/>
              </w:rPr>
              <w:t>者）</w:t>
            </w:r>
            <w:r w:rsidRPr="00867787">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r>
            <w:r w:rsidRPr="00867787">
              <w:rPr>
                <w:rFonts w:ascii="標楷體" w:eastAsia="標楷體" w:hAnsi="標楷體" w:cs="新細明體" w:hint="eastAsia"/>
                <w:kern w:val="0"/>
                <w:sz w:val="30"/>
                <w:szCs w:val="30"/>
              </w:rPr>
              <w:br/>
              <w:t>114年版：</w:t>
            </w:r>
            <w:r w:rsidR="007B66D5">
              <w:rPr>
                <w:rFonts w:ascii="標楷體" w:eastAsia="標楷體" w:hAnsi="標楷體" w:cs="新細明體" w:hint="eastAsia"/>
                <w:kern w:val="0"/>
                <w:sz w:val="30"/>
                <w:szCs w:val="30"/>
              </w:rPr>
              <w:t>無</w:t>
            </w:r>
          </w:p>
        </w:tc>
      </w:tr>
      <w:tr w:rsidR="00867787" w:rsidRPr="00867787" w14:paraId="4ECAE4FA" w14:textId="77777777" w:rsidTr="00867787">
        <w:trPr>
          <w:trHeight w:val="1620"/>
        </w:trPr>
        <w:tc>
          <w:tcPr>
            <w:tcW w:w="940" w:type="dxa"/>
            <w:tcBorders>
              <w:top w:val="nil"/>
              <w:left w:val="single" w:sz="4" w:space="0" w:color="auto"/>
              <w:bottom w:val="single" w:sz="4" w:space="0" w:color="auto"/>
              <w:right w:val="single" w:sz="4" w:space="0" w:color="auto"/>
            </w:tcBorders>
            <w:noWrap/>
            <w:hideMark/>
          </w:tcPr>
          <w:p w14:paraId="3A742F4B" w14:textId="77777777" w:rsidR="00867787" w:rsidRPr="00577F4F" w:rsidRDefault="00867787" w:rsidP="00867787">
            <w:pPr>
              <w:widowControl/>
              <w:rPr>
                <w:rFonts w:ascii="標楷體" w:eastAsia="標楷體" w:hAnsi="標楷體" w:cs="新細明體"/>
                <w:color w:val="000000"/>
                <w:kern w:val="0"/>
                <w:sz w:val="28"/>
                <w:szCs w:val="28"/>
              </w:rPr>
            </w:pPr>
            <w:r w:rsidRPr="00577F4F">
              <w:rPr>
                <w:rFonts w:ascii="標楷體" w:eastAsia="標楷體" w:hAnsi="標楷體" w:cs="新細明體" w:hint="eastAsia"/>
                <w:color w:val="000000"/>
                <w:kern w:val="0"/>
                <w:sz w:val="28"/>
                <w:szCs w:val="28"/>
              </w:rPr>
              <w:lastRenderedPageBreak/>
              <w:t>3</w:t>
            </w:r>
          </w:p>
        </w:tc>
        <w:tc>
          <w:tcPr>
            <w:tcW w:w="1980" w:type="dxa"/>
            <w:tcBorders>
              <w:top w:val="nil"/>
              <w:left w:val="nil"/>
              <w:bottom w:val="single" w:sz="4" w:space="0" w:color="auto"/>
              <w:right w:val="single" w:sz="4" w:space="0" w:color="auto"/>
            </w:tcBorders>
            <w:hideMark/>
          </w:tcPr>
          <w:p w14:paraId="164720A6"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透過其他綜合損益按公允價值衡量之金融資產之揭露</w:t>
            </w:r>
          </w:p>
        </w:tc>
        <w:tc>
          <w:tcPr>
            <w:tcW w:w="2900" w:type="dxa"/>
            <w:tcBorders>
              <w:top w:val="nil"/>
              <w:left w:val="nil"/>
              <w:bottom w:val="single" w:sz="4" w:space="0" w:color="auto"/>
              <w:right w:val="single" w:sz="4" w:space="0" w:color="auto"/>
            </w:tcBorders>
            <w:hideMark/>
          </w:tcPr>
          <w:p w14:paraId="41BC2FF6"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透過其他綜合損益按公允價值衡量之金融資產</w:t>
            </w:r>
          </w:p>
        </w:tc>
        <w:tc>
          <w:tcPr>
            <w:tcW w:w="3500" w:type="dxa"/>
            <w:tcBorders>
              <w:top w:val="nil"/>
              <w:left w:val="nil"/>
              <w:bottom w:val="single" w:sz="4" w:space="0" w:color="auto"/>
              <w:right w:val="single" w:sz="4" w:space="0" w:color="auto"/>
            </w:tcBorders>
            <w:hideMark/>
          </w:tcPr>
          <w:p w14:paraId="6B88B7EC" w14:textId="5BFFC34E" w:rsidR="00867787" w:rsidRPr="00867787" w:rsidRDefault="00867787" w:rsidP="00D754D9">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新增IFRS7</w:t>
            </w:r>
            <w:r w:rsidR="00D754D9">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11B</w:t>
            </w:r>
            <w:r w:rsidR="00D754D9">
              <w:rPr>
                <w:rFonts w:ascii="標楷體" w:eastAsia="標楷體" w:hAnsi="標楷體" w:cs="新細明體" w:hint="eastAsia"/>
                <w:kern w:val="0"/>
                <w:sz w:val="30"/>
                <w:szCs w:val="30"/>
              </w:rPr>
              <w:t>段之</w:t>
            </w:r>
            <w:r w:rsidRPr="00867787">
              <w:rPr>
                <w:rFonts w:ascii="標楷體" w:eastAsia="標楷體" w:hAnsi="標楷體" w:cs="新細明體" w:hint="eastAsia"/>
                <w:kern w:val="0"/>
                <w:sz w:val="30"/>
                <w:szCs w:val="30"/>
              </w:rPr>
              <w:t>(d)</w:t>
            </w:r>
            <w:r w:rsidRPr="00867787">
              <w:rPr>
                <w:rFonts w:ascii="標楷體" w:eastAsia="標楷體" w:hAnsi="標楷體" w:cs="新細明體" w:hint="eastAsia"/>
                <w:kern w:val="0"/>
                <w:sz w:val="30"/>
                <w:szCs w:val="30"/>
              </w:rPr>
              <w:br/>
              <w:t>114年版：</w:t>
            </w:r>
            <w:r w:rsidRPr="00867787">
              <w:rPr>
                <w:rFonts w:ascii="標楷體" w:eastAsia="標楷體" w:hAnsi="標楷體" w:cs="新細明體" w:hint="eastAsia"/>
                <w:kern w:val="0"/>
                <w:sz w:val="30"/>
                <w:szCs w:val="30"/>
              </w:rPr>
              <w:br/>
              <w:t>無</w:t>
            </w:r>
          </w:p>
        </w:tc>
        <w:tc>
          <w:tcPr>
            <w:tcW w:w="11674" w:type="dxa"/>
            <w:tcBorders>
              <w:top w:val="nil"/>
              <w:left w:val="nil"/>
              <w:bottom w:val="single" w:sz="4" w:space="0" w:color="auto"/>
              <w:right w:val="single" w:sz="4" w:space="0" w:color="auto"/>
            </w:tcBorders>
            <w:hideMark/>
          </w:tcPr>
          <w:p w14:paraId="7704C47A" w14:textId="6A09581D" w:rsidR="00FE040C" w:rsidRDefault="00867787"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007B66D5" w:rsidRPr="007B66D5">
              <w:rPr>
                <w:rFonts w:ascii="標楷體" w:eastAsia="標楷體" w:hAnsi="標楷體" w:cs="新細明體" w:hint="eastAsia"/>
                <w:kern w:val="0"/>
                <w:sz w:val="30"/>
                <w:szCs w:val="30"/>
              </w:rPr>
              <w:t>若</w:t>
            </w:r>
            <w:r w:rsidR="007B66D5">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於報導期間除列透過其他綜合損益按公允價值衡量之權益工具投資，</w:t>
            </w:r>
            <w:r w:rsidR="007B66D5">
              <w:rPr>
                <w:rFonts w:ascii="標楷體" w:eastAsia="標楷體" w:hAnsi="標楷體" w:cs="新細明體" w:hint="eastAsia"/>
                <w:kern w:val="0"/>
                <w:sz w:val="30"/>
                <w:szCs w:val="30"/>
              </w:rPr>
              <w:t>應</w:t>
            </w:r>
            <w:r w:rsidRPr="00867787">
              <w:rPr>
                <w:rFonts w:ascii="標楷體" w:eastAsia="標楷體" w:hAnsi="標楷體" w:cs="新細明體" w:hint="eastAsia"/>
                <w:kern w:val="0"/>
                <w:sz w:val="30"/>
                <w:szCs w:val="30"/>
              </w:rPr>
              <w:t>揭露報導期間內與於該報導期間除列之投資有關之累積利益或損失於權益內之任何移轉。</w:t>
            </w:r>
            <w:r w:rsidRPr="00867787">
              <w:rPr>
                <w:rFonts w:ascii="標楷體" w:eastAsia="標楷體" w:hAnsi="標楷體" w:cs="新細明體" w:hint="eastAsia"/>
                <w:kern w:val="0"/>
                <w:sz w:val="30"/>
                <w:szCs w:val="30"/>
              </w:rPr>
              <w:br/>
            </w:r>
          </w:p>
          <w:p w14:paraId="0CF28452" w14:textId="77777777" w:rsidR="00867787" w:rsidRPr="00867787" w:rsidRDefault="00867787" w:rsidP="007B66D5">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114年版：無</w:t>
            </w:r>
          </w:p>
        </w:tc>
      </w:tr>
      <w:tr w:rsidR="00867787" w:rsidRPr="00867787" w14:paraId="60FF2C98" w14:textId="77777777" w:rsidTr="003C2163">
        <w:trPr>
          <w:trHeight w:val="3364"/>
        </w:trPr>
        <w:tc>
          <w:tcPr>
            <w:tcW w:w="940" w:type="dxa"/>
            <w:tcBorders>
              <w:top w:val="nil"/>
              <w:left w:val="single" w:sz="4" w:space="0" w:color="auto"/>
              <w:bottom w:val="single" w:sz="4" w:space="0" w:color="auto"/>
              <w:right w:val="single" w:sz="4" w:space="0" w:color="auto"/>
            </w:tcBorders>
            <w:noWrap/>
            <w:hideMark/>
          </w:tcPr>
          <w:p w14:paraId="58BF2495" w14:textId="77777777" w:rsidR="00867787" w:rsidRPr="00577F4F" w:rsidRDefault="00867787" w:rsidP="00867787">
            <w:pPr>
              <w:widowControl/>
              <w:rPr>
                <w:rFonts w:ascii="標楷體" w:eastAsia="標楷體" w:hAnsi="標楷體" w:cs="新細明體"/>
                <w:color w:val="000000"/>
                <w:kern w:val="0"/>
                <w:sz w:val="28"/>
                <w:szCs w:val="28"/>
              </w:rPr>
            </w:pPr>
            <w:r w:rsidRPr="00577F4F">
              <w:rPr>
                <w:rFonts w:ascii="標楷體" w:eastAsia="標楷體" w:hAnsi="標楷體" w:cs="新細明體" w:hint="eastAsia"/>
                <w:color w:val="000000"/>
                <w:kern w:val="0"/>
                <w:sz w:val="28"/>
                <w:szCs w:val="28"/>
              </w:rPr>
              <w:t>4</w:t>
            </w:r>
          </w:p>
        </w:tc>
        <w:tc>
          <w:tcPr>
            <w:tcW w:w="1980" w:type="dxa"/>
            <w:tcBorders>
              <w:top w:val="nil"/>
              <w:left w:val="nil"/>
              <w:bottom w:val="single" w:sz="4" w:space="0" w:color="auto"/>
              <w:right w:val="single" w:sz="4" w:space="0" w:color="auto"/>
            </w:tcBorders>
            <w:hideMark/>
          </w:tcPr>
          <w:p w14:paraId="37EB5932" w14:textId="77777777" w:rsidR="00867787" w:rsidRPr="00867787" w:rsidRDefault="00867787" w:rsidP="00867787">
            <w:pPr>
              <w:widowControl/>
              <w:rPr>
                <w:rFonts w:ascii="標楷體" w:eastAsia="標楷體" w:hAnsi="標楷體" w:cs="新細明體"/>
                <w:kern w:val="0"/>
                <w:sz w:val="32"/>
                <w:szCs w:val="32"/>
              </w:rPr>
            </w:pPr>
            <w:r w:rsidRPr="00867787">
              <w:rPr>
                <w:rFonts w:ascii="標楷體" w:eastAsia="標楷體" w:hAnsi="標楷體" w:cs="新細明體" w:hint="eastAsia"/>
                <w:kern w:val="0"/>
                <w:sz w:val="32"/>
                <w:szCs w:val="32"/>
              </w:rPr>
              <w:t>涉及依賴自然電力之合約</w:t>
            </w:r>
          </w:p>
        </w:tc>
        <w:tc>
          <w:tcPr>
            <w:tcW w:w="2900" w:type="dxa"/>
            <w:tcBorders>
              <w:top w:val="nil"/>
              <w:left w:val="nil"/>
              <w:bottom w:val="single" w:sz="4" w:space="0" w:color="auto"/>
              <w:right w:val="single" w:sz="4" w:space="0" w:color="auto"/>
            </w:tcBorders>
            <w:hideMark/>
          </w:tcPr>
          <w:p w14:paraId="5AC9B0AC" w14:textId="77777777" w:rsidR="00867787" w:rsidRPr="00867787" w:rsidRDefault="00867787"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透過損益按公允價值衡量之金融資產</w:t>
            </w:r>
          </w:p>
        </w:tc>
        <w:tc>
          <w:tcPr>
            <w:tcW w:w="3500" w:type="dxa"/>
            <w:tcBorders>
              <w:top w:val="nil"/>
              <w:left w:val="nil"/>
              <w:bottom w:val="single" w:sz="4" w:space="0" w:color="auto"/>
              <w:right w:val="single" w:sz="4" w:space="0" w:color="auto"/>
            </w:tcBorders>
            <w:hideMark/>
          </w:tcPr>
          <w:p w14:paraId="068BAAB4" w14:textId="4F677BC7" w:rsidR="00867787" w:rsidRPr="00867787" w:rsidRDefault="00867787" w:rsidP="003E7C20">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新增IFRS7</w:t>
            </w:r>
            <w:r w:rsidR="00D754D9">
              <w:rPr>
                <w:rFonts w:ascii="標楷體" w:eastAsia="標楷體" w:hAnsi="標楷體" w:cs="新細明體" w:hint="eastAsia"/>
                <w:kern w:val="0"/>
                <w:sz w:val="30"/>
                <w:szCs w:val="30"/>
              </w:rPr>
              <w:t>第</w:t>
            </w:r>
            <w:r w:rsidRPr="00867787">
              <w:rPr>
                <w:rFonts w:ascii="標楷體" w:eastAsia="標楷體" w:hAnsi="標楷體" w:cs="新細明體" w:hint="eastAsia"/>
                <w:kern w:val="0"/>
                <w:sz w:val="30"/>
                <w:szCs w:val="30"/>
              </w:rPr>
              <w:t>30A</w:t>
            </w:r>
            <w:r w:rsidR="003E7C20">
              <w:rPr>
                <w:rFonts w:ascii="標楷體" w:eastAsia="標楷體" w:hAnsi="標楷體" w:cs="新細明體" w:hint="eastAsia"/>
                <w:kern w:val="0"/>
                <w:sz w:val="30"/>
                <w:szCs w:val="30"/>
              </w:rPr>
              <w:t>至</w:t>
            </w:r>
            <w:r w:rsidRPr="00867787">
              <w:rPr>
                <w:rFonts w:ascii="標楷體" w:eastAsia="標楷體" w:hAnsi="標楷體" w:cs="新細明體" w:hint="eastAsia"/>
                <w:kern w:val="0"/>
                <w:sz w:val="30"/>
                <w:szCs w:val="30"/>
              </w:rPr>
              <w:t>30C</w:t>
            </w:r>
            <w:r w:rsidR="00D754D9">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t>114年版：</w:t>
            </w:r>
            <w:r w:rsidRPr="00867787">
              <w:rPr>
                <w:rFonts w:ascii="標楷體" w:eastAsia="標楷體" w:hAnsi="標楷體" w:cs="新細明體" w:hint="eastAsia"/>
                <w:kern w:val="0"/>
                <w:sz w:val="30"/>
                <w:szCs w:val="30"/>
              </w:rPr>
              <w:br/>
              <w:t>無</w:t>
            </w:r>
          </w:p>
        </w:tc>
        <w:tc>
          <w:tcPr>
            <w:tcW w:w="11674" w:type="dxa"/>
            <w:tcBorders>
              <w:top w:val="nil"/>
              <w:left w:val="nil"/>
              <w:bottom w:val="single" w:sz="4" w:space="0" w:color="auto"/>
              <w:right w:val="single" w:sz="4" w:space="0" w:color="auto"/>
            </w:tcBorders>
            <w:hideMark/>
          </w:tcPr>
          <w:p w14:paraId="3720644D" w14:textId="74E64DF8" w:rsidR="00D105F9" w:rsidRDefault="00867787" w:rsidP="00D105F9">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1.</w:t>
            </w:r>
            <w:r w:rsidR="003E7C20">
              <w:rPr>
                <w:rFonts w:ascii="標楷體" w:eastAsia="標楷體" w:hAnsi="標楷體" w:cs="新細明體" w:hint="eastAsia"/>
                <w:kern w:val="0"/>
                <w:sz w:val="30"/>
                <w:szCs w:val="30"/>
              </w:rPr>
              <w:t>對</w:t>
            </w:r>
            <w:r w:rsidRPr="00867787">
              <w:rPr>
                <w:rFonts w:ascii="標楷體" w:eastAsia="標楷體" w:hAnsi="標楷體" w:cs="新細明體" w:hint="eastAsia"/>
                <w:kern w:val="0"/>
                <w:sz w:val="30"/>
                <w:szCs w:val="30"/>
              </w:rPr>
              <w:t>非屬IFRS9適用範圍之涉及依賴自然電力之合約，</w:t>
            </w:r>
            <w:r w:rsidR="00D754D9">
              <w:rPr>
                <w:rFonts w:ascii="標楷體" w:eastAsia="標楷體" w:hAnsi="標楷體" w:cs="新細明體" w:hint="eastAsia"/>
                <w:kern w:val="0"/>
                <w:sz w:val="30"/>
                <w:szCs w:val="30"/>
              </w:rPr>
              <w:t>個體</w:t>
            </w:r>
            <w:r w:rsidRPr="00867787">
              <w:rPr>
                <w:rFonts w:ascii="標楷體" w:eastAsia="標楷體" w:hAnsi="標楷體" w:cs="新細明體" w:hint="eastAsia"/>
                <w:kern w:val="0"/>
                <w:sz w:val="30"/>
                <w:szCs w:val="30"/>
              </w:rPr>
              <w:t>應於單一附註揭露：</w:t>
            </w:r>
            <w:r w:rsidRPr="00867787">
              <w:rPr>
                <w:rFonts w:ascii="標楷體" w:eastAsia="標楷體" w:hAnsi="標楷體" w:cs="新細明體" w:hint="eastAsia"/>
                <w:kern w:val="0"/>
                <w:sz w:val="30"/>
                <w:szCs w:val="30"/>
              </w:rPr>
              <w:br/>
              <w:t>(a)</w:t>
            </w:r>
            <w:r w:rsidR="003E7C20">
              <w:rPr>
                <w:rFonts w:ascii="標楷體" w:eastAsia="標楷體" w:hAnsi="標楷體" w:cs="新細明體" w:hint="eastAsia"/>
                <w:kern w:val="0"/>
                <w:sz w:val="30"/>
                <w:szCs w:val="30"/>
              </w:rPr>
              <w:t>有關使個體</w:t>
            </w:r>
            <w:r w:rsidRPr="00867787">
              <w:rPr>
                <w:rFonts w:ascii="標楷體" w:eastAsia="標楷體" w:hAnsi="標楷體" w:cs="新細明體" w:hint="eastAsia"/>
                <w:kern w:val="0"/>
                <w:sz w:val="30"/>
                <w:szCs w:val="30"/>
              </w:rPr>
              <w:t>暴露於</w:t>
            </w:r>
            <w:r w:rsidR="003E7C20">
              <w:rPr>
                <w:rFonts w:ascii="標楷體" w:eastAsia="標楷體" w:hAnsi="標楷體" w:cs="新細明體" w:hint="eastAsia"/>
                <w:kern w:val="0"/>
                <w:sz w:val="30"/>
                <w:szCs w:val="30"/>
              </w:rPr>
              <w:t>下列事項之</w:t>
            </w:r>
            <w:r w:rsidR="003E7C20" w:rsidRPr="00867787">
              <w:rPr>
                <w:rFonts w:ascii="標楷體" w:eastAsia="標楷體" w:hAnsi="標楷體" w:cs="新細明體" w:hint="eastAsia"/>
                <w:kern w:val="0"/>
                <w:sz w:val="30"/>
                <w:szCs w:val="30"/>
              </w:rPr>
              <w:t>合約</w:t>
            </w:r>
            <w:r w:rsidR="003E7C20">
              <w:rPr>
                <w:rFonts w:ascii="標楷體" w:eastAsia="標楷體" w:hAnsi="標楷體" w:cs="新細明體" w:hint="eastAsia"/>
                <w:kern w:val="0"/>
                <w:sz w:val="30"/>
                <w:szCs w:val="30"/>
              </w:rPr>
              <w:t>特性之</w:t>
            </w:r>
            <w:r w:rsidR="003E7C20" w:rsidRPr="00867787">
              <w:rPr>
                <w:rFonts w:ascii="標楷體" w:eastAsia="標楷體" w:hAnsi="標楷體" w:cs="新細明體" w:hint="eastAsia"/>
                <w:kern w:val="0"/>
                <w:sz w:val="30"/>
                <w:szCs w:val="30"/>
              </w:rPr>
              <w:t>資訊</w:t>
            </w:r>
            <w:r w:rsidR="003E7C20">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標的電力數量之變異性，</w:t>
            </w:r>
            <w:r w:rsidR="003E7C20">
              <w:rPr>
                <w:rFonts w:ascii="標楷體" w:eastAsia="標楷體" w:hAnsi="標楷體" w:cs="新細明體" w:hint="eastAsia"/>
                <w:kern w:val="0"/>
                <w:sz w:val="30"/>
                <w:szCs w:val="30"/>
              </w:rPr>
              <w:t>以及個體</w:t>
            </w:r>
            <w:r w:rsidRPr="00867787">
              <w:rPr>
                <w:rFonts w:ascii="標楷體" w:eastAsia="標楷體" w:hAnsi="標楷體" w:cs="新細明體" w:hint="eastAsia"/>
                <w:kern w:val="0"/>
                <w:sz w:val="30"/>
                <w:szCs w:val="30"/>
              </w:rPr>
              <w:t>將須在其無法使用電力</w:t>
            </w:r>
            <w:r w:rsidR="003E7C20">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交付期間內購買電力之風險；</w:t>
            </w:r>
            <w:r w:rsidRPr="00867787">
              <w:rPr>
                <w:rFonts w:ascii="標楷體" w:eastAsia="標楷體" w:hAnsi="標楷體" w:cs="新細明體" w:hint="eastAsia"/>
                <w:kern w:val="0"/>
                <w:sz w:val="30"/>
                <w:szCs w:val="30"/>
              </w:rPr>
              <w:br/>
              <w:t>(b)</w:t>
            </w:r>
            <w:r w:rsidR="003E7C20">
              <w:rPr>
                <w:rFonts w:ascii="標楷體" w:eastAsia="標楷體" w:hAnsi="標楷體" w:cs="新細明體" w:hint="eastAsia"/>
                <w:kern w:val="0"/>
                <w:sz w:val="30"/>
                <w:szCs w:val="30"/>
              </w:rPr>
              <w:t>有關</w:t>
            </w:r>
            <w:r w:rsidRPr="00867787">
              <w:rPr>
                <w:rFonts w:ascii="標楷體" w:eastAsia="標楷體" w:hAnsi="標楷體" w:cs="新細明體" w:hint="eastAsia"/>
                <w:kern w:val="0"/>
                <w:sz w:val="30"/>
                <w:szCs w:val="30"/>
              </w:rPr>
              <w:t>於報導日源自此等合約</w:t>
            </w:r>
            <w:r w:rsidR="003E7C20">
              <w:rPr>
                <w:rFonts w:ascii="標楷體" w:eastAsia="標楷體" w:hAnsi="標楷體" w:cs="新細明體" w:hint="eastAsia"/>
                <w:kern w:val="0"/>
                <w:sz w:val="30"/>
                <w:szCs w:val="30"/>
              </w:rPr>
              <w:t>之</w:t>
            </w:r>
            <w:r w:rsidR="003E7C20" w:rsidRPr="00867787">
              <w:rPr>
                <w:rFonts w:ascii="標楷體" w:eastAsia="標楷體" w:hAnsi="標楷體" w:cs="新細明體" w:hint="eastAsia"/>
                <w:kern w:val="0"/>
                <w:sz w:val="30"/>
                <w:szCs w:val="30"/>
              </w:rPr>
              <w:t>未認列承諾</w:t>
            </w:r>
            <w:r w:rsidR="003E7C20">
              <w:rPr>
                <w:rFonts w:ascii="標楷體" w:eastAsia="標楷體" w:hAnsi="標楷體" w:cs="新細明體" w:hint="eastAsia"/>
                <w:kern w:val="0"/>
                <w:sz w:val="30"/>
                <w:szCs w:val="30"/>
              </w:rPr>
              <w:t>之資訊，包括來自依此等合約</w:t>
            </w:r>
            <w:r w:rsidRPr="00867787">
              <w:rPr>
                <w:rFonts w:ascii="標楷體" w:eastAsia="標楷體" w:hAnsi="標楷體" w:cs="新細明體" w:hint="eastAsia"/>
                <w:kern w:val="0"/>
                <w:sz w:val="30"/>
                <w:szCs w:val="30"/>
              </w:rPr>
              <w:t>購買電力之估計未來現金流量，</w:t>
            </w:r>
            <w:r w:rsidR="003E7C20">
              <w:rPr>
                <w:rFonts w:ascii="標楷體" w:eastAsia="標楷體" w:hAnsi="標楷體" w:cs="新細明體" w:hint="eastAsia"/>
                <w:kern w:val="0"/>
                <w:sz w:val="30"/>
                <w:szCs w:val="30"/>
              </w:rPr>
              <w:t>以</w:t>
            </w:r>
            <w:r w:rsidRPr="00867787">
              <w:rPr>
                <w:rFonts w:ascii="標楷體" w:eastAsia="標楷體" w:hAnsi="標楷體" w:cs="新細明體" w:hint="eastAsia"/>
                <w:kern w:val="0"/>
                <w:sz w:val="30"/>
                <w:szCs w:val="30"/>
              </w:rPr>
              <w:t>及</w:t>
            </w:r>
            <w:r w:rsidR="003E7C20">
              <w:rPr>
                <w:rFonts w:ascii="標楷體" w:eastAsia="標楷體" w:hAnsi="標楷體" w:cs="新細明體" w:hint="eastAsia"/>
                <w:kern w:val="0"/>
                <w:sz w:val="30"/>
                <w:szCs w:val="30"/>
              </w:rPr>
              <w:t>有關個體如何</w:t>
            </w:r>
            <w:r w:rsidRPr="00867787">
              <w:rPr>
                <w:rFonts w:ascii="標楷體" w:eastAsia="標楷體" w:hAnsi="標楷體" w:cs="新細明體" w:hint="eastAsia"/>
                <w:kern w:val="0"/>
                <w:sz w:val="30"/>
                <w:szCs w:val="30"/>
              </w:rPr>
              <w:t>評估合約是否可能成為虧損性之</w:t>
            </w:r>
            <w:r w:rsidR="003E7C20">
              <w:rPr>
                <w:rFonts w:ascii="標楷體" w:eastAsia="標楷體" w:hAnsi="標楷體" w:cs="新細明體" w:hint="eastAsia"/>
                <w:kern w:val="0"/>
                <w:sz w:val="30"/>
                <w:szCs w:val="30"/>
              </w:rPr>
              <w:t>質性</w:t>
            </w:r>
            <w:r w:rsidRPr="00867787">
              <w:rPr>
                <w:rFonts w:ascii="標楷體" w:eastAsia="標楷體" w:hAnsi="標楷體" w:cs="新細明體" w:hint="eastAsia"/>
                <w:kern w:val="0"/>
                <w:sz w:val="30"/>
                <w:szCs w:val="30"/>
              </w:rPr>
              <w:t>資訊</w:t>
            </w:r>
            <w:r w:rsidR="003E7C20">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包</w:t>
            </w:r>
            <w:r w:rsidR="003E7C20">
              <w:rPr>
                <w:rFonts w:ascii="標楷體" w:eastAsia="標楷體" w:hAnsi="標楷體" w:cs="新細明體" w:hint="eastAsia"/>
                <w:kern w:val="0"/>
                <w:sz w:val="30"/>
                <w:szCs w:val="30"/>
              </w:rPr>
              <w:t>括個體於作此</w:t>
            </w:r>
            <w:r w:rsidRPr="00867787">
              <w:rPr>
                <w:rFonts w:ascii="標楷體" w:eastAsia="標楷體" w:hAnsi="標楷體" w:cs="新細明體" w:hint="eastAsia"/>
                <w:kern w:val="0"/>
                <w:sz w:val="30"/>
                <w:szCs w:val="30"/>
              </w:rPr>
              <w:t>評估時所使用之假設</w:t>
            </w:r>
            <w:r w:rsidR="003E7C20">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t>；及</w:t>
            </w:r>
            <w:r w:rsidRPr="00867787">
              <w:rPr>
                <w:rFonts w:ascii="標楷體" w:eastAsia="標楷體" w:hAnsi="標楷體" w:cs="新細明體" w:hint="eastAsia"/>
                <w:kern w:val="0"/>
                <w:sz w:val="30"/>
                <w:szCs w:val="30"/>
              </w:rPr>
              <w:br/>
              <w:t>(c)</w:t>
            </w:r>
            <w:r w:rsidR="00E25718">
              <w:rPr>
                <w:rFonts w:ascii="標楷體" w:eastAsia="標楷體" w:hAnsi="標楷體" w:cs="新細明體" w:hint="eastAsia"/>
                <w:kern w:val="0"/>
                <w:sz w:val="30"/>
                <w:szCs w:val="30"/>
              </w:rPr>
              <w:t>有關對個體</w:t>
            </w:r>
            <w:r w:rsidRPr="00867787">
              <w:rPr>
                <w:rFonts w:ascii="標楷體" w:eastAsia="標楷體" w:hAnsi="標楷體" w:cs="新細明體" w:hint="eastAsia"/>
                <w:kern w:val="0"/>
                <w:sz w:val="30"/>
                <w:szCs w:val="30"/>
              </w:rPr>
              <w:t>於報導期間</w:t>
            </w:r>
            <w:r w:rsidR="00E25718">
              <w:rPr>
                <w:rFonts w:ascii="標楷體" w:eastAsia="標楷體" w:hAnsi="標楷體" w:cs="新細明體" w:hint="eastAsia"/>
                <w:kern w:val="0"/>
                <w:sz w:val="30"/>
                <w:szCs w:val="30"/>
              </w:rPr>
              <w:t>之</w:t>
            </w:r>
            <w:r w:rsidRPr="00867787">
              <w:rPr>
                <w:rFonts w:ascii="標楷體" w:eastAsia="標楷體" w:hAnsi="標楷體" w:cs="新細明體" w:hint="eastAsia"/>
                <w:kern w:val="0"/>
                <w:sz w:val="30"/>
                <w:szCs w:val="30"/>
              </w:rPr>
              <w:t>財務績效之影響</w:t>
            </w:r>
            <w:r w:rsidR="00E25718">
              <w:rPr>
                <w:rFonts w:ascii="標楷體" w:eastAsia="標楷體" w:hAnsi="標楷體" w:cs="新細明體" w:hint="eastAsia"/>
                <w:kern w:val="0"/>
                <w:sz w:val="30"/>
                <w:szCs w:val="30"/>
              </w:rPr>
              <w:t>之質性及量化資訊</w:t>
            </w:r>
            <w:r w:rsidRPr="00867787">
              <w:rPr>
                <w:rFonts w:ascii="標楷體" w:eastAsia="標楷體" w:hAnsi="標楷體" w:cs="新細明體" w:hint="eastAsia"/>
                <w:kern w:val="0"/>
                <w:sz w:val="30"/>
                <w:szCs w:val="30"/>
              </w:rPr>
              <w:t>。</w:t>
            </w:r>
          </w:p>
          <w:p w14:paraId="70B4BE8D" w14:textId="6B3E4C9D" w:rsidR="00867787" w:rsidRPr="00867787" w:rsidRDefault="009A0DEC" w:rsidP="00D05C57">
            <w:pPr>
              <w:widowControl/>
              <w:rPr>
                <w:rFonts w:ascii="標楷體" w:eastAsia="標楷體" w:hAnsi="標楷體" w:cs="新細明體"/>
                <w:kern w:val="0"/>
                <w:sz w:val="30"/>
                <w:szCs w:val="30"/>
              </w:rPr>
            </w:pPr>
            <w:r>
              <w:rPr>
                <w:rFonts w:ascii="標楷體" w:eastAsia="標楷體" w:hAnsi="標楷體" w:cs="新細明體" w:hint="eastAsia"/>
                <w:kern w:val="0"/>
                <w:sz w:val="30"/>
                <w:szCs w:val="30"/>
              </w:rPr>
              <w:t>若個體於其他附註中揭露其他涉及依賴自然電力之合約之資訊，</w:t>
            </w:r>
            <w:r w:rsidR="00D105F9">
              <w:rPr>
                <w:rFonts w:ascii="標楷體" w:eastAsia="標楷體" w:hAnsi="標楷體" w:cs="新細明體" w:hint="eastAsia"/>
                <w:kern w:val="0"/>
                <w:sz w:val="30"/>
                <w:szCs w:val="30"/>
              </w:rPr>
              <w:t>個體應於此單一附註中納</w:t>
            </w:r>
            <w:r w:rsidR="00D105F9">
              <w:rPr>
                <w:rFonts w:ascii="標楷體" w:eastAsia="標楷體" w:hAnsi="標楷體" w:cs="新細明體" w:hint="eastAsia"/>
                <w:kern w:val="0"/>
                <w:sz w:val="30"/>
                <w:szCs w:val="30"/>
              </w:rPr>
              <w:lastRenderedPageBreak/>
              <w:t>入對</w:t>
            </w:r>
            <w:r>
              <w:rPr>
                <w:rFonts w:ascii="標楷體" w:eastAsia="標楷體" w:hAnsi="標楷體" w:cs="新細明體" w:hint="eastAsia"/>
                <w:kern w:val="0"/>
                <w:sz w:val="30"/>
                <w:szCs w:val="30"/>
              </w:rPr>
              <w:t>該等</w:t>
            </w:r>
            <w:r w:rsidR="00D105F9">
              <w:rPr>
                <w:rFonts w:ascii="標楷體" w:eastAsia="標楷體" w:hAnsi="標楷體" w:cs="新細明體" w:hint="eastAsia"/>
                <w:kern w:val="0"/>
                <w:sz w:val="30"/>
                <w:szCs w:val="30"/>
              </w:rPr>
              <w:t>附註之交叉索引。</w:t>
            </w:r>
            <w:r w:rsidR="00867787" w:rsidRPr="00867787">
              <w:rPr>
                <w:rFonts w:ascii="標楷體" w:eastAsia="標楷體" w:hAnsi="標楷體" w:cs="新細明體" w:hint="eastAsia"/>
                <w:kern w:val="0"/>
                <w:sz w:val="30"/>
                <w:szCs w:val="30"/>
              </w:rPr>
              <w:br/>
              <w:t>2.</w:t>
            </w:r>
            <w:r w:rsidR="00D05C57">
              <w:rPr>
                <w:rFonts w:ascii="標楷體" w:eastAsia="標楷體" w:hAnsi="標楷體" w:cs="新細明體" w:hint="eastAsia"/>
                <w:kern w:val="0"/>
                <w:sz w:val="30"/>
                <w:szCs w:val="30"/>
              </w:rPr>
              <w:t>個體應對已</w:t>
            </w:r>
            <w:r w:rsidR="00D05C57" w:rsidRPr="00867787">
              <w:rPr>
                <w:rFonts w:ascii="標楷體" w:eastAsia="標楷體" w:hAnsi="標楷體" w:cs="新細明體" w:hint="eastAsia"/>
                <w:kern w:val="0"/>
                <w:sz w:val="30"/>
                <w:szCs w:val="30"/>
              </w:rPr>
              <w:t>於現金流量避險關係中</w:t>
            </w:r>
            <w:r w:rsidR="00D105F9">
              <w:rPr>
                <w:rFonts w:ascii="標楷體" w:eastAsia="標楷體" w:hAnsi="標楷體" w:cs="新細明體" w:hint="eastAsia"/>
                <w:kern w:val="0"/>
                <w:sz w:val="30"/>
                <w:szCs w:val="30"/>
              </w:rPr>
              <w:t>被</w:t>
            </w:r>
            <w:r w:rsidR="00867787" w:rsidRPr="00867787">
              <w:rPr>
                <w:rFonts w:ascii="標楷體" w:eastAsia="標楷體" w:hAnsi="標楷體" w:cs="新細明體" w:hint="eastAsia"/>
                <w:kern w:val="0"/>
                <w:sz w:val="30"/>
                <w:szCs w:val="30"/>
              </w:rPr>
              <w:t>指定</w:t>
            </w:r>
            <w:r w:rsidR="00D105F9">
              <w:rPr>
                <w:rFonts w:ascii="標楷體" w:eastAsia="標楷體" w:hAnsi="標楷體" w:cs="新細明體" w:hint="eastAsia"/>
                <w:kern w:val="0"/>
                <w:sz w:val="30"/>
                <w:szCs w:val="30"/>
              </w:rPr>
              <w:t>之</w:t>
            </w:r>
            <w:r w:rsidR="00867787" w:rsidRPr="00867787">
              <w:rPr>
                <w:rFonts w:ascii="標楷體" w:eastAsia="標楷體" w:hAnsi="標楷體" w:cs="新細明體" w:hint="eastAsia"/>
                <w:kern w:val="0"/>
                <w:sz w:val="30"/>
                <w:szCs w:val="30"/>
              </w:rPr>
              <w:t>涉及依賴自然電力</w:t>
            </w:r>
            <w:r w:rsidR="00D105F9">
              <w:rPr>
                <w:rFonts w:ascii="標楷體" w:eastAsia="標楷體" w:hAnsi="標楷體" w:cs="新細明體" w:hint="eastAsia"/>
                <w:kern w:val="0"/>
                <w:sz w:val="30"/>
                <w:szCs w:val="30"/>
              </w:rPr>
              <w:t>之</w:t>
            </w:r>
            <w:r w:rsidR="00867787" w:rsidRPr="00867787">
              <w:rPr>
                <w:rFonts w:ascii="標楷體" w:eastAsia="標楷體" w:hAnsi="標楷體" w:cs="新細明體" w:hint="eastAsia"/>
                <w:kern w:val="0"/>
                <w:sz w:val="30"/>
                <w:szCs w:val="30"/>
              </w:rPr>
              <w:t>合約，</w:t>
            </w:r>
            <w:r w:rsidR="00D105F9">
              <w:rPr>
                <w:rFonts w:ascii="標楷體" w:eastAsia="標楷體" w:hAnsi="標楷體" w:cs="新細明體" w:hint="eastAsia"/>
                <w:kern w:val="0"/>
                <w:sz w:val="30"/>
                <w:szCs w:val="30"/>
              </w:rPr>
              <w:t>細分</w:t>
            </w:r>
            <w:r w:rsidR="00867787" w:rsidRPr="00867787">
              <w:rPr>
                <w:rFonts w:ascii="標楷體" w:eastAsia="標楷體" w:hAnsi="標楷體" w:cs="新細明體" w:hint="eastAsia"/>
                <w:kern w:val="0"/>
                <w:sz w:val="30"/>
                <w:szCs w:val="30"/>
              </w:rPr>
              <w:t>按風險種類揭露</w:t>
            </w:r>
            <w:r w:rsidR="00D105F9">
              <w:rPr>
                <w:rFonts w:ascii="標楷體" w:eastAsia="標楷體" w:hAnsi="標楷體" w:cs="新細明體" w:hint="eastAsia"/>
                <w:kern w:val="0"/>
                <w:sz w:val="30"/>
                <w:szCs w:val="30"/>
              </w:rPr>
              <w:t>有</w:t>
            </w:r>
            <w:r w:rsidR="00867787" w:rsidRPr="00867787">
              <w:rPr>
                <w:rFonts w:ascii="標楷體" w:eastAsia="標楷體" w:hAnsi="標楷體" w:cs="新細明體" w:hint="eastAsia"/>
                <w:kern w:val="0"/>
                <w:sz w:val="30"/>
                <w:szCs w:val="30"/>
              </w:rPr>
              <w:t>關避險工具之條款及條件</w:t>
            </w:r>
            <w:r w:rsidR="00D105F9">
              <w:rPr>
                <w:rFonts w:ascii="標楷體" w:eastAsia="標楷體" w:hAnsi="標楷體" w:cs="新細明體" w:hint="eastAsia"/>
                <w:kern w:val="0"/>
                <w:sz w:val="30"/>
                <w:szCs w:val="30"/>
              </w:rPr>
              <w:t>之資訊</w:t>
            </w:r>
            <w:r w:rsidR="00867787" w:rsidRPr="00867787">
              <w:rPr>
                <w:rFonts w:ascii="標楷體" w:eastAsia="標楷體" w:hAnsi="標楷體" w:cs="新細明體" w:hint="eastAsia"/>
                <w:kern w:val="0"/>
                <w:sz w:val="30"/>
                <w:szCs w:val="30"/>
              </w:rPr>
              <w:t>。</w:t>
            </w:r>
            <w:r w:rsidR="00867787" w:rsidRPr="00867787">
              <w:rPr>
                <w:rFonts w:ascii="標楷體" w:eastAsia="標楷體" w:hAnsi="標楷體" w:cs="新細明體" w:hint="eastAsia"/>
                <w:kern w:val="0"/>
                <w:sz w:val="30"/>
                <w:szCs w:val="30"/>
              </w:rPr>
              <w:br/>
            </w:r>
            <w:r w:rsidR="00867787" w:rsidRPr="00867787">
              <w:rPr>
                <w:rFonts w:ascii="標楷體" w:eastAsia="標楷體" w:hAnsi="標楷體" w:cs="新細明體" w:hint="eastAsia"/>
                <w:kern w:val="0"/>
                <w:sz w:val="30"/>
                <w:szCs w:val="30"/>
              </w:rPr>
              <w:br/>
              <w:t>114年版：無</w:t>
            </w:r>
          </w:p>
        </w:tc>
      </w:tr>
    </w:tbl>
    <w:p w14:paraId="229384EA" w14:textId="77777777" w:rsidR="00FE040C" w:rsidRDefault="00FE040C">
      <w:r w:rsidRPr="00867787">
        <w:rPr>
          <w:rFonts w:ascii="標楷體" w:eastAsia="標楷體" w:hAnsi="標楷體" w:cs="Times New Roman" w:hint="eastAsia"/>
          <w:b/>
          <w:bCs/>
          <w:color w:val="0000FF"/>
          <w:kern w:val="0"/>
          <w:sz w:val="28"/>
          <w:szCs w:val="28"/>
        </w:rPr>
        <w:lastRenderedPageBreak/>
        <w:t>三、其他重大實務提醒項目</w:t>
      </w:r>
    </w:p>
    <w:tbl>
      <w:tblPr>
        <w:tblW w:w="2099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2140"/>
        <w:gridCol w:w="2700"/>
        <w:gridCol w:w="3260"/>
        <w:gridCol w:w="11954"/>
      </w:tblGrid>
      <w:tr w:rsidR="00867787" w:rsidRPr="00867787" w14:paraId="30B5781A" w14:textId="77777777" w:rsidTr="002B1B86">
        <w:trPr>
          <w:trHeight w:val="390"/>
          <w:tblHeader/>
        </w:trPr>
        <w:tc>
          <w:tcPr>
            <w:tcW w:w="940" w:type="dxa"/>
            <w:shd w:val="clear" w:color="000000" w:fill="FAC090"/>
            <w:hideMark/>
          </w:tcPr>
          <w:p w14:paraId="105EC6B9" w14:textId="77777777" w:rsidR="00867787" w:rsidRPr="00867787" w:rsidRDefault="00867787" w:rsidP="00867787">
            <w:pPr>
              <w:widowControl/>
              <w:jc w:val="center"/>
              <w:rPr>
                <w:rFonts w:ascii="Times New Roman" w:eastAsia="新細明體" w:hAnsi="Times New Roman" w:cs="Times New Roman"/>
                <w:b/>
                <w:bCs/>
                <w:kern w:val="0"/>
                <w:sz w:val="28"/>
                <w:szCs w:val="28"/>
              </w:rPr>
            </w:pPr>
            <w:bookmarkStart w:id="0" w:name="RANGE!A2:E3"/>
            <w:r w:rsidRPr="00867787">
              <w:rPr>
                <w:rFonts w:ascii="標楷體" w:eastAsia="標楷體" w:hAnsi="標楷體" w:cs="Times New Roman" w:hint="eastAsia"/>
                <w:b/>
                <w:bCs/>
                <w:kern w:val="0"/>
                <w:sz w:val="28"/>
                <w:szCs w:val="28"/>
              </w:rPr>
              <w:t>項次</w:t>
            </w:r>
            <w:bookmarkEnd w:id="0"/>
          </w:p>
        </w:tc>
        <w:tc>
          <w:tcPr>
            <w:tcW w:w="2140" w:type="dxa"/>
            <w:shd w:val="clear" w:color="000000" w:fill="FAC090"/>
            <w:vAlign w:val="center"/>
            <w:hideMark/>
          </w:tcPr>
          <w:p w14:paraId="1EFA6626" w14:textId="77777777" w:rsidR="00867787" w:rsidRPr="00867787" w:rsidRDefault="00867787" w:rsidP="00867787">
            <w:pPr>
              <w:widowControl/>
              <w:rPr>
                <w:rFonts w:ascii="Times New Roman" w:eastAsia="新細明體" w:hAnsi="Times New Roman" w:cs="Times New Roman"/>
                <w:b/>
                <w:bCs/>
                <w:kern w:val="0"/>
                <w:sz w:val="28"/>
                <w:szCs w:val="28"/>
              </w:rPr>
            </w:pPr>
            <w:r w:rsidRPr="00867787">
              <w:rPr>
                <w:rFonts w:ascii="標楷體" w:eastAsia="標楷體" w:hAnsi="標楷體" w:cs="Times New Roman" w:hint="eastAsia"/>
                <w:b/>
                <w:bCs/>
                <w:kern w:val="0"/>
                <w:sz w:val="28"/>
                <w:szCs w:val="28"/>
              </w:rPr>
              <w:t>議題</w:t>
            </w:r>
          </w:p>
        </w:tc>
        <w:tc>
          <w:tcPr>
            <w:tcW w:w="2700" w:type="dxa"/>
            <w:shd w:val="clear" w:color="000000" w:fill="FAC090"/>
            <w:vAlign w:val="center"/>
            <w:hideMark/>
          </w:tcPr>
          <w:p w14:paraId="072D8977" w14:textId="77777777" w:rsidR="00867787" w:rsidRPr="00867787" w:rsidRDefault="00867787" w:rsidP="00867787">
            <w:pPr>
              <w:widowControl/>
              <w:rPr>
                <w:rFonts w:ascii="Times New Roman" w:eastAsia="新細明體" w:hAnsi="Times New Roman" w:cs="Times New Roman"/>
                <w:b/>
                <w:bCs/>
                <w:kern w:val="0"/>
                <w:sz w:val="28"/>
                <w:szCs w:val="28"/>
              </w:rPr>
            </w:pPr>
            <w:r w:rsidRPr="00867787">
              <w:rPr>
                <w:rFonts w:ascii="標楷體" w:eastAsia="標楷體" w:hAnsi="標楷體" w:cs="Times New Roman" w:hint="eastAsia"/>
                <w:b/>
                <w:bCs/>
                <w:kern w:val="0"/>
                <w:sz w:val="28"/>
                <w:szCs w:val="28"/>
              </w:rPr>
              <w:t>會計項目</w:t>
            </w:r>
          </w:p>
        </w:tc>
        <w:tc>
          <w:tcPr>
            <w:tcW w:w="3260" w:type="dxa"/>
            <w:shd w:val="clear" w:color="000000" w:fill="FAC090"/>
            <w:vAlign w:val="center"/>
            <w:hideMark/>
          </w:tcPr>
          <w:p w14:paraId="78FF3C8B" w14:textId="500E02B8" w:rsidR="00867787" w:rsidRPr="00867787" w:rsidRDefault="00D05C57" w:rsidP="00867787">
            <w:pPr>
              <w:widowControl/>
              <w:rPr>
                <w:rFonts w:ascii="Times New Roman" w:eastAsia="新細明體" w:hAnsi="Times New Roman" w:cs="Times New Roman"/>
                <w:b/>
                <w:bCs/>
                <w:kern w:val="0"/>
                <w:sz w:val="28"/>
                <w:szCs w:val="28"/>
              </w:rPr>
            </w:pPr>
            <w:r>
              <w:rPr>
                <w:rFonts w:ascii="標楷體" w:eastAsia="標楷體" w:hAnsi="標楷體" w:cs="Times New Roman" w:hint="eastAsia"/>
                <w:b/>
                <w:bCs/>
                <w:kern w:val="0"/>
                <w:sz w:val="28"/>
                <w:szCs w:val="28"/>
              </w:rPr>
              <w:t>準則</w:t>
            </w:r>
            <w:r w:rsidR="00867787" w:rsidRPr="00867787">
              <w:rPr>
                <w:rFonts w:ascii="標楷體" w:eastAsia="標楷體" w:hAnsi="標楷體" w:cs="Times New Roman" w:hint="eastAsia"/>
                <w:b/>
                <w:bCs/>
                <w:kern w:val="0"/>
                <w:sz w:val="28"/>
                <w:szCs w:val="28"/>
              </w:rPr>
              <w:t>號次及段落</w:t>
            </w:r>
          </w:p>
        </w:tc>
        <w:tc>
          <w:tcPr>
            <w:tcW w:w="11954" w:type="dxa"/>
            <w:shd w:val="clear" w:color="000000" w:fill="FAC090"/>
            <w:vAlign w:val="center"/>
            <w:hideMark/>
          </w:tcPr>
          <w:p w14:paraId="72C2A80A" w14:textId="77777777" w:rsidR="00867787" w:rsidRPr="00867787" w:rsidRDefault="00867787" w:rsidP="00867787">
            <w:pPr>
              <w:widowControl/>
              <w:rPr>
                <w:rFonts w:ascii="Times New Roman" w:eastAsia="新細明體" w:hAnsi="Times New Roman" w:cs="Times New Roman"/>
                <w:b/>
                <w:bCs/>
                <w:kern w:val="0"/>
                <w:sz w:val="28"/>
                <w:szCs w:val="28"/>
              </w:rPr>
            </w:pPr>
            <w:r w:rsidRPr="00867787">
              <w:rPr>
                <w:rFonts w:ascii="標楷體" w:eastAsia="標楷體" w:hAnsi="標楷體" w:cs="Times New Roman" w:hint="eastAsia"/>
                <w:b/>
                <w:bCs/>
                <w:kern w:val="0"/>
                <w:sz w:val="28"/>
                <w:szCs w:val="28"/>
              </w:rPr>
              <w:t>差異說明</w:t>
            </w:r>
          </w:p>
        </w:tc>
      </w:tr>
      <w:tr w:rsidR="00054C2D" w:rsidRPr="00867787" w14:paraId="1139C876" w14:textId="77777777" w:rsidTr="003C2163">
        <w:trPr>
          <w:trHeight w:val="1805"/>
        </w:trPr>
        <w:tc>
          <w:tcPr>
            <w:tcW w:w="940" w:type="dxa"/>
            <w:noWrap/>
            <w:hideMark/>
          </w:tcPr>
          <w:p w14:paraId="3CCD49A6" w14:textId="448B2509" w:rsidR="00054C2D" w:rsidRPr="00867787" w:rsidRDefault="00EE78C1" w:rsidP="00867787">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w:t>
            </w:r>
          </w:p>
        </w:tc>
        <w:tc>
          <w:tcPr>
            <w:tcW w:w="2140" w:type="dxa"/>
            <w:hideMark/>
          </w:tcPr>
          <w:p w14:paraId="2A8F34BB" w14:textId="29189C18" w:rsidR="00054C2D" w:rsidRPr="00867787" w:rsidRDefault="00054C2D" w:rsidP="00867787">
            <w:pPr>
              <w:widowControl/>
              <w:rPr>
                <w:rFonts w:ascii="標楷體" w:eastAsia="標楷體" w:hAnsi="標楷體" w:cs="新細明體"/>
                <w:color w:val="000000"/>
                <w:kern w:val="0"/>
                <w:sz w:val="32"/>
                <w:szCs w:val="32"/>
              </w:rPr>
            </w:pPr>
            <w:r w:rsidRPr="00867787">
              <w:rPr>
                <w:rFonts w:ascii="標楷體" w:eastAsia="標楷體" w:hAnsi="標楷體" w:cs="新細明體" w:hint="eastAsia"/>
                <w:kern w:val="0"/>
                <w:sz w:val="32"/>
                <w:szCs w:val="32"/>
              </w:rPr>
              <w:t>金融</w:t>
            </w:r>
            <w:r w:rsidR="003429D5">
              <w:rPr>
                <w:rFonts w:ascii="標楷體" w:eastAsia="標楷體" w:hAnsi="標楷體" w:cs="新細明體" w:hint="eastAsia"/>
                <w:kern w:val="0"/>
                <w:sz w:val="32"/>
                <w:szCs w:val="32"/>
              </w:rPr>
              <w:t>資產與金融</w:t>
            </w:r>
            <w:r w:rsidRPr="00867787">
              <w:rPr>
                <w:rFonts w:ascii="標楷體" w:eastAsia="標楷體" w:hAnsi="標楷體" w:cs="新細明體" w:hint="eastAsia"/>
                <w:kern w:val="0"/>
                <w:sz w:val="32"/>
                <w:szCs w:val="32"/>
              </w:rPr>
              <w:t>負債之除列</w:t>
            </w:r>
            <w:r>
              <w:rPr>
                <w:rFonts w:ascii="標楷體" w:eastAsia="標楷體" w:hAnsi="標楷體" w:cs="新細明體" w:hint="eastAsia"/>
                <w:kern w:val="0"/>
                <w:sz w:val="32"/>
                <w:szCs w:val="32"/>
              </w:rPr>
              <w:t>日</w:t>
            </w:r>
          </w:p>
        </w:tc>
        <w:tc>
          <w:tcPr>
            <w:tcW w:w="2700" w:type="dxa"/>
            <w:hideMark/>
          </w:tcPr>
          <w:p w14:paraId="52E6B217" w14:textId="302905AF" w:rsidR="00054C2D" w:rsidRPr="00867787" w:rsidRDefault="00054C2D" w:rsidP="00867787">
            <w:pPr>
              <w:widowControl/>
              <w:rPr>
                <w:rFonts w:ascii="標楷體" w:eastAsia="標楷體" w:hAnsi="標楷體" w:cs="新細明體"/>
                <w:color w:val="000000"/>
                <w:kern w:val="0"/>
                <w:sz w:val="28"/>
                <w:szCs w:val="28"/>
              </w:rPr>
            </w:pPr>
            <w:r w:rsidRPr="00867787">
              <w:rPr>
                <w:rFonts w:ascii="標楷體" w:eastAsia="標楷體" w:hAnsi="標楷體" w:cs="新細明體" w:hint="eastAsia"/>
                <w:kern w:val="0"/>
                <w:sz w:val="30"/>
                <w:szCs w:val="30"/>
              </w:rPr>
              <w:t>應付帳款</w:t>
            </w:r>
            <w:r w:rsidRPr="00867787">
              <w:rPr>
                <w:rFonts w:ascii="標楷體" w:eastAsia="標楷體" w:hAnsi="標楷體" w:cs="新細明體" w:hint="eastAsia"/>
                <w:kern w:val="0"/>
                <w:sz w:val="30"/>
                <w:szCs w:val="30"/>
              </w:rPr>
              <w:br/>
              <w:t>應付票據</w:t>
            </w:r>
          </w:p>
        </w:tc>
        <w:tc>
          <w:tcPr>
            <w:tcW w:w="3260" w:type="dxa"/>
            <w:hideMark/>
          </w:tcPr>
          <w:p w14:paraId="774AF31F" w14:textId="30CBD08F" w:rsidR="00054C2D" w:rsidRPr="00867787" w:rsidRDefault="00054C2D" w:rsidP="00867787">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t>新增</w:t>
            </w:r>
            <w:r>
              <w:rPr>
                <w:rFonts w:ascii="標楷體" w:eastAsia="標楷體" w:hAnsi="標楷體" w:cs="新細明體" w:hint="eastAsia"/>
                <w:kern w:val="0"/>
                <w:sz w:val="30"/>
                <w:szCs w:val="30"/>
              </w:rPr>
              <w:t>IFRS9第</w:t>
            </w:r>
            <w:r w:rsidRPr="00867787">
              <w:rPr>
                <w:rFonts w:ascii="標楷體" w:eastAsia="標楷體" w:hAnsi="標楷體" w:cs="新細明體" w:hint="eastAsia"/>
                <w:kern w:val="0"/>
                <w:sz w:val="30"/>
                <w:szCs w:val="30"/>
              </w:rPr>
              <w:t>B3.1.2A</w:t>
            </w:r>
            <w:r>
              <w:rPr>
                <w:rFonts w:ascii="標楷體" w:eastAsia="標楷體" w:hAnsi="標楷體" w:cs="新細明體" w:hint="eastAsia"/>
                <w:kern w:val="0"/>
                <w:sz w:val="30"/>
                <w:szCs w:val="30"/>
              </w:rPr>
              <w:t>段</w:t>
            </w:r>
            <w:r w:rsidRPr="00867787">
              <w:rPr>
                <w:rFonts w:ascii="標楷體" w:eastAsia="標楷體" w:hAnsi="標楷體" w:cs="新細明體" w:hint="eastAsia"/>
                <w:kern w:val="0"/>
                <w:sz w:val="30"/>
                <w:szCs w:val="30"/>
              </w:rPr>
              <w:br/>
              <w:t>114年版：</w:t>
            </w:r>
            <w:r>
              <w:rPr>
                <w:rFonts w:ascii="標楷體" w:eastAsia="標楷體" w:hAnsi="標楷體" w:cs="新細明體" w:hint="eastAsia"/>
                <w:kern w:val="0"/>
                <w:sz w:val="30"/>
                <w:szCs w:val="30"/>
              </w:rPr>
              <w:t>IFRS9第</w:t>
            </w:r>
            <w:r w:rsidR="003429D5">
              <w:rPr>
                <w:rFonts w:ascii="標楷體" w:eastAsia="標楷體" w:hAnsi="標楷體" w:cs="新細明體" w:hint="eastAsia"/>
                <w:kern w:val="0"/>
                <w:sz w:val="30"/>
                <w:szCs w:val="30"/>
              </w:rPr>
              <w:t>3.2.3至3.2.4及</w:t>
            </w:r>
            <w:r>
              <w:rPr>
                <w:rFonts w:ascii="標楷體" w:eastAsia="標楷體" w:hAnsi="標楷體" w:cs="新細明體" w:hint="eastAsia"/>
                <w:kern w:val="0"/>
                <w:sz w:val="30"/>
                <w:szCs w:val="30"/>
              </w:rPr>
              <w:t>3.3.1至3.3.2段</w:t>
            </w:r>
          </w:p>
        </w:tc>
        <w:tc>
          <w:tcPr>
            <w:tcW w:w="11954" w:type="dxa"/>
            <w:hideMark/>
          </w:tcPr>
          <w:p w14:paraId="115DD324" w14:textId="77777777" w:rsidR="003429D5" w:rsidRDefault="00054C2D" w:rsidP="00543DC0">
            <w:pPr>
              <w:widowControl/>
              <w:rPr>
                <w:rFonts w:ascii="標楷體" w:eastAsia="標楷體" w:hAnsi="標楷體" w:cs="新細明體"/>
                <w:color w:val="000000"/>
                <w:kern w:val="0"/>
                <w:sz w:val="30"/>
                <w:szCs w:val="30"/>
              </w:rPr>
            </w:pPr>
            <w:r w:rsidRPr="00867787">
              <w:rPr>
                <w:rFonts w:ascii="標楷體" w:eastAsia="標楷體" w:hAnsi="標楷體" w:cs="新細明體" w:hint="eastAsia"/>
                <w:kern w:val="0"/>
                <w:sz w:val="30"/>
                <w:szCs w:val="30"/>
              </w:rPr>
              <w:t>115</w:t>
            </w:r>
            <w:r w:rsidRPr="00867787">
              <w:rPr>
                <w:rFonts w:ascii="標楷體" w:eastAsia="標楷體" w:hAnsi="標楷體" w:cs="新細明體" w:hint="eastAsia"/>
                <w:color w:val="000000"/>
                <w:kern w:val="0"/>
                <w:sz w:val="30"/>
                <w:szCs w:val="30"/>
              </w:rPr>
              <w:t>年版</w:t>
            </w:r>
            <w:r w:rsidR="003429D5">
              <w:rPr>
                <w:rFonts w:ascii="標楷體" w:eastAsia="標楷體" w:hAnsi="標楷體" w:cs="新細明體" w:hint="eastAsia"/>
                <w:color w:val="000000"/>
                <w:kern w:val="0"/>
                <w:sz w:val="30"/>
                <w:szCs w:val="30"/>
              </w:rPr>
              <w:t>之</w:t>
            </w:r>
            <w:r w:rsidR="00543DC0">
              <w:rPr>
                <w:rFonts w:ascii="標楷體" w:eastAsia="標楷體" w:hAnsi="標楷體" w:cs="新細明體" w:hint="eastAsia"/>
                <w:color w:val="000000"/>
                <w:kern w:val="0"/>
                <w:sz w:val="30"/>
                <w:szCs w:val="30"/>
              </w:rPr>
              <w:t>修正</w:t>
            </w:r>
            <w:r w:rsidR="003429D5">
              <w:rPr>
                <w:rFonts w:ascii="標楷體" w:eastAsia="標楷體" w:hAnsi="標楷體" w:cs="新細明體" w:hint="eastAsia"/>
                <w:color w:val="000000"/>
                <w:kern w:val="0"/>
                <w:sz w:val="30"/>
                <w:szCs w:val="30"/>
              </w:rPr>
              <w:t>雖</w:t>
            </w:r>
            <w:r w:rsidR="00543DC0" w:rsidRPr="00543DC0">
              <w:rPr>
                <w:rFonts w:ascii="標楷體" w:eastAsia="標楷體" w:hAnsi="標楷體" w:cs="新細明體" w:hint="eastAsia"/>
                <w:color w:val="000000"/>
                <w:kern w:val="0"/>
                <w:sz w:val="30"/>
                <w:szCs w:val="30"/>
              </w:rPr>
              <w:t>未改變</w:t>
            </w:r>
            <w:r w:rsidR="003429D5" w:rsidRPr="003429D5">
              <w:rPr>
                <w:rFonts w:ascii="標楷體" w:eastAsia="標楷體" w:hAnsi="標楷體" w:cs="新細明體" w:hint="eastAsia"/>
                <w:color w:val="000000"/>
                <w:kern w:val="0"/>
                <w:sz w:val="30"/>
                <w:szCs w:val="30"/>
              </w:rPr>
              <w:t>金融資產</w:t>
            </w:r>
            <w:r w:rsidR="003429D5">
              <w:rPr>
                <w:rFonts w:ascii="標楷體" w:eastAsia="標楷體" w:hAnsi="標楷體" w:cs="新細明體" w:hint="eastAsia"/>
                <w:color w:val="000000"/>
                <w:kern w:val="0"/>
                <w:sz w:val="30"/>
                <w:szCs w:val="30"/>
              </w:rPr>
              <w:t>及</w:t>
            </w:r>
            <w:r w:rsidR="00543DC0" w:rsidRPr="00543DC0">
              <w:rPr>
                <w:rFonts w:ascii="標楷體" w:eastAsia="標楷體" w:hAnsi="標楷體" w:cs="新細明體" w:hint="eastAsia"/>
                <w:color w:val="000000"/>
                <w:kern w:val="0"/>
                <w:sz w:val="30"/>
                <w:szCs w:val="30"/>
              </w:rPr>
              <w:t>某些類型金融負債之除列規定，</w:t>
            </w:r>
            <w:r w:rsidR="00543DC0">
              <w:rPr>
                <w:rFonts w:ascii="標楷體" w:eastAsia="標楷體" w:hAnsi="標楷體" w:cs="新細明體" w:hint="eastAsia"/>
                <w:color w:val="000000"/>
                <w:kern w:val="0"/>
                <w:sz w:val="30"/>
                <w:szCs w:val="30"/>
              </w:rPr>
              <w:t>惟其可能與現行實務不一致。</w:t>
            </w:r>
            <w:r w:rsidR="003429D5">
              <w:rPr>
                <w:rFonts w:ascii="標楷體" w:eastAsia="標楷體" w:hAnsi="標楷體" w:cs="新細明體" w:hint="eastAsia"/>
                <w:color w:val="000000"/>
                <w:kern w:val="0"/>
                <w:sz w:val="30"/>
                <w:szCs w:val="30"/>
              </w:rPr>
              <w:t>例如：</w:t>
            </w:r>
          </w:p>
          <w:p w14:paraId="5779CEB0" w14:textId="77777777" w:rsidR="003429D5" w:rsidRDefault="003429D5" w:rsidP="00543DC0">
            <w:pPr>
              <w:widowControl/>
              <w:rPr>
                <w:rFonts w:ascii="標楷體" w:eastAsia="標楷體" w:hAnsi="標楷體" w:cs="新細明體"/>
                <w:color w:val="000000"/>
                <w:kern w:val="0"/>
                <w:sz w:val="30"/>
                <w:szCs w:val="30"/>
              </w:rPr>
            </w:pPr>
            <w:r>
              <w:rPr>
                <w:rFonts w:ascii="標楷體" w:eastAsia="標楷體" w:hAnsi="標楷體" w:cs="新細明體" w:hint="eastAsia"/>
                <w:color w:val="000000"/>
                <w:kern w:val="0"/>
                <w:sz w:val="30"/>
                <w:szCs w:val="30"/>
              </w:rPr>
              <w:t>(1)個體</w:t>
            </w:r>
            <w:r w:rsidRPr="003429D5">
              <w:rPr>
                <w:rFonts w:ascii="標楷體" w:eastAsia="標楷體" w:hAnsi="標楷體" w:cs="新細明體" w:hint="eastAsia"/>
                <w:color w:val="000000"/>
                <w:kern w:val="0"/>
                <w:sz w:val="30"/>
                <w:szCs w:val="30"/>
              </w:rPr>
              <w:t>已交銀行託收之應收票據，若於資產</w:t>
            </w:r>
            <w:proofErr w:type="gramStart"/>
            <w:r w:rsidRPr="003429D5">
              <w:rPr>
                <w:rFonts w:ascii="標楷體" w:eastAsia="標楷體" w:hAnsi="標楷體" w:cs="新細明體" w:hint="eastAsia"/>
                <w:color w:val="000000"/>
                <w:kern w:val="0"/>
                <w:sz w:val="30"/>
                <w:szCs w:val="30"/>
              </w:rPr>
              <w:t>負債表日尚未</w:t>
            </w:r>
            <w:proofErr w:type="gramEnd"/>
            <w:r w:rsidRPr="003429D5">
              <w:rPr>
                <w:rFonts w:ascii="標楷體" w:eastAsia="標楷體" w:hAnsi="標楷體" w:cs="新細明體" w:hint="eastAsia"/>
                <w:color w:val="000000"/>
                <w:kern w:val="0"/>
                <w:sz w:val="30"/>
                <w:szCs w:val="30"/>
              </w:rPr>
              <w:t>兌現，依現行實務係於交付託收時即除列應收帳款，並認列在途存款；</w:t>
            </w:r>
            <w:r w:rsidR="00D05C57" w:rsidRPr="003429D5">
              <w:rPr>
                <w:rFonts w:ascii="標楷體" w:eastAsia="標楷體" w:hAnsi="標楷體" w:cs="新細明體" w:hint="eastAsia"/>
                <w:color w:val="000000"/>
                <w:kern w:val="0"/>
                <w:sz w:val="30"/>
                <w:szCs w:val="30"/>
              </w:rPr>
              <w:t>惟</w:t>
            </w:r>
            <w:r w:rsidRPr="003429D5">
              <w:rPr>
                <w:rFonts w:ascii="標楷體" w:eastAsia="標楷體" w:hAnsi="標楷體" w:cs="新細明體" w:hint="eastAsia"/>
                <w:color w:val="000000"/>
                <w:kern w:val="0"/>
                <w:sz w:val="30"/>
                <w:szCs w:val="30"/>
              </w:rPr>
              <w:t>依</w:t>
            </w:r>
            <w:r>
              <w:rPr>
                <w:rFonts w:ascii="標楷體" w:eastAsia="標楷體" w:hAnsi="標楷體" w:cs="新細明體" w:hint="eastAsia"/>
                <w:color w:val="000000"/>
                <w:kern w:val="0"/>
                <w:sz w:val="30"/>
                <w:szCs w:val="30"/>
              </w:rPr>
              <w:t>IFRS9</w:t>
            </w:r>
            <w:r w:rsidRPr="003429D5">
              <w:rPr>
                <w:rFonts w:ascii="標楷體" w:eastAsia="標楷體" w:hAnsi="標楷體" w:cs="新細明體" w:hint="eastAsia"/>
                <w:color w:val="000000"/>
                <w:kern w:val="0"/>
                <w:sz w:val="30"/>
                <w:szCs w:val="30"/>
              </w:rPr>
              <w:t>之</w:t>
            </w:r>
            <w:r w:rsidR="00D05C57">
              <w:rPr>
                <w:rFonts w:ascii="標楷體" w:eastAsia="標楷體" w:hAnsi="標楷體" w:cs="新細明體" w:hint="eastAsia"/>
                <w:color w:val="000000"/>
                <w:kern w:val="0"/>
                <w:sz w:val="30"/>
                <w:szCs w:val="30"/>
              </w:rPr>
              <w:t>精神</w:t>
            </w:r>
            <w:r w:rsidRPr="003429D5">
              <w:rPr>
                <w:rFonts w:ascii="標楷體" w:eastAsia="標楷體" w:hAnsi="標楷體" w:cs="新細明體" w:hint="eastAsia"/>
                <w:color w:val="000000"/>
                <w:kern w:val="0"/>
                <w:sz w:val="30"/>
                <w:szCs w:val="30"/>
              </w:rPr>
              <w:t>，僅於</w:t>
            </w:r>
            <w:r>
              <w:rPr>
                <w:rFonts w:ascii="標楷體" w:eastAsia="標楷體" w:hAnsi="標楷體" w:cs="新細明體" w:hint="eastAsia"/>
                <w:color w:val="000000"/>
                <w:kern w:val="0"/>
                <w:sz w:val="30"/>
                <w:szCs w:val="30"/>
              </w:rPr>
              <w:t>個體</w:t>
            </w:r>
            <w:r w:rsidRPr="003429D5">
              <w:rPr>
                <w:rFonts w:ascii="標楷體" w:eastAsia="標楷體" w:hAnsi="標楷體" w:cs="新細明體" w:hint="eastAsia"/>
                <w:color w:val="000000"/>
                <w:kern w:val="0"/>
                <w:sz w:val="30"/>
                <w:szCs w:val="30"/>
              </w:rPr>
              <w:t>已收取現金時，始應除列應收票據。</w:t>
            </w:r>
          </w:p>
          <w:p w14:paraId="76FB2222" w14:textId="77777777" w:rsidR="003429D5" w:rsidRDefault="003429D5" w:rsidP="00543DC0">
            <w:pPr>
              <w:widowControl/>
              <w:rPr>
                <w:rFonts w:ascii="標楷體" w:eastAsia="標楷體" w:hAnsi="標楷體" w:cs="新細明體"/>
                <w:color w:val="000000"/>
                <w:kern w:val="0"/>
                <w:sz w:val="30"/>
                <w:szCs w:val="30"/>
              </w:rPr>
            </w:pPr>
            <w:r>
              <w:rPr>
                <w:rFonts w:ascii="標楷體" w:eastAsia="標楷體" w:hAnsi="標楷體" w:cs="新細明體" w:hint="eastAsia"/>
                <w:color w:val="000000"/>
                <w:kern w:val="0"/>
                <w:sz w:val="30"/>
                <w:szCs w:val="30"/>
              </w:rPr>
              <w:t>(2)個體</w:t>
            </w:r>
            <w:r w:rsidRPr="003429D5">
              <w:rPr>
                <w:rFonts w:ascii="標楷體" w:eastAsia="標楷體" w:hAnsi="標楷體" w:cs="新細明體" w:hint="eastAsia"/>
                <w:color w:val="000000"/>
                <w:kern w:val="0"/>
                <w:sz w:val="30"/>
                <w:szCs w:val="30"/>
              </w:rPr>
              <w:t>開立之支票已於資產</w:t>
            </w:r>
            <w:proofErr w:type="gramStart"/>
            <w:r w:rsidRPr="003429D5">
              <w:rPr>
                <w:rFonts w:ascii="標楷體" w:eastAsia="標楷體" w:hAnsi="標楷體" w:cs="新細明體" w:hint="eastAsia"/>
                <w:color w:val="000000"/>
                <w:kern w:val="0"/>
                <w:sz w:val="30"/>
                <w:szCs w:val="30"/>
              </w:rPr>
              <w:t>負債表日到期</w:t>
            </w:r>
            <w:proofErr w:type="gramEnd"/>
            <w:r w:rsidRPr="003429D5">
              <w:rPr>
                <w:rFonts w:ascii="標楷體" w:eastAsia="標楷體" w:hAnsi="標楷體" w:cs="新細明體" w:hint="eastAsia"/>
                <w:color w:val="000000"/>
                <w:kern w:val="0"/>
                <w:sz w:val="30"/>
                <w:szCs w:val="30"/>
              </w:rPr>
              <w:t>，若持票人尚未至銀行兌現，現行實務下</w:t>
            </w:r>
            <w:r>
              <w:rPr>
                <w:rFonts w:ascii="標楷體" w:eastAsia="標楷體" w:hAnsi="標楷體" w:cs="新細明體" w:hint="eastAsia"/>
                <w:color w:val="000000"/>
                <w:kern w:val="0"/>
                <w:sz w:val="30"/>
                <w:szCs w:val="30"/>
              </w:rPr>
              <w:t>個體</w:t>
            </w:r>
            <w:r w:rsidRPr="003429D5">
              <w:rPr>
                <w:rFonts w:ascii="標楷體" w:eastAsia="標楷體" w:hAnsi="標楷體" w:cs="新細明體" w:hint="eastAsia"/>
                <w:color w:val="000000"/>
                <w:kern w:val="0"/>
                <w:sz w:val="30"/>
                <w:szCs w:val="30"/>
              </w:rPr>
              <w:t>係於票據到期時除列應付票據及銀行存款；惟依</w:t>
            </w:r>
            <w:r>
              <w:rPr>
                <w:rFonts w:ascii="標楷體" w:eastAsia="標楷體" w:hAnsi="標楷體" w:cs="新細明體" w:hint="eastAsia"/>
                <w:color w:val="000000"/>
                <w:kern w:val="0"/>
                <w:sz w:val="30"/>
                <w:szCs w:val="30"/>
              </w:rPr>
              <w:t>IFRS9</w:t>
            </w:r>
            <w:r w:rsidR="00D05C57" w:rsidRPr="003429D5">
              <w:rPr>
                <w:rFonts w:ascii="標楷體" w:eastAsia="標楷體" w:hAnsi="標楷體" w:cs="新細明體" w:hint="eastAsia"/>
                <w:color w:val="000000"/>
                <w:kern w:val="0"/>
                <w:sz w:val="30"/>
                <w:szCs w:val="30"/>
              </w:rPr>
              <w:t>之</w:t>
            </w:r>
            <w:r w:rsidR="00D05C57">
              <w:rPr>
                <w:rFonts w:ascii="標楷體" w:eastAsia="標楷體" w:hAnsi="標楷體" w:cs="新細明體" w:hint="eastAsia"/>
                <w:color w:val="000000"/>
                <w:kern w:val="0"/>
                <w:sz w:val="30"/>
                <w:szCs w:val="30"/>
              </w:rPr>
              <w:t>精神</w:t>
            </w:r>
            <w:r w:rsidRPr="003429D5">
              <w:rPr>
                <w:rFonts w:ascii="標楷體" w:eastAsia="標楷體" w:hAnsi="標楷體" w:cs="新細明體" w:hint="eastAsia"/>
                <w:color w:val="000000"/>
                <w:kern w:val="0"/>
                <w:sz w:val="30"/>
                <w:szCs w:val="30"/>
              </w:rPr>
              <w:t>，僅於</w:t>
            </w:r>
            <w:r w:rsidR="00D05C57">
              <w:rPr>
                <w:rFonts w:ascii="標楷體" w:eastAsia="標楷體" w:hAnsi="標楷體" w:cs="新細明體" w:hint="eastAsia"/>
                <w:color w:val="000000"/>
                <w:kern w:val="0"/>
                <w:sz w:val="30"/>
                <w:szCs w:val="30"/>
              </w:rPr>
              <w:t>個體</w:t>
            </w:r>
            <w:r w:rsidRPr="003429D5">
              <w:rPr>
                <w:rFonts w:ascii="標楷體" w:eastAsia="標楷體" w:hAnsi="標楷體" w:cs="新細明體" w:hint="eastAsia"/>
                <w:color w:val="000000"/>
                <w:kern w:val="0"/>
                <w:sz w:val="30"/>
                <w:szCs w:val="30"/>
              </w:rPr>
              <w:t>已付現時始</w:t>
            </w:r>
            <w:r w:rsidR="00D05C57">
              <w:rPr>
                <w:rFonts w:ascii="標楷體" w:eastAsia="標楷體" w:hAnsi="標楷體" w:cs="新細明體" w:hint="eastAsia"/>
                <w:color w:val="000000"/>
                <w:kern w:val="0"/>
                <w:sz w:val="30"/>
                <w:szCs w:val="30"/>
              </w:rPr>
              <w:t>應</w:t>
            </w:r>
            <w:r w:rsidRPr="003429D5">
              <w:rPr>
                <w:rFonts w:ascii="標楷體" w:eastAsia="標楷體" w:hAnsi="標楷體" w:cs="新細明體" w:hint="eastAsia"/>
                <w:color w:val="000000"/>
                <w:kern w:val="0"/>
                <w:sz w:val="30"/>
                <w:szCs w:val="30"/>
              </w:rPr>
              <w:t>除列應付票據。</w:t>
            </w:r>
          </w:p>
          <w:p w14:paraId="1B595748" w14:textId="77777777" w:rsidR="003429D5" w:rsidRDefault="00EE78C1" w:rsidP="003429D5">
            <w:pPr>
              <w:widowControl/>
              <w:rPr>
                <w:rFonts w:ascii="標楷體" w:eastAsia="標楷體" w:hAnsi="標楷體" w:cs="新細明體"/>
                <w:color w:val="000000"/>
                <w:kern w:val="0"/>
                <w:sz w:val="30"/>
                <w:szCs w:val="30"/>
              </w:rPr>
            </w:pPr>
            <w:r>
              <w:rPr>
                <w:rFonts w:ascii="標楷體" w:eastAsia="標楷體" w:hAnsi="標楷體" w:cs="新細明體" w:hint="eastAsia"/>
                <w:color w:val="000000"/>
                <w:kern w:val="0"/>
                <w:sz w:val="30"/>
                <w:szCs w:val="30"/>
              </w:rPr>
              <w:t>因此，</w:t>
            </w:r>
            <w:r w:rsidR="003429D5">
              <w:rPr>
                <w:rFonts w:ascii="標楷體" w:eastAsia="標楷體" w:hAnsi="標楷體" w:cs="新細明體" w:hint="eastAsia"/>
                <w:color w:val="000000"/>
                <w:kern w:val="0"/>
                <w:sz w:val="30"/>
                <w:szCs w:val="30"/>
              </w:rPr>
              <w:t>個體</w:t>
            </w:r>
            <w:r w:rsidR="003429D5" w:rsidRPr="003429D5">
              <w:rPr>
                <w:rFonts w:ascii="標楷體" w:eastAsia="標楷體" w:hAnsi="標楷體" w:cs="新細明體" w:hint="eastAsia"/>
                <w:color w:val="000000"/>
                <w:kern w:val="0"/>
                <w:sz w:val="30"/>
                <w:szCs w:val="30"/>
              </w:rPr>
              <w:t>適用IFRS9</w:t>
            </w:r>
            <w:r w:rsidR="003429D5">
              <w:rPr>
                <w:rFonts w:ascii="標楷體" w:eastAsia="標楷體" w:hAnsi="標楷體" w:cs="新細明體" w:hint="eastAsia"/>
                <w:color w:val="000000"/>
                <w:kern w:val="0"/>
                <w:sz w:val="30"/>
                <w:szCs w:val="30"/>
              </w:rPr>
              <w:t>修正條文時，須</w:t>
            </w:r>
            <w:r w:rsidR="003429D5" w:rsidRPr="003429D5">
              <w:rPr>
                <w:rFonts w:ascii="標楷體" w:eastAsia="標楷體" w:hAnsi="標楷體" w:cs="新細明體" w:hint="eastAsia"/>
                <w:color w:val="000000"/>
                <w:kern w:val="0"/>
                <w:sz w:val="30"/>
                <w:szCs w:val="30"/>
              </w:rPr>
              <w:t>評估此類交易下金融資產及金融負債除列時點是否受影響</w:t>
            </w:r>
            <w:r w:rsidR="003429D5">
              <w:rPr>
                <w:rFonts w:ascii="標楷體" w:eastAsia="標楷體" w:hAnsi="標楷體" w:cs="新細明體" w:hint="eastAsia"/>
                <w:color w:val="000000"/>
                <w:kern w:val="0"/>
                <w:sz w:val="30"/>
                <w:szCs w:val="30"/>
              </w:rPr>
              <w:t>。</w:t>
            </w:r>
          </w:p>
          <w:p w14:paraId="4D763268" w14:textId="77777777" w:rsidR="003429D5" w:rsidRDefault="003429D5" w:rsidP="003429D5">
            <w:pPr>
              <w:widowControl/>
              <w:rPr>
                <w:rFonts w:ascii="標楷體" w:eastAsia="標楷體" w:hAnsi="標楷體" w:cs="新細明體"/>
                <w:color w:val="000000"/>
                <w:kern w:val="0"/>
                <w:sz w:val="30"/>
                <w:szCs w:val="30"/>
              </w:rPr>
            </w:pPr>
          </w:p>
          <w:p w14:paraId="4A78A409" w14:textId="160CCA74" w:rsidR="00054C2D" w:rsidRPr="002B1B86" w:rsidRDefault="00543DC0" w:rsidP="003429D5">
            <w:pPr>
              <w:widowControl/>
              <w:rPr>
                <w:rFonts w:ascii="標楷體" w:eastAsia="標楷體" w:hAnsi="標楷體" w:cs="新細明體"/>
                <w:color w:val="000000"/>
                <w:kern w:val="0"/>
                <w:sz w:val="30"/>
                <w:szCs w:val="30"/>
              </w:rPr>
            </w:pPr>
            <w:proofErr w:type="gramStart"/>
            <w:r>
              <w:rPr>
                <w:rFonts w:ascii="標楷體" w:eastAsia="標楷體" w:hAnsi="標楷體" w:cs="新細明體" w:hint="eastAsia"/>
                <w:color w:val="000000"/>
                <w:kern w:val="0"/>
                <w:sz w:val="30"/>
                <w:szCs w:val="30"/>
              </w:rPr>
              <w:t>註</w:t>
            </w:r>
            <w:proofErr w:type="gramEnd"/>
            <w:r>
              <w:rPr>
                <w:rFonts w:ascii="標楷體" w:eastAsia="標楷體" w:hAnsi="標楷體" w:cs="新細明體" w:hint="eastAsia"/>
                <w:color w:val="000000"/>
                <w:kern w:val="0"/>
                <w:sz w:val="30"/>
                <w:szCs w:val="30"/>
              </w:rPr>
              <w:t>：詳見</w:t>
            </w:r>
            <w:r w:rsidRPr="00543DC0">
              <w:rPr>
                <w:rFonts w:ascii="標楷體" w:eastAsia="標楷體" w:hAnsi="標楷體" w:cs="新細明體" w:hint="eastAsia"/>
                <w:color w:val="000000"/>
                <w:kern w:val="0"/>
                <w:sz w:val="30"/>
                <w:szCs w:val="30"/>
              </w:rPr>
              <w:t>證交所網站所揭示之「IFRSs 問答集」（1</w:t>
            </w:r>
            <w:r>
              <w:rPr>
                <w:rFonts w:ascii="標楷體" w:eastAsia="標楷體" w:hAnsi="標楷體" w:cs="新細明體" w:hint="eastAsia"/>
                <w:color w:val="000000"/>
                <w:kern w:val="0"/>
                <w:sz w:val="30"/>
                <w:szCs w:val="30"/>
              </w:rPr>
              <w:t>14</w:t>
            </w:r>
            <w:r w:rsidRPr="00543DC0">
              <w:rPr>
                <w:rFonts w:ascii="標楷體" w:eastAsia="標楷體" w:hAnsi="標楷體" w:cs="新細明體" w:hint="eastAsia"/>
                <w:color w:val="000000"/>
                <w:kern w:val="0"/>
                <w:sz w:val="30"/>
                <w:szCs w:val="30"/>
              </w:rPr>
              <w:t>.</w:t>
            </w:r>
            <w:r>
              <w:rPr>
                <w:rFonts w:ascii="標楷體" w:eastAsia="標楷體" w:hAnsi="標楷體" w:cs="新細明體" w:hint="eastAsia"/>
                <w:color w:val="000000"/>
                <w:kern w:val="0"/>
                <w:sz w:val="30"/>
                <w:szCs w:val="30"/>
              </w:rPr>
              <w:t>5</w:t>
            </w:r>
            <w:r w:rsidRPr="00543DC0">
              <w:rPr>
                <w:rFonts w:ascii="標楷體" w:eastAsia="標楷體" w:hAnsi="標楷體" w:cs="新細明體" w:hint="eastAsia"/>
                <w:color w:val="000000"/>
                <w:kern w:val="0"/>
                <w:sz w:val="30"/>
                <w:szCs w:val="30"/>
              </w:rPr>
              <w:t>.1</w:t>
            </w:r>
            <w:r>
              <w:rPr>
                <w:rFonts w:ascii="標楷體" w:eastAsia="標楷體" w:hAnsi="標楷體" w:cs="新細明體" w:hint="eastAsia"/>
                <w:color w:val="000000"/>
                <w:kern w:val="0"/>
                <w:sz w:val="30"/>
                <w:szCs w:val="30"/>
              </w:rPr>
              <w:t>2</w:t>
            </w:r>
            <w:r w:rsidRPr="00543DC0">
              <w:rPr>
                <w:rFonts w:ascii="標楷體" w:eastAsia="標楷體" w:hAnsi="標楷體" w:cs="新細明體" w:hint="eastAsia"/>
                <w:color w:val="000000"/>
                <w:kern w:val="0"/>
                <w:sz w:val="30"/>
                <w:szCs w:val="30"/>
              </w:rPr>
              <w:t>）貳、公報及會計處理第</w:t>
            </w:r>
            <w:r>
              <w:rPr>
                <w:rFonts w:ascii="標楷體" w:eastAsia="標楷體" w:hAnsi="標楷體" w:cs="新細明體" w:hint="eastAsia"/>
                <w:color w:val="000000"/>
                <w:kern w:val="0"/>
                <w:sz w:val="30"/>
                <w:szCs w:val="30"/>
              </w:rPr>
              <w:t>75</w:t>
            </w:r>
            <w:r w:rsidRPr="00543DC0">
              <w:rPr>
                <w:rFonts w:ascii="標楷體" w:eastAsia="標楷體" w:hAnsi="標楷體" w:cs="新細明體" w:hint="eastAsia"/>
                <w:color w:val="000000"/>
                <w:kern w:val="0"/>
                <w:sz w:val="30"/>
                <w:szCs w:val="30"/>
              </w:rPr>
              <w:t>項之說明。</w:t>
            </w:r>
          </w:p>
        </w:tc>
      </w:tr>
      <w:tr w:rsidR="00926614" w:rsidRPr="00867787" w14:paraId="13EA129A" w14:textId="77777777" w:rsidTr="003C2163">
        <w:trPr>
          <w:trHeight w:val="3748"/>
        </w:trPr>
        <w:tc>
          <w:tcPr>
            <w:tcW w:w="940" w:type="dxa"/>
            <w:noWrap/>
            <w:hideMark/>
          </w:tcPr>
          <w:p w14:paraId="70CC0C83" w14:textId="77777777" w:rsidR="00926614" w:rsidRPr="00867787" w:rsidDel="00EE78C1" w:rsidRDefault="00926614" w:rsidP="00867787">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lastRenderedPageBreak/>
              <w:t>2</w:t>
            </w:r>
          </w:p>
        </w:tc>
        <w:tc>
          <w:tcPr>
            <w:tcW w:w="2140" w:type="dxa"/>
            <w:hideMark/>
          </w:tcPr>
          <w:p w14:paraId="5F08FFE3" w14:textId="77777777" w:rsidR="00926614" w:rsidRPr="00867787" w:rsidRDefault="00ED08C9" w:rsidP="00867787">
            <w:pPr>
              <w:widowControl/>
              <w:rPr>
                <w:rFonts w:ascii="標楷體" w:eastAsia="標楷體" w:hAnsi="標楷體" w:cs="新細明體"/>
                <w:kern w:val="0"/>
                <w:sz w:val="32"/>
                <w:szCs w:val="32"/>
              </w:rPr>
            </w:pPr>
            <w:r w:rsidRPr="009D5B7D">
              <w:rPr>
                <w:rFonts w:ascii="標楷體" w:eastAsia="標楷體" w:hAnsi="標楷體" w:cs="新細明體" w:hint="eastAsia"/>
                <w:kern w:val="0"/>
                <w:sz w:val="32"/>
                <w:szCs w:val="32"/>
              </w:rPr>
              <w:t>租賃負債之除列</w:t>
            </w:r>
          </w:p>
        </w:tc>
        <w:tc>
          <w:tcPr>
            <w:tcW w:w="2700" w:type="dxa"/>
            <w:hideMark/>
          </w:tcPr>
          <w:p w14:paraId="774DA2DE" w14:textId="77777777" w:rsidR="00926614" w:rsidRPr="00867787" w:rsidRDefault="00E13985" w:rsidP="00867787">
            <w:pPr>
              <w:widowControl/>
              <w:rPr>
                <w:rFonts w:ascii="標楷體" w:eastAsia="標楷體" w:hAnsi="標楷體" w:cs="新細明體"/>
                <w:kern w:val="0"/>
                <w:sz w:val="30"/>
                <w:szCs w:val="30"/>
              </w:rPr>
            </w:pPr>
            <w:r w:rsidRPr="00E13985">
              <w:rPr>
                <w:rFonts w:ascii="標楷體" w:eastAsia="標楷體" w:hAnsi="標楷體" w:cs="新細明體" w:hint="eastAsia"/>
                <w:kern w:val="0"/>
                <w:sz w:val="30"/>
                <w:szCs w:val="30"/>
              </w:rPr>
              <w:t>本期淨利（淨損）</w:t>
            </w:r>
          </w:p>
        </w:tc>
        <w:tc>
          <w:tcPr>
            <w:tcW w:w="3260" w:type="dxa"/>
            <w:hideMark/>
          </w:tcPr>
          <w:p w14:paraId="786E2511" w14:textId="77777777" w:rsidR="00A7760F" w:rsidRDefault="00926614">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867787">
              <w:rPr>
                <w:rFonts w:ascii="標楷體" w:eastAsia="標楷體" w:hAnsi="標楷體" w:cs="新細明體" w:hint="eastAsia"/>
                <w:kern w:val="0"/>
                <w:sz w:val="30"/>
                <w:szCs w:val="30"/>
              </w:rPr>
              <w:br/>
            </w:r>
            <w:r>
              <w:rPr>
                <w:rFonts w:ascii="標楷體" w:eastAsia="標楷體" w:hAnsi="標楷體" w:cs="新細明體" w:hint="eastAsia"/>
                <w:kern w:val="0"/>
                <w:sz w:val="30"/>
                <w:szCs w:val="30"/>
              </w:rPr>
              <w:t>IFRS9第2.1段</w:t>
            </w:r>
            <w:r w:rsidRPr="00867787">
              <w:rPr>
                <w:rFonts w:ascii="標楷體" w:eastAsia="標楷體" w:hAnsi="標楷體" w:cs="新細明體" w:hint="eastAsia"/>
                <w:kern w:val="0"/>
                <w:sz w:val="30"/>
                <w:szCs w:val="30"/>
              </w:rPr>
              <w:br/>
              <w:t>114年版：</w:t>
            </w:r>
            <w:r>
              <w:rPr>
                <w:rFonts w:ascii="標楷體" w:eastAsia="標楷體" w:hAnsi="標楷體" w:cs="新細明體" w:hint="eastAsia"/>
                <w:kern w:val="0"/>
                <w:sz w:val="30"/>
                <w:szCs w:val="30"/>
              </w:rPr>
              <w:t>IFRS9第2.1段</w:t>
            </w:r>
          </w:p>
        </w:tc>
        <w:tc>
          <w:tcPr>
            <w:tcW w:w="11954" w:type="dxa"/>
            <w:hideMark/>
          </w:tcPr>
          <w:p w14:paraId="3490F849" w14:textId="77777777" w:rsidR="00A7760F" w:rsidRDefault="00926614">
            <w:pPr>
              <w:widowControl/>
              <w:rPr>
                <w:rFonts w:ascii="標楷體" w:eastAsia="標楷體" w:hAnsi="標楷體" w:cs="新細明體"/>
                <w:kern w:val="0"/>
                <w:sz w:val="30"/>
                <w:szCs w:val="30"/>
              </w:rPr>
            </w:pPr>
            <w:r w:rsidRPr="00867787">
              <w:rPr>
                <w:rFonts w:ascii="標楷體" w:eastAsia="標楷體" w:hAnsi="標楷體" w:cs="新細明體" w:hint="eastAsia"/>
                <w:kern w:val="0"/>
                <w:sz w:val="30"/>
                <w:szCs w:val="30"/>
              </w:rPr>
              <w:t>115年版：</w:t>
            </w:r>
            <w:r w:rsidRPr="00926614">
              <w:rPr>
                <w:rFonts w:ascii="標楷體" w:eastAsia="標楷體" w:hAnsi="標楷體" w:cs="新細明體" w:hint="eastAsia"/>
                <w:kern w:val="0"/>
                <w:sz w:val="30"/>
                <w:szCs w:val="30"/>
              </w:rPr>
              <w:t>承租人認列之租賃負債適用</w:t>
            </w:r>
            <w:r w:rsidR="00290598">
              <w:rPr>
                <w:rFonts w:ascii="標楷體" w:eastAsia="標楷體" w:hAnsi="標楷體" w:cs="新細明體" w:hint="eastAsia"/>
                <w:kern w:val="0"/>
                <w:sz w:val="30"/>
                <w:szCs w:val="30"/>
              </w:rPr>
              <w:t>IFRS9</w:t>
            </w:r>
            <w:r w:rsidRPr="00926614">
              <w:rPr>
                <w:rFonts w:ascii="標楷體" w:eastAsia="標楷體" w:hAnsi="標楷體" w:cs="新細明體" w:hint="eastAsia"/>
                <w:kern w:val="0"/>
                <w:sz w:val="30"/>
                <w:szCs w:val="30"/>
              </w:rPr>
              <w:t>第3.3.1及3.3.3段中之除列規定</w:t>
            </w:r>
            <w:r w:rsidRPr="00867787">
              <w:rPr>
                <w:rFonts w:ascii="標楷體" w:eastAsia="標楷體" w:hAnsi="標楷體" w:cs="新細明體" w:hint="eastAsia"/>
                <w:kern w:val="0"/>
                <w:sz w:val="30"/>
                <w:szCs w:val="30"/>
              </w:rPr>
              <w:t>。</w:t>
            </w:r>
            <w:r w:rsidRPr="00867787">
              <w:rPr>
                <w:rFonts w:ascii="標楷體" w:eastAsia="標楷體" w:hAnsi="標楷體" w:cs="新細明體" w:hint="eastAsia"/>
                <w:kern w:val="0"/>
                <w:sz w:val="30"/>
                <w:szCs w:val="30"/>
              </w:rPr>
              <w:br/>
              <w:t>114年版：</w:t>
            </w:r>
            <w:r w:rsidRPr="00926614">
              <w:rPr>
                <w:rFonts w:ascii="標楷體" w:eastAsia="標楷體" w:hAnsi="標楷體" w:cs="新細明體" w:hint="eastAsia"/>
                <w:kern w:val="0"/>
                <w:sz w:val="30"/>
                <w:szCs w:val="30"/>
              </w:rPr>
              <w:t>承租人認列之租賃負債適用</w:t>
            </w:r>
            <w:r w:rsidR="00290598">
              <w:rPr>
                <w:rFonts w:ascii="標楷體" w:eastAsia="標楷體" w:hAnsi="標楷體" w:cs="新細明體" w:hint="eastAsia"/>
                <w:kern w:val="0"/>
                <w:sz w:val="30"/>
                <w:szCs w:val="30"/>
              </w:rPr>
              <w:t>IFRS9</w:t>
            </w:r>
            <w:r w:rsidRPr="00926614">
              <w:rPr>
                <w:rFonts w:ascii="標楷體" w:eastAsia="標楷體" w:hAnsi="標楷體" w:cs="新細明體" w:hint="eastAsia"/>
                <w:kern w:val="0"/>
                <w:sz w:val="30"/>
                <w:szCs w:val="30"/>
              </w:rPr>
              <w:t>第3.3.1段中之除列規定</w:t>
            </w:r>
            <w:r>
              <w:rPr>
                <w:rFonts w:ascii="標楷體" w:eastAsia="標楷體" w:hAnsi="標楷體" w:cs="新細明體" w:hint="eastAsia"/>
                <w:kern w:val="0"/>
                <w:sz w:val="30"/>
                <w:szCs w:val="30"/>
              </w:rPr>
              <w:t>。</w:t>
            </w:r>
          </w:p>
          <w:p w14:paraId="3891CCC8" w14:textId="77777777" w:rsidR="00A7760F" w:rsidRDefault="00A7760F">
            <w:pPr>
              <w:widowControl/>
              <w:rPr>
                <w:rFonts w:ascii="標楷體" w:eastAsia="標楷體" w:hAnsi="標楷體" w:cs="新細明體"/>
                <w:color w:val="000000"/>
                <w:kern w:val="0"/>
                <w:sz w:val="30"/>
                <w:szCs w:val="30"/>
              </w:rPr>
            </w:pPr>
          </w:p>
          <w:p w14:paraId="4C69DA57" w14:textId="77777777" w:rsidR="00A7760F" w:rsidRDefault="00290598">
            <w:pPr>
              <w:widowControl/>
              <w:rPr>
                <w:rFonts w:ascii="標楷體" w:eastAsia="標楷體" w:hAnsi="標楷體" w:cs="新細明體"/>
                <w:kern w:val="0"/>
                <w:sz w:val="30"/>
                <w:szCs w:val="30"/>
              </w:rPr>
            </w:pPr>
            <w:proofErr w:type="gramStart"/>
            <w:r>
              <w:rPr>
                <w:rFonts w:ascii="標楷體" w:eastAsia="標楷體" w:hAnsi="標楷體" w:cs="新細明體" w:hint="eastAsia"/>
                <w:color w:val="000000"/>
                <w:kern w:val="0"/>
                <w:sz w:val="30"/>
                <w:szCs w:val="30"/>
              </w:rPr>
              <w:t>註</w:t>
            </w:r>
            <w:proofErr w:type="gramEnd"/>
            <w:r>
              <w:rPr>
                <w:rFonts w:ascii="標楷體" w:eastAsia="標楷體" w:hAnsi="標楷體" w:cs="新細明體" w:hint="eastAsia"/>
                <w:color w:val="000000"/>
                <w:kern w:val="0"/>
                <w:sz w:val="30"/>
                <w:szCs w:val="30"/>
              </w:rPr>
              <w:t>：</w:t>
            </w:r>
            <w:r>
              <w:rPr>
                <w:rFonts w:ascii="標楷體" w:eastAsia="標楷體" w:hAnsi="標楷體" w:cs="新細明體" w:hint="eastAsia"/>
                <w:kern w:val="0"/>
                <w:sz w:val="30"/>
                <w:szCs w:val="30"/>
              </w:rPr>
              <w:t>IFRS9</w:t>
            </w:r>
            <w:r w:rsidRPr="00926614">
              <w:rPr>
                <w:rFonts w:ascii="標楷體" w:eastAsia="標楷體" w:hAnsi="標楷體" w:cs="新細明體" w:hint="eastAsia"/>
                <w:kern w:val="0"/>
                <w:sz w:val="30"/>
                <w:szCs w:val="30"/>
              </w:rPr>
              <w:t>第3.3.3段</w:t>
            </w:r>
            <w:r>
              <w:rPr>
                <w:rFonts w:ascii="標楷體" w:eastAsia="標楷體" w:hAnsi="標楷體" w:cs="新細明體" w:hint="eastAsia"/>
                <w:kern w:val="0"/>
                <w:sz w:val="30"/>
                <w:szCs w:val="30"/>
              </w:rPr>
              <w:t>規定，</w:t>
            </w:r>
            <w:r w:rsidRPr="00290598">
              <w:rPr>
                <w:rFonts w:ascii="標楷體" w:eastAsia="標楷體" w:hAnsi="標楷體" w:cs="新細明體" w:hint="eastAsia"/>
                <w:kern w:val="0"/>
                <w:sz w:val="30"/>
                <w:szCs w:val="30"/>
              </w:rPr>
              <w:t>已消滅或已移轉予另一方之金融負債（或部分金融負債）之</w:t>
            </w:r>
            <w:proofErr w:type="gramStart"/>
            <w:r w:rsidRPr="00290598">
              <w:rPr>
                <w:rFonts w:ascii="標楷體" w:eastAsia="標楷體" w:hAnsi="標楷體" w:cs="新細明體" w:hint="eastAsia"/>
                <w:kern w:val="0"/>
                <w:sz w:val="30"/>
                <w:szCs w:val="30"/>
              </w:rPr>
              <w:t>帳面</w:t>
            </w:r>
            <w:proofErr w:type="gramEnd"/>
            <w:r w:rsidRPr="00290598">
              <w:rPr>
                <w:rFonts w:ascii="標楷體" w:eastAsia="標楷體" w:hAnsi="標楷體" w:cs="新細明體" w:hint="eastAsia"/>
                <w:kern w:val="0"/>
                <w:sz w:val="30"/>
                <w:szCs w:val="30"/>
              </w:rPr>
              <w:t>金額，與所支付對價（包括任何移轉之非現金資產或承擔之負債）間之差額，應認列於損益。</w:t>
            </w:r>
          </w:p>
        </w:tc>
      </w:tr>
    </w:tbl>
    <w:p w14:paraId="40359438" w14:textId="41D0F496" w:rsidR="00C646A0" w:rsidRPr="00C646A0" w:rsidRDefault="00C646A0" w:rsidP="00C646A0">
      <w:pPr>
        <w:rPr>
          <w:rFonts w:ascii="標楷體" w:eastAsia="標楷體" w:hAnsi="標楷體"/>
          <w:color w:val="000000"/>
          <w:sz w:val="30"/>
          <w:szCs w:val="30"/>
        </w:rPr>
      </w:pPr>
      <w:proofErr w:type="gramStart"/>
      <w:r w:rsidRPr="00C646A0">
        <w:rPr>
          <w:rFonts w:ascii="標楷體" w:eastAsia="標楷體" w:hAnsi="標楷體" w:hint="eastAsia"/>
          <w:color w:val="000000"/>
          <w:sz w:val="30"/>
          <w:szCs w:val="30"/>
        </w:rPr>
        <w:t>註</w:t>
      </w:r>
      <w:proofErr w:type="gramEnd"/>
      <w:r w:rsidRPr="00C646A0">
        <w:rPr>
          <w:rFonts w:ascii="標楷體" w:eastAsia="標楷體" w:hAnsi="標楷體" w:hint="eastAsia"/>
          <w:color w:val="000000"/>
          <w:sz w:val="30"/>
          <w:szCs w:val="30"/>
        </w:rPr>
        <w:t>：有關</w:t>
      </w:r>
      <w:r w:rsidR="00B6489D">
        <w:rPr>
          <w:rFonts w:ascii="標楷體" w:eastAsia="標楷體" w:hAnsi="標楷體" w:hint="eastAsia"/>
          <w:color w:val="000000"/>
          <w:sz w:val="30"/>
          <w:szCs w:val="30"/>
        </w:rPr>
        <w:t>115年適用之</w:t>
      </w:r>
      <w:r w:rsidRPr="00C646A0">
        <w:rPr>
          <w:rFonts w:ascii="標楷體" w:eastAsia="標楷體" w:hAnsi="標楷體"/>
          <w:color w:val="000000"/>
          <w:sz w:val="30"/>
          <w:szCs w:val="30"/>
        </w:rPr>
        <w:t>IFRS 17</w:t>
      </w:r>
      <w:r w:rsidRPr="00C646A0">
        <w:rPr>
          <w:rFonts w:ascii="標楷體" w:eastAsia="標楷體" w:hAnsi="標楷體" w:hint="eastAsia"/>
          <w:color w:val="000000"/>
          <w:sz w:val="30"/>
          <w:szCs w:val="30"/>
        </w:rPr>
        <w:t>與</w:t>
      </w:r>
      <w:r w:rsidR="00B6489D">
        <w:rPr>
          <w:rFonts w:ascii="標楷體" w:eastAsia="標楷體" w:hAnsi="標楷體" w:hint="eastAsia"/>
          <w:color w:val="000000"/>
          <w:sz w:val="30"/>
          <w:szCs w:val="30"/>
        </w:rPr>
        <w:t>現行準則</w:t>
      </w:r>
      <w:r w:rsidRPr="00C646A0">
        <w:rPr>
          <w:rFonts w:ascii="標楷體" w:eastAsia="標楷體" w:hAnsi="標楷體"/>
          <w:color w:val="000000"/>
          <w:sz w:val="30"/>
          <w:szCs w:val="30"/>
        </w:rPr>
        <w:t>IFRS 4</w:t>
      </w:r>
      <w:r w:rsidRPr="00C646A0">
        <w:rPr>
          <w:rFonts w:ascii="標楷體" w:eastAsia="標楷體" w:hAnsi="標楷體" w:hint="eastAsia"/>
          <w:color w:val="000000"/>
          <w:sz w:val="30"/>
          <w:szCs w:val="30"/>
        </w:rPr>
        <w:t>的重大差異，請參考</w:t>
      </w:r>
      <w:r w:rsidR="00B6489D">
        <w:rPr>
          <w:rFonts w:ascii="標楷體" w:eastAsia="標楷體" w:hAnsi="標楷體" w:hint="eastAsia"/>
          <w:color w:val="000000"/>
          <w:sz w:val="30"/>
          <w:szCs w:val="30"/>
        </w:rPr>
        <w:t>以下連結說明</w:t>
      </w:r>
      <w:r w:rsidRPr="00C646A0">
        <w:rPr>
          <w:rFonts w:ascii="標楷體" w:eastAsia="標楷體" w:hAnsi="標楷體" w:hint="eastAsia"/>
          <w:color w:val="000000"/>
          <w:sz w:val="30"/>
          <w:szCs w:val="30"/>
        </w:rPr>
        <w:t>：</w:t>
      </w:r>
    </w:p>
    <w:p w14:paraId="6283FBD0" w14:textId="77777777" w:rsidR="00C646A0" w:rsidRPr="00C646A0" w:rsidRDefault="00C646A0" w:rsidP="00C646A0">
      <w:pPr>
        <w:rPr>
          <w:rFonts w:ascii="標楷體" w:eastAsia="標楷體" w:hAnsi="標楷體"/>
          <w:color w:val="0000FF"/>
          <w:sz w:val="30"/>
          <w:szCs w:val="30"/>
        </w:rPr>
      </w:pPr>
      <w:r w:rsidRPr="00C646A0">
        <w:rPr>
          <w:rFonts w:ascii="標楷體" w:eastAsia="標楷體" w:hAnsi="標楷體" w:hint="eastAsia"/>
          <w:color w:val="0000FF"/>
          <w:sz w:val="30"/>
          <w:szCs w:val="30"/>
          <w:u w:val="single"/>
          <w:shd w:val="clear" w:color="auto" w:fill="FFFFFF"/>
        </w:rPr>
        <w:t>IFRS17與現行準則</w:t>
      </w:r>
      <w:hyperlink r:id="rId6" w:tgtFrame="_blank" w:tooltip="https://urldefense.com/v3/__https://www.fsc.gov.tw/ch/home.jsp?id=716&amp;websitelink=multiSTUDY_list.jsp&amp;parentpath=0,7,72__;!!Nyu6ZXf5!sgZnOnSwpOudKMeXcAl_4KuMF2aWeDMSKrKpXkIZIZP-Lwp7t3k5fXMmQ6d04k-Qj-4kfzJv-vhT7LEWyp8$" w:history="1">
        <w:r w:rsidRPr="00C646A0">
          <w:rPr>
            <w:rStyle w:val="af0"/>
            <w:rFonts w:ascii="標楷體" w:eastAsia="標楷體" w:hAnsi="標楷體" w:hint="eastAsia"/>
            <w:sz w:val="30"/>
            <w:szCs w:val="30"/>
            <w:shd w:val="clear" w:color="auto" w:fill="FFFFFF"/>
          </w:rPr>
          <w:t>差異說明可參</w:t>
        </w:r>
        <w:proofErr w:type="gramStart"/>
        <w:r w:rsidRPr="00C646A0">
          <w:rPr>
            <w:rStyle w:val="af0"/>
            <w:rFonts w:ascii="標楷體" w:eastAsia="標楷體" w:hAnsi="標楷體" w:hint="eastAsia"/>
            <w:sz w:val="30"/>
            <w:szCs w:val="30"/>
            <w:shd w:val="clear" w:color="auto" w:fill="FFFFFF"/>
          </w:rPr>
          <w:t>107</w:t>
        </w:r>
        <w:proofErr w:type="gramEnd"/>
        <w:r w:rsidRPr="00C646A0">
          <w:rPr>
            <w:rStyle w:val="af0"/>
            <w:rFonts w:ascii="標楷體" w:eastAsia="標楷體" w:hAnsi="標楷體" w:hint="eastAsia"/>
            <w:sz w:val="30"/>
            <w:szCs w:val="30"/>
            <w:shd w:val="clear" w:color="auto" w:fill="FFFFFF"/>
          </w:rPr>
          <w:t>年度委外研究報告-金融監督管理委員會全球資訊網第139至155頁</w:t>
        </w:r>
      </w:hyperlink>
    </w:p>
    <w:p w14:paraId="15D84D01" w14:textId="1128DEE6" w:rsidR="00867787" w:rsidRPr="00BF3FA3" w:rsidRDefault="00BF3FA3">
      <w:pPr>
        <w:rPr>
          <w:rFonts w:ascii="Times New Roman" w:hAnsi="Times New Roman" w:cs="Times New Roman"/>
        </w:rPr>
      </w:pPr>
      <w:hyperlink r:id="rId7" w:history="1">
        <w:r w:rsidRPr="00BF3FA3">
          <w:rPr>
            <w:rStyle w:val="af0"/>
            <w:rFonts w:ascii="Times New Roman" w:hAnsi="Times New Roman" w:cs="Times New Roman"/>
          </w:rPr>
          <w:t>https://www.fsc.gov.tw/uploaddowndoc?file=research/201904011617150.pdf&amp;filedisplay=IFRS_17_%E7%B5%90%E6%A1%88%E5%A0%B1%E5%91%8A%E6%9B%B8%282018%E5%B9%B4%E4%BF%9D%E9%9A%AA%E5%B1%80%E5%A7%94%E8%A8%97%E7%A0%94%E7%A9%B6%E7%95%AB%29_final.pdf&amp;flag=doc</w:t>
        </w:r>
      </w:hyperlink>
    </w:p>
    <w:p w14:paraId="7AB40E47" w14:textId="77777777" w:rsidR="00BF3FA3" w:rsidRPr="00BF3FA3" w:rsidRDefault="00BF3FA3"/>
    <w:sectPr w:rsidR="00BF3FA3" w:rsidRPr="00BF3FA3" w:rsidSect="00867787">
      <w:pgSz w:w="23814" w:h="16839" w:orient="landscape" w:code="8"/>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FE16" w14:textId="77777777" w:rsidR="00417CC9" w:rsidRDefault="00417CC9" w:rsidP="00FE040C">
      <w:r>
        <w:separator/>
      </w:r>
    </w:p>
  </w:endnote>
  <w:endnote w:type="continuationSeparator" w:id="0">
    <w:p w14:paraId="78D74E48" w14:textId="77777777" w:rsidR="00417CC9" w:rsidRDefault="00417CC9" w:rsidP="00FE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0D0B" w14:textId="77777777" w:rsidR="00417CC9" w:rsidRDefault="00417CC9" w:rsidP="00FE040C">
      <w:r>
        <w:separator/>
      </w:r>
    </w:p>
  </w:footnote>
  <w:footnote w:type="continuationSeparator" w:id="0">
    <w:p w14:paraId="7D0A160D" w14:textId="77777777" w:rsidR="00417CC9" w:rsidRDefault="00417CC9" w:rsidP="00FE0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7787"/>
    <w:rsid w:val="00025806"/>
    <w:rsid w:val="00054C2D"/>
    <w:rsid w:val="00060299"/>
    <w:rsid w:val="00075D3C"/>
    <w:rsid w:val="000A375A"/>
    <w:rsid w:val="0013645B"/>
    <w:rsid w:val="001C2DFB"/>
    <w:rsid w:val="00270939"/>
    <w:rsid w:val="00290598"/>
    <w:rsid w:val="002B1B86"/>
    <w:rsid w:val="002B6705"/>
    <w:rsid w:val="003429D5"/>
    <w:rsid w:val="00356475"/>
    <w:rsid w:val="00390C82"/>
    <w:rsid w:val="003C2163"/>
    <w:rsid w:val="003E7C20"/>
    <w:rsid w:val="00417CC9"/>
    <w:rsid w:val="00502463"/>
    <w:rsid w:val="00543DC0"/>
    <w:rsid w:val="0055414F"/>
    <w:rsid w:val="00564158"/>
    <w:rsid w:val="005667D0"/>
    <w:rsid w:val="00577F4F"/>
    <w:rsid w:val="005C1E8F"/>
    <w:rsid w:val="0060500E"/>
    <w:rsid w:val="0060543E"/>
    <w:rsid w:val="006507CE"/>
    <w:rsid w:val="00652F49"/>
    <w:rsid w:val="00685322"/>
    <w:rsid w:val="00740E5A"/>
    <w:rsid w:val="007B1ABA"/>
    <w:rsid w:val="007B66D5"/>
    <w:rsid w:val="007E537C"/>
    <w:rsid w:val="00862086"/>
    <w:rsid w:val="00867787"/>
    <w:rsid w:val="008762A7"/>
    <w:rsid w:val="00926614"/>
    <w:rsid w:val="009A0DEC"/>
    <w:rsid w:val="009D5B7D"/>
    <w:rsid w:val="00A36D4E"/>
    <w:rsid w:val="00A7760F"/>
    <w:rsid w:val="00AE2CD2"/>
    <w:rsid w:val="00B26F9E"/>
    <w:rsid w:val="00B55798"/>
    <w:rsid w:val="00B6489D"/>
    <w:rsid w:val="00BF3FA3"/>
    <w:rsid w:val="00C646A0"/>
    <w:rsid w:val="00CE4C9D"/>
    <w:rsid w:val="00D05C57"/>
    <w:rsid w:val="00D105F9"/>
    <w:rsid w:val="00D42A1E"/>
    <w:rsid w:val="00D5655F"/>
    <w:rsid w:val="00D71B05"/>
    <w:rsid w:val="00D754D9"/>
    <w:rsid w:val="00DA2CE7"/>
    <w:rsid w:val="00DB6E38"/>
    <w:rsid w:val="00DC46FC"/>
    <w:rsid w:val="00E13985"/>
    <w:rsid w:val="00E17059"/>
    <w:rsid w:val="00E25718"/>
    <w:rsid w:val="00E479E9"/>
    <w:rsid w:val="00E57CEB"/>
    <w:rsid w:val="00E636B7"/>
    <w:rsid w:val="00EB0EB1"/>
    <w:rsid w:val="00ED08C9"/>
    <w:rsid w:val="00ED7DE5"/>
    <w:rsid w:val="00EE78C1"/>
    <w:rsid w:val="00F5457B"/>
    <w:rsid w:val="00F750D8"/>
    <w:rsid w:val="00F75605"/>
    <w:rsid w:val="00FE0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2C9F7"/>
  <w15:docId w15:val="{30D2F389-8F82-45DB-ABB2-1E92F503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4C2D"/>
    <w:rPr>
      <w:sz w:val="18"/>
      <w:szCs w:val="18"/>
    </w:rPr>
  </w:style>
  <w:style w:type="paragraph" w:styleId="a4">
    <w:name w:val="annotation text"/>
    <w:basedOn w:val="a"/>
    <w:link w:val="a5"/>
    <w:uiPriority w:val="99"/>
    <w:semiHidden/>
    <w:unhideWhenUsed/>
    <w:rsid w:val="00054C2D"/>
  </w:style>
  <w:style w:type="character" w:customStyle="1" w:styleId="a5">
    <w:name w:val="註解文字 字元"/>
    <w:basedOn w:val="a0"/>
    <w:link w:val="a4"/>
    <w:uiPriority w:val="99"/>
    <w:semiHidden/>
    <w:rsid w:val="00054C2D"/>
  </w:style>
  <w:style w:type="paragraph" w:styleId="a6">
    <w:name w:val="annotation subject"/>
    <w:basedOn w:val="a4"/>
    <w:next w:val="a4"/>
    <w:link w:val="a7"/>
    <w:uiPriority w:val="99"/>
    <w:semiHidden/>
    <w:unhideWhenUsed/>
    <w:rsid w:val="00054C2D"/>
    <w:rPr>
      <w:b/>
      <w:bCs/>
    </w:rPr>
  </w:style>
  <w:style w:type="character" w:customStyle="1" w:styleId="a7">
    <w:name w:val="註解主旨 字元"/>
    <w:basedOn w:val="a5"/>
    <w:link w:val="a6"/>
    <w:uiPriority w:val="99"/>
    <w:semiHidden/>
    <w:rsid w:val="00054C2D"/>
    <w:rPr>
      <w:b/>
      <w:bCs/>
    </w:rPr>
  </w:style>
  <w:style w:type="paragraph" w:styleId="a8">
    <w:name w:val="Revision"/>
    <w:hidden/>
    <w:uiPriority w:val="99"/>
    <w:semiHidden/>
    <w:rsid w:val="00054C2D"/>
  </w:style>
  <w:style w:type="paragraph" w:styleId="a9">
    <w:name w:val="Balloon Text"/>
    <w:basedOn w:val="a"/>
    <w:link w:val="aa"/>
    <w:uiPriority w:val="99"/>
    <w:semiHidden/>
    <w:unhideWhenUsed/>
    <w:rsid w:val="00054C2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54C2D"/>
    <w:rPr>
      <w:rFonts w:asciiTheme="majorHAnsi" w:eastAsiaTheme="majorEastAsia" w:hAnsiTheme="majorHAnsi" w:cstheme="majorBidi"/>
      <w:sz w:val="18"/>
      <w:szCs w:val="18"/>
    </w:rPr>
  </w:style>
  <w:style w:type="paragraph" w:styleId="ab">
    <w:name w:val="List Paragraph"/>
    <w:basedOn w:val="a"/>
    <w:uiPriority w:val="34"/>
    <w:qFormat/>
    <w:rsid w:val="003429D5"/>
    <w:pPr>
      <w:ind w:leftChars="200" w:left="480"/>
    </w:pPr>
  </w:style>
  <w:style w:type="paragraph" w:styleId="ac">
    <w:name w:val="header"/>
    <w:basedOn w:val="a"/>
    <w:link w:val="ad"/>
    <w:uiPriority w:val="99"/>
    <w:semiHidden/>
    <w:unhideWhenUsed/>
    <w:rsid w:val="00FE040C"/>
    <w:pPr>
      <w:tabs>
        <w:tab w:val="center" w:pos="4153"/>
        <w:tab w:val="right" w:pos="8306"/>
      </w:tabs>
      <w:snapToGrid w:val="0"/>
    </w:pPr>
    <w:rPr>
      <w:sz w:val="20"/>
      <w:szCs w:val="20"/>
    </w:rPr>
  </w:style>
  <w:style w:type="character" w:customStyle="1" w:styleId="ad">
    <w:name w:val="頁首 字元"/>
    <w:basedOn w:val="a0"/>
    <w:link w:val="ac"/>
    <w:uiPriority w:val="99"/>
    <w:semiHidden/>
    <w:rsid w:val="00FE040C"/>
    <w:rPr>
      <w:sz w:val="20"/>
      <w:szCs w:val="20"/>
    </w:rPr>
  </w:style>
  <w:style w:type="paragraph" w:styleId="ae">
    <w:name w:val="footer"/>
    <w:basedOn w:val="a"/>
    <w:link w:val="af"/>
    <w:uiPriority w:val="99"/>
    <w:semiHidden/>
    <w:unhideWhenUsed/>
    <w:rsid w:val="00FE040C"/>
    <w:pPr>
      <w:tabs>
        <w:tab w:val="center" w:pos="4153"/>
        <w:tab w:val="right" w:pos="8306"/>
      </w:tabs>
      <w:snapToGrid w:val="0"/>
    </w:pPr>
    <w:rPr>
      <w:sz w:val="20"/>
      <w:szCs w:val="20"/>
    </w:rPr>
  </w:style>
  <w:style w:type="character" w:customStyle="1" w:styleId="af">
    <w:name w:val="頁尾 字元"/>
    <w:basedOn w:val="a0"/>
    <w:link w:val="ae"/>
    <w:uiPriority w:val="99"/>
    <w:semiHidden/>
    <w:rsid w:val="00FE040C"/>
    <w:rPr>
      <w:sz w:val="20"/>
      <w:szCs w:val="20"/>
    </w:rPr>
  </w:style>
  <w:style w:type="character" w:styleId="af0">
    <w:name w:val="Hyperlink"/>
    <w:basedOn w:val="a0"/>
    <w:uiPriority w:val="99"/>
    <w:unhideWhenUsed/>
    <w:rsid w:val="00C646A0"/>
    <w:rPr>
      <w:color w:val="0000FF"/>
      <w:u w:val="single"/>
    </w:rPr>
  </w:style>
  <w:style w:type="character" w:styleId="af1">
    <w:name w:val="FollowedHyperlink"/>
    <w:basedOn w:val="a0"/>
    <w:uiPriority w:val="99"/>
    <w:semiHidden/>
    <w:unhideWhenUsed/>
    <w:rsid w:val="00BF3FA3"/>
    <w:rPr>
      <w:color w:val="800080" w:themeColor="followedHyperlink"/>
      <w:u w:val="single"/>
    </w:rPr>
  </w:style>
  <w:style w:type="character" w:styleId="af2">
    <w:name w:val="Unresolved Mention"/>
    <w:basedOn w:val="a0"/>
    <w:uiPriority w:val="99"/>
    <w:semiHidden/>
    <w:unhideWhenUsed/>
    <w:rsid w:val="00BF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2358">
      <w:bodyDiv w:val="1"/>
      <w:marLeft w:val="0"/>
      <w:marRight w:val="0"/>
      <w:marTop w:val="0"/>
      <w:marBottom w:val="0"/>
      <w:divBdr>
        <w:top w:val="none" w:sz="0" w:space="0" w:color="auto"/>
        <w:left w:val="none" w:sz="0" w:space="0" w:color="auto"/>
        <w:bottom w:val="none" w:sz="0" w:space="0" w:color="auto"/>
        <w:right w:val="none" w:sz="0" w:space="0" w:color="auto"/>
      </w:divBdr>
    </w:div>
    <w:div w:id="334382371">
      <w:bodyDiv w:val="1"/>
      <w:marLeft w:val="0"/>
      <w:marRight w:val="0"/>
      <w:marTop w:val="0"/>
      <w:marBottom w:val="0"/>
      <w:divBdr>
        <w:top w:val="none" w:sz="0" w:space="0" w:color="auto"/>
        <w:left w:val="none" w:sz="0" w:space="0" w:color="auto"/>
        <w:bottom w:val="none" w:sz="0" w:space="0" w:color="auto"/>
        <w:right w:val="none" w:sz="0" w:space="0" w:color="auto"/>
      </w:divBdr>
    </w:div>
    <w:div w:id="501240403">
      <w:bodyDiv w:val="1"/>
      <w:marLeft w:val="0"/>
      <w:marRight w:val="0"/>
      <w:marTop w:val="0"/>
      <w:marBottom w:val="0"/>
      <w:divBdr>
        <w:top w:val="none" w:sz="0" w:space="0" w:color="auto"/>
        <w:left w:val="none" w:sz="0" w:space="0" w:color="auto"/>
        <w:bottom w:val="none" w:sz="0" w:space="0" w:color="auto"/>
        <w:right w:val="none" w:sz="0" w:space="0" w:color="auto"/>
      </w:divBdr>
    </w:div>
    <w:div w:id="723256844">
      <w:bodyDiv w:val="1"/>
      <w:marLeft w:val="0"/>
      <w:marRight w:val="0"/>
      <w:marTop w:val="0"/>
      <w:marBottom w:val="0"/>
      <w:divBdr>
        <w:top w:val="none" w:sz="0" w:space="0" w:color="auto"/>
        <w:left w:val="none" w:sz="0" w:space="0" w:color="auto"/>
        <w:bottom w:val="none" w:sz="0" w:space="0" w:color="auto"/>
        <w:right w:val="none" w:sz="0" w:space="0" w:color="auto"/>
      </w:divBdr>
    </w:div>
    <w:div w:id="14668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sc.gov.tw/uploaddowndoc?file=research/201904011617150.pdf&amp;filedisplay=IFRS_17_%E7%B5%90%E6%A1%88%E5%A0%B1%E5%91%8A%E6%9B%B8%282018%E5%B9%B4%E4%BF%9D%E9%9A%AA%E5%B1%80%E5%A7%94%E8%A8%97%E7%A0%94%E7%A9%B6%E7%95%AB%29_final.pdf&amp;flag=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fsc.gov.tw/ch/home.jsp?id=716&amp;websitelink=multiSTUDY_list.jsp&amp;parentpath=0,7,72__;!!Nyu6ZXf5!sgZnOnSwpOudKMeXcAl_4KuMF2aWeDMSKrKpXkIZIZP-Lwp7t3k5fXMmQ6d04k-Qj-4kfzJv-vhT7LEWyp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12</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c:creator>
  <cp:lastModifiedBy>劉佳穎</cp:lastModifiedBy>
  <cp:revision>21</cp:revision>
  <dcterms:created xsi:type="dcterms:W3CDTF">2025-11-04T04:47:00Z</dcterms:created>
  <dcterms:modified xsi:type="dcterms:W3CDTF">2025-11-13T02:35:00Z</dcterms:modified>
</cp:coreProperties>
</file>