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28" w:type="dxa"/>
          <w:right w:w="28" w:type="dxa"/>
        </w:tblCellMar>
        <w:tblLook w:val="04A0" w:firstRow="1" w:lastRow="0" w:firstColumn="1" w:lastColumn="0" w:noHBand="0" w:noVBand="1"/>
      </w:tblPr>
      <w:tblGrid>
        <w:gridCol w:w="692"/>
        <w:gridCol w:w="1578"/>
        <w:gridCol w:w="1990"/>
        <w:gridCol w:w="2402"/>
        <w:gridCol w:w="7352"/>
      </w:tblGrid>
      <w:tr w:rsidR="00C943F9" w:rsidRPr="00C943F9" w:rsidTr="00F45114">
        <w:trPr>
          <w:trHeight w:val="390"/>
        </w:trPr>
        <w:tc>
          <w:tcPr>
            <w:tcW w:w="1520" w:type="pct"/>
            <w:gridSpan w:val="3"/>
            <w:tcBorders>
              <w:top w:val="nil"/>
              <w:left w:val="nil"/>
              <w:bottom w:val="nil"/>
              <w:right w:val="nil"/>
            </w:tcBorders>
            <w:shd w:val="clear" w:color="auto" w:fill="auto"/>
            <w:noWrap/>
            <w:hideMark/>
          </w:tcPr>
          <w:p w:rsidR="00C943F9" w:rsidRPr="00C943F9" w:rsidRDefault="00C943F9" w:rsidP="00C943F9">
            <w:pPr>
              <w:widowControl/>
              <w:rPr>
                <w:rFonts w:ascii="Times New Roman" w:eastAsia="新細明體" w:hAnsi="Times New Roman" w:cs="Times New Roman"/>
                <w:b/>
                <w:bCs/>
                <w:color w:val="0000FF"/>
                <w:kern w:val="0"/>
                <w:sz w:val="28"/>
                <w:szCs w:val="28"/>
              </w:rPr>
            </w:pPr>
            <w:bookmarkStart w:id="0" w:name="_GoBack"/>
            <w:bookmarkEnd w:id="0"/>
            <w:r w:rsidRPr="00C943F9">
              <w:rPr>
                <w:rFonts w:ascii="標楷體" w:eastAsia="標楷體" w:hAnsi="標楷體" w:cs="Times New Roman" w:hint="eastAsia"/>
                <w:b/>
                <w:bCs/>
                <w:color w:val="0000FF"/>
                <w:kern w:val="0"/>
                <w:sz w:val="28"/>
                <w:szCs w:val="28"/>
              </w:rPr>
              <w:t>三、其他重大實務提醒項目</w:t>
            </w:r>
          </w:p>
        </w:tc>
        <w:tc>
          <w:tcPr>
            <w:tcW w:w="857" w:type="pct"/>
            <w:tcBorders>
              <w:top w:val="nil"/>
              <w:left w:val="nil"/>
              <w:bottom w:val="nil"/>
              <w:right w:val="nil"/>
            </w:tcBorders>
            <w:shd w:val="clear" w:color="auto" w:fill="auto"/>
            <w:noWrap/>
            <w:vAlign w:val="center"/>
            <w:hideMark/>
          </w:tcPr>
          <w:p w:rsidR="00C943F9" w:rsidRPr="00C943F9" w:rsidRDefault="00C943F9" w:rsidP="00C943F9">
            <w:pPr>
              <w:widowControl/>
              <w:rPr>
                <w:rFonts w:ascii="Times New Roman" w:eastAsia="新細明體" w:hAnsi="Times New Roman" w:cs="Times New Roman"/>
                <w:color w:val="000000"/>
                <w:kern w:val="0"/>
                <w:sz w:val="28"/>
                <w:szCs w:val="28"/>
              </w:rPr>
            </w:pPr>
          </w:p>
        </w:tc>
        <w:tc>
          <w:tcPr>
            <w:tcW w:w="2623" w:type="pct"/>
            <w:tcBorders>
              <w:top w:val="nil"/>
              <w:left w:val="nil"/>
              <w:bottom w:val="nil"/>
              <w:right w:val="nil"/>
            </w:tcBorders>
            <w:shd w:val="clear" w:color="auto" w:fill="auto"/>
            <w:noWrap/>
            <w:vAlign w:val="center"/>
            <w:hideMark/>
          </w:tcPr>
          <w:p w:rsidR="00C943F9" w:rsidRPr="00C943F9" w:rsidRDefault="00C943F9" w:rsidP="00C943F9">
            <w:pPr>
              <w:widowControl/>
              <w:rPr>
                <w:rFonts w:ascii="Times New Roman" w:eastAsia="新細明體" w:hAnsi="Times New Roman" w:cs="Times New Roman"/>
                <w:color w:val="000000"/>
                <w:kern w:val="0"/>
                <w:sz w:val="28"/>
                <w:szCs w:val="28"/>
              </w:rPr>
            </w:pPr>
          </w:p>
        </w:tc>
      </w:tr>
      <w:tr w:rsidR="00C943F9" w:rsidRPr="00C943F9" w:rsidTr="00F45114">
        <w:trPr>
          <w:trHeight w:val="390"/>
        </w:trPr>
        <w:tc>
          <w:tcPr>
            <w:tcW w:w="247" w:type="pct"/>
            <w:tcBorders>
              <w:top w:val="single" w:sz="4" w:space="0" w:color="auto"/>
              <w:left w:val="single" w:sz="4" w:space="0" w:color="auto"/>
              <w:bottom w:val="single" w:sz="4" w:space="0" w:color="auto"/>
              <w:right w:val="single" w:sz="4" w:space="0" w:color="auto"/>
            </w:tcBorders>
            <w:shd w:val="clear" w:color="000000" w:fill="FAC090"/>
            <w:hideMark/>
          </w:tcPr>
          <w:p w:rsidR="00C943F9" w:rsidRPr="00C943F9" w:rsidRDefault="00C943F9" w:rsidP="00C943F9">
            <w:pPr>
              <w:widowControl/>
              <w:jc w:val="center"/>
              <w:rPr>
                <w:rFonts w:ascii="Times New Roman" w:eastAsia="新細明體" w:hAnsi="Times New Roman" w:cs="Times New Roman"/>
                <w:b/>
                <w:bCs/>
                <w:kern w:val="0"/>
                <w:sz w:val="28"/>
                <w:szCs w:val="28"/>
              </w:rPr>
            </w:pPr>
            <w:bookmarkStart w:id="1" w:name="RANGE!A2:E3"/>
            <w:r w:rsidRPr="00C943F9">
              <w:rPr>
                <w:rFonts w:ascii="標楷體" w:eastAsia="標楷體" w:hAnsi="標楷體" w:cs="Times New Roman" w:hint="eastAsia"/>
                <w:b/>
                <w:bCs/>
                <w:kern w:val="0"/>
                <w:sz w:val="28"/>
                <w:szCs w:val="28"/>
              </w:rPr>
              <w:t>項次</w:t>
            </w:r>
            <w:bookmarkEnd w:id="1"/>
          </w:p>
        </w:tc>
        <w:tc>
          <w:tcPr>
            <w:tcW w:w="563" w:type="pct"/>
            <w:tcBorders>
              <w:top w:val="single" w:sz="4" w:space="0" w:color="auto"/>
              <w:left w:val="nil"/>
              <w:bottom w:val="single" w:sz="4" w:space="0" w:color="auto"/>
              <w:right w:val="single" w:sz="4" w:space="0" w:color="auto"/>
            </w:tcBorders>
            <w:shd w:val="clear" w:color="000000" w:fill="FAC090"/>
            <w:vAlign w:val="center"/>
            <w:hideMark/>
          </w:tcPr>
          <w:p w:rsidR="00C943F9" w:rsidRPr="00C943F9" w:rsidRDefault="00C943F9" w:rsidP="00C943F9">
            <w:pPr>
              <w:widowControl/>
              <w:rPr>
                <w:rFonts w:ascii="Times New Roman" w:eastAsia="新細明體" w:hAnsi="Times New Roman" w:cs="Times New Roman"/>
                <w:b/>
                <w:bCs/>
                <w:kern w:val="0"/>
                <w:sz w:val="28"/>
                <w:szCs w:val="28"/>
              </w:rPr>
            </w:pPr>
            <w:r w:rsidRPr="00C943F9">
              <w:rPr>
                <w:rFonts w:ascii="標楷體" w:eastAsia="標楷體" w:hAnsi="標楷體" w:cs="Times New Roman" w:hint="eastAsia"/>
                <w:b/>
                <w:bCs/>
                <w:kern w:val="0"/>
                <w:sz w:val="28"/>
                <w:szCs w:val="28"/>
              </w:rPr>
              <w:t>議題</w:t>
            </w:r>
          </w:p>
        </w:tc>
        <w:tc>
          <w:tcPr>
            <w:tcW w:w="710" w:type="pct"/>
            <w:tcBorders>
              <w:top w:val="single" w:sz="4" w:space="0" w:color="auto"/>
              <w:left w:val="nil"/>
              <w:bottom w:val="single" w:sz="4" w:space="0" w:color="auto"/>
              <w:right w:val="single" w:sz="4" w:space="0" w:color="auto"/>
            </w:tcBorders>
            <w:shd w:val="clear" w:color="000000" w:fill="FAC090"/>
            <w:vAlign w:val="center"/>
            <w:hideMark/>
          </w:tcPr>
          <w:p w:rsidR="00C943F9" w:rsidRPr="00C943F9" w:rsidRDefault="00C943F9" w:rsidP="00C943F9">
            <w:pPr>
              <w:widowControl/>
              <w:rPr>
                <w:rFonts w:ascii="Times New Roman" w:eastAsia="新細明體" w:hAnsi="Times New Roman" w:cs="Times New Roman"/>
                <w:b/>
                <w:bCs/>
                <w:kern w:val="0"/>
                <w:sz w:val="28"/>
                <w:szCs w:val="28"/>
              </w:rPr>
            </w:pPr>
            <w:r w:rsidRPr="00C943F9">
              <w:rPr>
                <w:rFonts w:ascii="標楷體" w:eastAsia="標楷體" w:hAnsi="標楷體" w:cs="Times New Roman" w:hint="eastAsia"/>
                <w:b/>
                <w:bCs/>
                <w:kern w:val="0"/>
                <w:sz w:val="28"/>
                <w:szCs w:val="28"/>
              </w:rPr>
              <w:t>會計項目</w:t>
            </w:r>
          </w:p>
        </w:tc>
        <w:tc>
          <w:tcPr>
            <w:tcW w:w="857" w:type="pct"/>
            <w:tcBorders>
              <w:top w:val="single" w:sz="4" w:space="0" w:color="auto"/>
              <w:left w:val="nil"/>
              <w:bottom w:val="single" w:sz="4" w:space="0" w:color="auto"/>
              <w:right w:val="single" w:sz="4" w:space="0" w:color="auto"/>
            </w:tcBorders>
            <w:shd w:val="clear" w:color="000000" w:fill="FAC090"/>
            <w:vAlign w:val="center"/>
            <w:hideMark/>
          </w:tcPr>
          <w:p w:rsidR="00C943F9" w:rsidRPr="00C943F9" w:rsidRDefault="00C943F9" w:rsidP="00C943F9">
            <w:pPr>
              <w:widowControl/>
              <w:rPr>
                <w:rFonts w:ascii="Times New Roman" w:eastAsia="新細明體" w:hAnsi="Times New Roman" w:cs="Times New Roman"/>
                <w:b/>
                <w:bCs/>
                <w:kern w:val="0"/>
                <w:sz w:val="28"/>
                <w:szCs w:val="28"/>
              </w:rPr>
            </w:pPr>
            <w:r w:rsidRPr="00C943F9">
              <w:rPr>
                <w:rFonts w:ascii="標楷體" w:eastAsia="標楷體" w:hAnsi="標楷體" w:cs="Times New Roman" w:hint="eastAsia"/>
                <w:b/>
                <w:bCs/>
                <w:kern w:val="0"/>
                <w:sz w:val="28"/>
                <w:szCs w:val="28"/>
              </w:rPr>
              <w:t>公報號次及段落</w:t>
            </w:r>
          </w:p>
        </w:tc>
        <w:tc>
          <w:tcPr>
            <w:tcW w:w="2623" w:type="pct"/>
            <w:tcBorders>
              <w:top w:val="single" w:sz="4" w:space="0" w:color="auto"/>
              <w:left w:val="nil"/>
              <w:bottom w:val="single" w:sz="4" w:space="0" w:color="auto"/>
              <w:right w:val="single" w:sz="4" w:space="0" w:color="auto"/>
            </w:tcBorders>
            <w:shd w:val="clear" w:color="000000" w:fill="FAC090"/>
            <w:vAlign w:val="center"/>
            <w:hideMark/>
          </w:tcPr>
          <w:p w:rsidR="00C943F9" w:rsidRPr="00C943F9" w:rsidRDefault="00C943F9" w:rsidP="00C943F9">
            <w:pPr>
              <w:widowControl/>
              <w:rPr>
                <w:rFonts w:ascii="Times New Roman" w:eastAsia="新細明體" w:hAnsi="Times New Roman" w:cs="Times New Roman"/>
                <w:b/>
                <w:bCs/>
                <w:kern w:val="0"/>
                <w:sz w:val="28"/>
                <w:szCs w:val="28"/>
              </w:rPr>
            </w:pPr>
            <w:r w:rsidRPr="00C943F9">
              <w:rPr>
                <w:rFonts w:ascii="標楷體" w:eastAsia="標楷體" w:hAnsi="標楷體" w:cs="Times New Roman" w:hint="eastAsia"/>
                <w:b/>
                <w:bCs/>
                <w:kern w:val="0"/>
                <w:sz w:val="28"/>
                <w:szCs w:val="28"/>
              </w:rPr>
              <w:t>差異說明</w:t>
            </w:r>
          </w:p>
        </w:tc>
      </w:tr>
      <w:tr w:rsidR="00C943F9" w:rsidRPr="00C943F9" w:rsidTr="00F45114">
        <w:trPr>
          <w:trHeight w:val="844"/>
        </w:trPr>
        <w:tc>
          <w:tcPr>
            <w:tcW w:w="247" w:type="pct"/>
            <w:tcBorders>
              <w:top w:val="nil"/>
              <w:left w:val="single" w:sz="4" w:space="0" w:color="auto"/>
              <w:bottom w:val="single" w:sz="4" w:space="0" w:color="auto"/>
              <w:right w:val="single" w:sz="4" w:space="0" w:color="auto"/>
            </w:tcBorders>
            <w:shd w:val="clear" w:color="auto" w:fill="auto"/>
            <w:noWrap/>
            <w:hideMark/>
          </w:tcPr>
          <w:p w:rsidR="00C943F9" w:rsidRPr="00C943F9" w:rsidRDefault="00C943F9" w:rsidP="00C943F9">
            <w:pPr>
              <w:widowControl/>
              <w:jc w:val="center"/>
              <w:rPr>
                <w:rFonts w:ascii="Times New Roman" w:eastAsia="新細明體" w:hAnsi="Times New Roman" w:cs="Times New Roman"/>
                <w:kern w:val="0"/>
                <w:szCs w:val="24"/>
              </w:rPr>
            </w:pPr>
            <w:r w:rsidRPr="00C943F9">
              <w:rPr>
                <w:rFonts w:ascii="Times New Roman" w:eastAsia="新細明體" w:hAnsi="Times New Roman" w:cs="Times New Roman"/>
                <w:kern w:val="0"/>
                <w:szCs w:val="24"/>
              </w:rPr>
              <w:t>1</w:t>
            </w:r>
          </w:p>
        </w:tc>
        <w:tc>
          <w:tcPr>
            <w:tcW w:w="563" w:type="pct"/>
            <w:tcBorders>
              <w:top w:val="nil"/>
              <w:left w:val="nil"/>
              <w:bottom w:val="single" w:sz="4" w:space="0" w:color="auto"/>
              <w:right w:val="single" w:sz="4" w:space="0" w:color="auto"/>
            </w:tcBorders>
            <w:shd w:val="clear" w:color="auto" w:fill="auto"/>
            <w:hideMark/>
          </w:tcPr>
          <w:p w:rsidR="00C943F9" w:rsidRPr="00C943F9" w:rsidRDefault="00C943F9" w:rsidP="00C943F9">
            <w:pPr>
              <w:widowControl/>
              <w:rPr>
                <w:rFonts w:ascii="標楷體" w:eastAsia="標楷體" w:hAnsi="標楷體" w:cs="新細明體"/>
                <w:kern w:val="0"/>
                <w:szCs w:val="24"/>
              </w:rPr>
            </w:pPr>
            <w:r w:rsidRPr="00C943F9">
              <w:rPr>
                <w:rFonts w:ascii="標楷體" w:eastAsia="標楷體" w:hAnsi="標楷體" w:cs="新細明體" w:hint="eastAsia"/>
                <w:kern w:val="0"/>
                <w:szCs w:val="24"/>
              </w:rPr>
              <w:t>缺乏可兌換性之貨幣</w:t>
            </w:r>
          </w:p>
        </w:tc>
        <w:tc>
          <w:tcPr>
            <w:tcW w:w="710" w:type="pct"/>
            <w:tcBorders>
              <w:top w:val="nil"/>
              <w:left w:val="nil"/>
              <w:bottom w:val="single" w:sz="4" w:space="0" w:color="auto"/>
              <w:right w:val="single" w:sz="4" w:space="0" w:color="auto"/>
            </w:tcBorders>
            <w:shd w:val="clear" w:color="auto" w:fill="auto"/>
            <w:hideMark/>
          </w:tcPr>
          <w:p w:rsidR="00C943F9" w:rsidRPr="00C943F9" w:rsidRDefault="00C943F9" w:rsidP="00C943F9">
            <w:pPr>
              <w:widowControl/>
              <w:rPr>
                <w:rFonts w:ascii="Times New Roman" w:eastAsia="新細明體" w:hAnsi="Times New Roman" w:cs="Times New Roman"/>
                <w:kern w:val="0"/>
                <w:szCs w:val="24"/>
              </w:rPr>
            </w:pPr>
            <w:r w:rsidRPr="00C943F9">
              <w:rPr>
                <w:rFonts w:ascii="Times New Roman" w:eastAsia="新細明體" w:hAnsi="Times New Roman" w:cs="Times New Roman"/>
                <w:kern w:val="0"/>
                <w:szCs w:val="24"/>
              </w:rPr>
              <w:t>-</w:t>
            </w:r>
          </w:p>
        </w:tc>
        <w:tc>
          <w:tcPr>
            <w:tcW w:w="857" w:type="pct"/>
            <w:tcBorders>
              <w:top w:val="nil"/>
              <w:left w:val="nil"/>
              <w:bottom w:val="single" w:sz="4" w:space="0" w:color="auto"/>
              <w:right w:val="single" w:sz="4" w:space="0" w:color="auto"/>
            </w:tcBorders>
            <w:shd w:val="clear" w:color="auto" w:fill="auto"/>
            <w:hideMark/>
          </w:tcPr>
          <w:p w:rsidR="00C943F9" w:rsidRPr="00C943F9" w:rsidRDefault="00C943F9" w:rsidP="00C943F9">
            <w:pPr>
              <w:widowControl/>
              <w:rPr>
                <w:rFonts w:ascii="標楷體" w:eastAsia="標楷體" w:hAnsi="標楷體" w:cs="新細明體"/>
                <w:kern w:val="0"/>
                <w:szCs w:val="24"/>
              </w:rPr>
            </w:pPr>
            <w:r w:rsidRPr="00C943F9">
              <w:rPr>
                <w:rFonts w:ascii="標楷體" w:eastAsia="標楷體" w:hAnsi="標楷體" w:cs="新細明體" w:hint="eastAsia"/>
                <w:kern w:val="0"/>
                <w:szCs w:val="24"/>
              </w:rPr>
              <w:t>114年版：</w:t>
            </w:r>
            <w:r w:rsidRPr="00C943F9">
              <w:rPr>
                <w:rFonts w:ascii="標楷體" w:eastAsia="標楷體" w:hAnsi="標楷體" w:cs="新細明體" w:hint="eastAsia"/>
                <w:kern w:val="0"/>
                <w:szCs w:val="24"/>
              </w:rPr>
              <w:br/>
              <w:t>IAS 21.8A, 8B, 19A, 57A</w:t>
            </w:r>
            <w:r w:rsidR="003E05EB">
              <w:rPr>
                <w:rFonts w:ascii="標楷體" w:eastAsia="標楷體" w:hAnsi="標楷體" w:cs="新細明體" w:hint="eastAsia"/>
                <w:kern w:val="0"/>
                <w:szCs w:val="24"/>
              </w:rPr>
              <w:t>及附錄A</w:t>
            </w:r>
            <w:r w:rsidRPr="00C943F9">
              <w:rPr>
                <w:rFonts w:ascii="標楷體" w:eastAsia="標楷體" w:hAnsi="標楷體" w:cs="新細明體" w:hint="eastAsia"/>
                <w:kern w:val="0"/>
                <w:szCs w:val="24"/>
              </w:rPr>
              <w:br/>
            </w:r>
            <w:r w:rsidRPr="00C943F9">
              <w:rPr>
                <w:rFonts w:ascii="標楷體" w:eastAsia="標楷體" w:hAnsi="標楷體" w:cs="新細明體" w:hint="eastAsia"/>
                <w:kern w:val="0"/>
                <w:szCs w:val="24"/>
              </w:rPr>
              <w:br/>
              <w:t>113年版：</w:t>
            </w:r>
            <w:r w:rsidR="008A0933">
              <w:rPr>
                <w:rFonts w:ascii="標楷體" w:eastAsia="標楷體" w:hAnsi="標楷體" w:cs="新細明體" w:hint="eastAsia"/>
                <w:kern w:val="0"/>
                <w:szCs w:val="24"/>
              </w:rPr>
              <w:t>IAS 21.26</w:t>
            </w:r>
            <w:r w:rsidRPr="00C943F9">
              <w:rPr>
                <w:rFonts w:ascii="標楷體" w:eastAsia="標楷體" w:hAnsi="標楷體" w:cs="新細明體" w:hint="eastAsia"/>
                <w:kern w:val="0"/>
                <w:szCs w:val="24"/>
              </w:rPr>
              <w:t>。</w:t>
            </w:r>
          </w:p>
        </w:tc>
        <w:tc>
          <w:tcPr>
            <w:tcW w:w="2623" w:type="pct"/>
            <w:tcBorders>
              <w:top w:val="nil"/>
              <w:left w:val="nil"/>
              <w:bottom w:val="single" w:sz="4" w:space="0" w:color="auto"/>
              <w:right w:val="single" w:sz="4" w:space="0" w:color="auto"/>
            </w:tcBorders>
            <w:shd w:val="clear" w:color="auto" w:fill="auto"/>
            <w:hideMark/>
          </w:tcPr>
          <w:p w:rsidR="00DE1CD2" w:rsidRDefault="00C943F9" w:rsidP="00CA208C">
            <w:pPr>
              <w:widowControl/>
              <w:jc w:val="both"/>
              <w:rPr>
                <w:rFonts w:ascii="標楷體" w:eastAsia="標楷體" w:hAnsi="標楷體" w:cs="新細明體"/>
                <w:kern w:val="0"/>
                <w:szCs w:val="24"/>
              </w:rPr>
            </w:pPr>
            <w:r w:rsidRPr="00537FCE">
              <w:rPr>
                <w:rFonts w:ascii="標楷體" w:eastAsia="標楷體" w:hAnsi="標楷體" w:cs="新細明體" w:hint="eastAsia"/>
                <w:kern w:val="0"/>
                <w:szCs w:val="24"/>
              </w:rPr>
              <w:t>114年版：</w:t>
            </w:r>
            <w:r w:rsidR="003E05EB" w:rsidRPr="00537FCE">
              <w:rPr>
                <w:rFonts w:ascii="標楷體" w:eastAsia="標楷體" w:hAnsi="標楷體" w:cs="新細明體" w:hint="eastAsia"/>
                <w:kern w:val="0"/>
                <w:szCs w:val="24"/>
              </w:rPr>
              <w:t>一貨幣「可兌換」為另一貨幣係指，當個體能在容許正常行政延遲之時程內，透過兌換交易將產生可執行之權利及義務之市場或兌換機制取得該另一貨幣</w:t>
            </w:r>
            <w:r w:rsidRPr="00537FCE">
              <w:rPr>
                <w:rFonts w:ascii="標楷體" w:eastAsia="標楷體" w:hAnsi="標楷體" w:cs="新細明體" w:hint="eastAsia"/>
                <w:kern w:val="0"/>
                <w:szCs w:val="24"/>
              </w:rPr>
              <w:t>。</w:t>
            </w:r>
            <w:r w:rsidR="00DE1CD2" w:rsidRPr="00CA208C">
              <w:rPr>
                <w:rFonts w:eastAsia="標楷體" w:hint="eastAsia"/>
                <w:kern w:val="0"/>
                <w:szCs w:val="24"/>
                <w:lang w:val="en-GB"/>
              </w:rPr>
              <w:t>若個體於衡量日就特定目的僅能取得未超過一不重大金額之另一貨幣，該貨幣非屬可兌換為該另一貨幣。</w:t>
            </w:r>
            <w:r w:rsidRPr="00537FCE">
              <w:rPr>
                <w:rFonts w:ascii="標楷體" w:eastAsia="標楷體" w:hAnsi="標楷體" w:cs="新細明體" w:hint="eastAsia"/>
                <w:kern w:val="0"/>
                <w:szCs w:val="24"/>
              </w:rPr>
              <w:t>當</w:t>
            </w:r>
            <w:r w:rsidR="009B60E2" w:rsidRPr="00537FCE">
              <w:rPr>
                <w:rFonts w:ascii="標楷體" w:eastAsia="標楷體" w:hAnsi="標楷體" w:cs="新細明體" w:hint="eastAsia"/>
                <w:kern w:val="0"/>
                <w:szCs w:val="24"/>
              </w:rPr>
              <w:t>一</w:t>
            </w:r>
            <w:r w:rsidRPr="00537FCE">
              <w:rPr>
                <w:rFonts w:ascii="標楷體" w:eastAsia="標楷體" w:hAnsi="標楷體" w:cs="新細明體" w:hint="eastAsia"/>
                <w:kern w:val="0"/>
                <w:szCs w:val="24"/>
              </w:rPr>
              <w:t>貨幣於衡量日</w:t>
            </w:r>
            <w:r w:rsidR="003E05EB" w:rsidRPr="00537FCE">
              <w:rPr>
                <w:rFonts w:ascii="標楷體" w:eastAsia="標楷體" w:hAnsi="標楷體" w:cs="新細明體" w:hint="eastAsia"/>
                <w:kern w:val="0"/>
                <w:szCs w:val="24"/>
              </w:rPr>
              <w:t>非屬</w:t>
            </w:r>
            <w:r w:rsidRPr="00537FCE">
              <w:rPr>
                <w:rFonts w:ascii="標楷體" w:eastAsia="標楷體" w:hAnsi="標楷體" w:cs="新細明體" w:hint="eastAsia"/>
                <w:kern w:val="0"/>
                <w:szCs w:val="24"/>
              </w:rPr>
              <w:t>可兌換</w:t>
            </w:r>
            <w:r w:rsidR="003E05EB" w:rsidRPr="00537FCE">
              <w:rPr>
                <w:rFonts w:ascii="標楷體" w:eastAsia="標楷體" w:hAnsi="標楷體" w:cs="新細明體" w:hint="eastAsia"/>
                <w:kern w:val="0"/>
                <w:szCs w:val="24"/>
              </w:rPr>
              <w:t>為另一貨幣</w:t>
            </w:r>
            <w:r w:rsidRPr="00537FCE">
              <w:rPr>
                <w:rFonts w:ascii="標楷體" w:eastAsia="標楷體" w:hAnsi="標楷體" w:cs="新細明體" w:hint="eastAsia"/>
                <w:kern w:val="0"/>
                <w:szCs w:val="24"/>
              </w:rPr>
              <w:t>時，個體應估計</w:t>
            </w:r>
            <w:r w:rsidR="009B60E2" w:rsidRPr="00537FCE">
              <w:rPr>
                <w:rFonts w:ascii="標楷體" w:eastAsia="標楷體" w:hAnsi="標楷體" w:cs="新細明體" w:hint="eastAsia"/>
                <w:kern w:val="0"/>
                <w:szCs w:val="24"/>
              </w:rPr>
              <w:t>該日之</w:t>
            </w:r>
            <w:r w:rsidRPr="00537FCE">
              <w:rPr>
                <w:rFonts w:ascii="標楷體" w:eastAsia="標楷體" w:hAnsi="標楷體" w:cs="新細明體" w:hint="eastAsia"/>
                <w:kern w:val="0"/>
                <w:szCs w:val="24"/>
              </w:rPr>
              <w:t>即期匯率，</w:t>
            </w:r>
            <w:r w:rsidR="00DE1CD2" w:rsidRPr="00CA208C">
              <w:rPr>
                <w:rFonts w:eastAsia="標楷體" w:hint="eastAsia"/>
                <w:kern w:val="0"/>
                <w:szCs w:val="24"/>
                <w:lang w:val="en-GB"/>
              </w:rPr>
              <w:t>個體可能使用不加以調整之可觀察匯率或另一估計技術估計即期匯率</w:t>
            </w:r>
            <w:r w:rsidRPr="00537FCE">
              <w:rPr>
                <w:rFonts w:ascii="標楷體" w:eastAsia="標楷體" w:hAnsi="標楷體" w:cs="新細明體" w:hint="eastAsia"/>
                <w:kern w:val="0"/>
                <w:szCs w:val="24"/>
              </w:rPr>
              <w:t>。在此情況下，報導個體亦應揭露</w:t>
            </w:r>
            <w:r w:rsidR="009B60E2" w:rsidRPr="00537FCE">
              <w:rPr>
                <w:rFonts w:ascii="標楷體" w:eastAsia="標楷體" w:hAnsi="標楷體" w:cs="新細明體" w:hint="eastAsia"/>
                <w:kern w:val="0"/>
                <w:szCs w:val="24"/>
              </w:rPr>
              <w:t>資訊，俾</w:t>
            </w:r>
            <w:r w:rsidRPr="00537FCE">
              <w:rPr>
                <w:rFonts w:ascii="標楷體" w:eastAsia="標楷體" w:hAnsi="標楷體" w:cs="新細明體" w:hint="eastAsia"/>
                <w:kern w:val="0"/>
                <w:szCs w:val="24"/>
              </w:rPr>
              <w:t>使</w:t>
            </w:r>
            <w:r w:rsidR="009B60E2" w:rsidRPr="00537FCE">
              <w:rPr>
                <w:rFonts w:ascii="標楷體" w:eastAsia="標楷體" w:hAnsi="標楷體" w:cs="新細明體" w:hint="eastAsia"/>
                <w:kern w:val="0"/>
                <w:szCs w:val="24"/>
              </w:rPr>
              <w:t>其</w:t>
            </w:r>
            <w:r w:rsidRPr="00537FCE">
              <w:rPr>
                <w:rFonts w:ascii="標楷體" w:eastAsia="標楷體" w:hAnsi="標楷體" w:cs="新細明體" w:hint="eastAsia"/>
                <w:kern w:val="0"/>
                <w:szCs w:val="24"/>
              </w:rPr>
              <w:t>財務報表使用者</w:t>
            </w:r>
            <w:r w:rsidR="009B60E2" w:rsidRPr="00537FCE">
              <w:rPr>
                <w:rFonts w:ascii="標楷體" w:eastAsia="標楷體" w:hAnsi="標楷體" w:cs="新細明體" w:hint="eastAsia"/>
                <w:kern w:val="0"/>
                <w:szCs w:val="24"/>
              </w:rPr>
              <w:t>能了解該</w:t>
            </w:r>
            <w:r w:rsidRPr="00537FCE">
              <w:rPr>
                <w:rFonts w:ascii="標楷體" w:eastAsia="標楷體" w:hAnsi="標楷體" w:cs="新細明體" w:hint="eastAsia"/>
                <w:kern w:val="0"/>
                <w:szCs w:val="24"/>
              </w:rPr>
              <w:t>貨幣缺乏可兌換性如何影響或預期如何影響</w:t>
            </w:r>
            <w:r w:rsidR="009B60E2" w:rsidRPr="00537FCE">
              <w:rPr>
                <w:rFonts w:ascii="標楷體" w:eastAsia="標楷體" w:hAnsi="標楷體" w:cs="新細明體" w:hint="eastAsia"/>
                <w:kern w:val="0"/>
                <w:szCs w:val="24"/>
              </w:rPr>
              <w:t>個體之財務績效</w:t>
            </w:r>
            <w:r w:rsidRPr="00537FCE">
              <w:rPr>
                <w:rFonts w:ascii="標楷體" w:eastAsia="標楷體" w:hAnsi="標楷體" w:cs="新細明體" w:hint="eastAsia"/>
                <w:kern w:val="0"/>
                <w:szCs w:val="24"/>
              </w:rPr>
              <w:t>、財務狀況及現金流量。</w:t>
            </w:r>
            <w:r w:rsidRPr="00537FCE">
              <w:rPr>
                <w:rFonts w:ascii="標楷體" w:eastAsia="標楷體" w:hAnsi="標楷體" w:cs="新細明體" w:hint="eastAsia"/>
                <w:kern w:val="0"/>
                <w:szCs w:val="24"/>
              </w:rPr>
              <w:br/>
            </w:r>
            <w:r w:rsidRPr="00537FCE">
              <w:rPr>
                <w:rFonts w:ascii="標楷體" w:eastAsia="標楷體" w:hAnsi="標楷體" w:cs="新細明體" w:hint="eastAsia"/>
                <w:kern w:val="0"/>
                <w:szCs w:val="24"/>
              </w:rPr>
              <w:br/>
              <w:t>113年版：</w:t>
            </w:r>
            <w:r w:rsidR="00DE1CD2" w:rsidRPr="00CA208C">
              <w:rPr>
                <w:rFonts w:eastAsia="標楷體" w:hint="eastAsia"/>
                <w:color w:val="000000"/>
                <w:szCs w:val="24"/>
                <w:lang w:val="en-GB"/>
              </w:rPr>
              <w:t>若兩種貨幣之間暫時缺乏可兌換性，則採用後續可兌換時之第一個匯率</w:t>
            </w:r>
            <w:r w:rsidRPr="00537FCE">
              <w:rPr>
                <w:rFonts w:ascii="標楷體" w:eastAsia="標楷體" w:hAnsi="標楷體" w:cs="新細明體" w:hint="eastAsia"/>
                <w:kern w:val="0"/>
                <w:szCs w:val="24"/>
              </w:rPr>
              <w:t>。</w:t>
            </w:r>
          </w:p>
        </w:tc>
      </w:tr>
    </w:tbl>
    <w:p w:rsidR="00C943F9" w:rsidRDefault="00C943F9"/>
    <w:sectPr w:rsidR="00C943F9" w:rsidSect="00CA208C">
      <w:pgSz w:w="16838" w:h="11906" w:orient="landscape"/>
      <w:pgMar w:top="1800" w:right="1440" w:bottom="1276"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CD0" w:rsidRDefault="003F4CD0" w:rsidP="00400108">
      <w:r>
        <w:separator/>
      </w:r>
    </w:p>
  </w:endnote>
  <w:endnote w:type="continuationSeparator" w:id="0">
    <w:p w:rsidR="003F4CD0" w:rsidRDefault="003F4CD0" w:rsidP="004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CD0" w:rsidRDefault="003F4CD0" w:rsidP="00400108">
      <w:r>
        <w:separator/>
      </w:r>
    </w:p>
  </w:footnote>
  <w:footnote w:type="continuationSeparator" w:id="0">
    <w:p w:rsidR="003F4CD0" w:rsidRDefault="003F4CD0" w:rsidP="00400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43F9"/>
    <w:rsid w:val="0015271A"/>
    <w:rsid w:val="00164B18"/>
    <w:rsid w:val="00231CA7"/>
    <w:rsid w:val="00244916"/>
    <w:rsid w:val="002815BD"/>
    <w:rsid w:val="003E05EB"/>
    <w:rsid w:val="003F4CD0"/>
    <w:rsid w:val="00400108"/>
    <w:rsid w:val="00537FCE"/>
    <w:rsid w:val="005B05F8"/>
    <w:rsid w:val="00665A30"/>
    <w:rsid w:val="008A0933"/>
    <w:rsid w:val="0098759A"/>
    <w:rsid w:val="009B60E2"/>
    <w:rsid w:val="00AB0DFD"/>
    <w:rsid w:val="00AC2506"/>
    <w:rsid w:val="00AF3D4A"/>
    <w:rsid w:val="00C943F9"/>
    <w:rsid w:val="00CA208C"/>
    <w:rsid w:val="00D70B3E"/>
    <w:rsid w:val="00DE1CD2"/>
    <w:rsid w:val="00E20461"/>
    <w:rsid w:val="00E56EC4"/>
    <w:rsid w:val="00ED2E10"/>
    <w:rsid w:val="00F3232B"/>
    <w:rsid w:val="00F42718"/>
    <w:rsid w:val="00F45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E11414-6977-4BCD-A35A-A958A94DC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D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B60E2"/>
  </w:style>
  <w:style w:type="paragraph" w:styleId="a4">
    <w:name w:val="header"/>
    <w:basedOn w:val="a"/>
    <w:link w:val="a5"/>
    <w:uiPriority w:val="99"/>
    <w:semiHidden/>
    <w:unhideWhenUsed/>
    <w:rsid w:val="00400108"/>
    <w:pPr>
      <w:tabs>
        <w:tab w:val="center" w:pos="4153"/>
        <w:tab w:val="right" w:pos="8306"/>
      </w:tabs>
      <w:snapToGrid w:val="0"/>
    </w:pPr>
    <w:rPr>
      <w:sz w:val="20"/>
      <w:szCs w:val="20"/>
    </w:rPr>
  </w:style>
  <w:style w:type="character" w:customStyle="1" w:styleId="a5">
    <w:name w:val="頁首 字元"/>
    <w:basedOn w:val="a0"/>
    <w:link w:val="a4"/>
    <w:uiPriority w:val="99"/>
    <w:semiHidden/>
    <w:rsid w:val="00400108"/>
    <w:rPr>
      <w:sz w:val="20"/>
      <w:szCs w:val="20"/>
    </w:rPr>
  </w:style>
  <w:style w:type="paragraph" w:styleId="a6">
    <w:name w:val="footer"/>
    <w:basedOn w:val="a"/>
    <w:link w:val="a7"/>
    <w:uiPriority w:val="99"/>
    <w:semiHidden/>
    <w:unhideWhenUsed/>
    <w:rsid w:val="00400108"/>
    <w:pPr>
      <w:tabs>
        <w:tab w:val="center" w:pos="4153"/>
        <w:tab w:val="right" w:pos="8306"/>
      </w:tabs>
      <w:snapToGrid w:val="0"/>
    </w:pPr>
    <w:rPr>
      <w:sz w:val="20"/>
      <w:szCs w:val="20"/>
    </w:rPr>
  </w:style>
  <w:style w:type="character" w:customStyle="1" w:styleId="a7">
    <w:name w:val="頁尾 字元"/>
    <w:basedOn w:val="a0"/>
    <w:link w:val="a6"/>
    <w:uiPriority w:val="99"/>
    <w:semiHidden/>
    <w:rsid w:val="00400108"/>
    <w:rPr>
      <w:sz w:val="20"/>
      <w:szCs w:val="20"/>
    </w:rPr>
  </w:style>
  <w:style w:type="paragraph" w:styleId="a8">
    <w:name w:val="Balloon Text"/>
    <w:basedOn w:val="a"/>
    <w:link w:val="a9"/>
    <w:uiPriority w:val="99"/>
    <w:semiHidden/>
    <w:unhideWhenUsed/>
    <w:rsid w:val="00F4511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451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60877">
      <w:bodyDiv w:val="1"/>
      <w:marLeft w:val="0"/>
      <w:marRight w:val="0"/>
      <w:marTop w:val="0"/>
      <w:marBottom w:val="0"/>
      <w:divBdr>
        <w:top w:val="none" w:sz="0" w:space="0" w:color="auto"/>
        <w:left w:val="none" w:sz="0" w:space="0" w:color="auto"/>
        <w:bottom w:val="none" w:sz="0" w:space="0" w:color="auto"/>
        <w:right w:val="none" w:sz="0" w:space="0" w:color="auto"/>
      </w:divBdr>
    </w:div>
    <w:div w:id="133374124">
      <w:bodyDiv w:val="1"/>
      <w:marLeft w:val="0"/>
      <w:marRight w:val="0"/>
      <w:marTop w:val="0"/>
      <w:marBottom w:val="0"/>
      <w:divBdr>
        <w:top w:val="none" w:sz="0" w:space="0" w:color="auto"/>
        <w:left w:val="none" w:sz="0" w:space="0" w:color="auto"/>
        <w:bottom w:val="none" w:sz="0" w:space="0" w:color="auto"/>
        <w:right w:val="none" w:sz="0" w:space="0" w:color="auto"/>
      </w:divBdr>
    </w:div>
    <w:div w:id="251359581">
      <w:bodyDiv w:val="1"/>
      <w:marLeft w:val="0"/>
      <w:marRight w:val="0"/>
      <w:marTop w:val="0"/>
      <w:marBottom w:val="0"/>
      <w:divBdr>
        <w:top w:val="none" w:sz="0" w:space="0" w:color="auto"/>
        <w:left w:val="none" w:sz="0" w:space="0" w:color="auto"/>
        <w:bottom w:val="none" w:sz="0" w:space="0" w:color="auto"/>
        <w:right w:val="none" w:sz="0" w:space="0" w:color="auto"/>
      </w:divBdr>
    </w:div>
    <w:div w:id="14165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劉佳穎</cp:lastModifiedBy>
  <cp:revision>4</cp:revision>
  <dcterms:created xsi:type="dcterms:W3CDTF">2024-11-13T02:00:00Z</dcterms:created>
  <dcterms:modified xsi:type="dcterms:W3CDTF">2024-12-09T08:20:00Z</dcterms:modified>
</cp:coreProperties>
</file>