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74D" w:rsidRPr="00B30E1C" w:rsidRDefault="00B30E1C" w:rsidP="000D0CF7">
      <w:pPr>
        <w:spacing w:line="500" w:lineRule="exact"/>
        <w:jc w:val="both"/>
        <w:rPr>
          <w:rFonts w:eastAsia="標楷體"/>
          <w:b/>
          <w:kern w:val="0"/>
          <w:sz w:val="36"/>
          <w:szCs w:val="36"/>
          <w:lang w:val="en-GB"/>
        </w:rPr>
      </w:pPr>
      <w:r w:rsidRPr="00B30E1C">
        <w:rPr>
          <w:rFonts w:eastAsia="標楷體" w:hint="eastAsia"/>
          <w:b/>
          <w:sz w:val="36"/>
          <w:szCs w:val="36"/>
        </w:rPr>
        <w:t>IFRS 9</w:t>
      </w:r>
      <w:r w:rsidRPr="00B30E1C">
        <w:rPr>
          <w:rFonts w:eastAsia="標楷體" w:hint="eastAsia"/>
          <w:b/>
          <w:sz w:val="36"/>
          <w:szCs w:val="36"/>
        </w:rPr>
        <w:t>「金融工具」</w:t>
      </w:r>
      <w:r>
        <w:rPr>
          <w:rFonts w:eastAsia="標楷體" w:hint="eastAsia"/>
          <w:b/>
          <w:sz w:val="36"/>
          <w:szCs w:val="36"/>
        </w:rPr>
        <w:t>-</w:t>
      </w:r>
      <w:r w:rsidR="00596EAC" w:rsidRPr="00B30E1C">
        <w:rPr>
          <w:rFonts w:eastAsia="標楷體" w:hint="eastAsia"/>
          <w:b/>
          <w:sz w:val="36"/>
          <w:szCs w:val="36"/>
        </w:rPr>
        <w:t>金融資產重分類</w:t>
      </w:r>
      <w:r>
        <w:rPr>
          <w:rFonts w:eastAsia="標楷體" w:hint="eastAsia"/>
          <w:b/>
          <w:sz w:val="36"/>
          <w:szCs w:val="36"/>
        </w:rPr>
        <w:t>實務</w:t>
      </w:r>
      <w:r w:rsidR="00596EAC" w:rsidRPr="00B30E1C">
        <w:rPr>
          <w:rFonts w:eastAsia="標楷體"/>
          <w:b/>
          <w:sz w:val="36"/>
          <w:szCs w:val="36"/>
        </w:rPr>
        <w:t>指引</w:t>
      </w:r>
    </w:p>
    <w:p w:rsidR="000948F2" w:rsidRDefault="000948F2" w:rsidP="000D0CF7">
      <w:pPr>
        <w:pStyle w:val="aff2"/>
        <w:spacing w:line="500" w:lineRule="exact"/>
        <w:ind w:left="487" w:hanging="487"/>
        <w:contextualSpacing w:val="0"/>
        <w:rPr>
          <w:rFonts w:ascii="標楷體" w:eastAsia="標楷體" w:hAnsi="標楷體" w:cstheme="minorBidi"/>
          <w:b/>
          <w:sz w:val="32"/>
          <w:szCs w:val="32"/>
        </w:rPr>
      </w:pPr>
    </w:p>
    <w:p w:rsidR="006F520F" w:rsidRPr="00B30E1C" w:rsidRDefault="006F520F" w:rsidP="000D0CF7">
      <w:pPr>
        <w:pStyle w:val="aff2"/>
        <w:spacing w:line="500" w:lineRule="exact"/>
        <w:ind w:left="487" w:hanging="487"/>
        <w:contextualSpacing w:val="0"/>
        <w:rPr>
          <w:rFonts w:ascii="標楷體" w:eastAsia="標楷體" w:hAnsi="標楷體" w:cstheme="minorBidi"/>
          <w:b/>
          <w:sz w:val="32"/>
          <w:szCs w:val="32"/>
        </w:rPr>
      </w:pPr>
      <w:r w:rsidRPr="00B30E1C">
        <w:rPr>
          <w:rFonts w:ascii="標楷體" w:eastAsia="標楷體" w:hAnsi="標楷體" w:cstheme="minorBidi" w:hint="eastAsia"/>
          <w:b/>
          <w:sz w:val="32"/>
          <w:szCs w:val="32"/>
        </w:rPr>
        <w:t>一</w:t>
      </w:r>
      <w:r w:rsidRPr="00B30E1C">
        <w:rPr>
          <w:rFonts w:ascii="標楷體" w:eastAsia="標楷體" w:hAnsi="標楷體" w:cstheme="minorBidi"/>
          <w:b/>
          <w:sz w:val="32"/>
          <w:szCs w:val="32"/>
        </w:rPr>
        <w:t>、前言</w:t>
      </w:r>
    </w:p>
    <w:p w:rsidR="00AF174D" w:rsidRPr="00DB670B" w:rsidRDefault="006F520F" w:rsidP="000D0CF7">
      <w:pPr>
        <w:spacing w:line="500" w:lineRule="exact"/>
        <w:jc w:val="both"/>
        <w:rPr>
          <w:rFonts w:eastAsia="標楷體"/>
          <w:sz w:val="28"/>
          <w:szCs w:val="28"/>
        </w:rPr>
      </w:pPr>
      <w:r w:rsidRPr="00DB670B">
        <w:rPr>
          <w:rFonts w:eastAsia="標楷體"/>
          <w:sz w:val="28"/>
          <w:szCs w:val="28"/>
        </w:rPr>
        <w:t>國際財務報導準則第</w:t>
      </w:r>
      <w:r w:rsidRPr="00DB670B">
        <w:rPr>
          <w:rFonts w:eastAsia="標楷體" w:hint="eastAsia"/>
          <w:sz w:val="28"/>
          <w:szCs w:val="28"/>
        </w:rPr>
        <w:t>九</w:t>
      </w:r>
      <w:r w:rsidRPr="00DB670B">
        <w:rPr>
          <w:rFonts w:eastAsia="標楷體"/>
          <w:sz w:val="28"/>
          <w:szCs w:val="28"/>
        </w:rPr>
        <w:t>號「</w:t>
      </w:r>
      <w:r w:rsidRPr="00DB670B">
        <w:rPr>
          <w:rFonts w:eastAsia="標楷體" w:hint="eastAsia"/>
          <w:sz w:val="28"/>
          <w:szCs w:val="28"/>
        </w:rPr>
        <w:t>金融工具</w:t>
      </w:r>
      <w:r w:rsidRPr="00DB670B">
        <w:rPr>
          <w:rFonts w:eastAsia="標楷體"/>
          <w:sz w:val="28"/>
          <w:szCs w:val="28"/>
        </w:rPr>
        <w:t>」</w:t>
      </w:r>
      <w:r w:rsidRPr="00DB670B">
        <w:rPr>
          <w:rFonts w:eastAsia="標楷體"/>
          <w:sz w:val="28"/>
          <w:szCs w:val="28"/>
        </w:rPr>
        <w:t>(</w:t>
      </w:r>
      <w:r w:rsidRPr="00DB670B">
        <w:rPr>
          <w:rFonts w:eastAsia="標楷體"/>
          <w:sz w:val="28"/>
          <w:szCs w:val="28"/>
        </w:rPr>
        <w:t>以下簡稱</w:t>
      </w:r>
      <w:r w:rsidRPr="00DB670B">
        <w:rPr>
          <w:rFonts w:eastAsia="標楷體"/>
          <w:sz w:val="28"/>
          <w:szCs w:val="28"/>
        </w:rPr>
        <w:t xml:space="preserve">IFRS </w:t>
      </w:r>
      <w:r w:rsidRPr="00DB670B">
        <w:rPr>
          <w:rFonts w:eastAsia="標楷體" w:hint="eastAsia"/>
          <w:sz w:val="28"/>
          <w:szCs w:val="28"/>
        </w:rPr>
        <w:t>9</w:t>
      </w:r>
      <w:r w:rsidRPr="00DB670B">
        <w:rPr>
          <w:rFonts w:eastAsia="標楷體"/>
          <w:sz w:val="28"/>
          <w:szCs w:val="28"/>
        </w:rPr>
        <w:t>)</w:t>
      </w:r>
      <w:r w:rsidR="00CE125C" w:rsidRPr="00DB670B">
        <w:rPr>
          <w:rFonts w:eastAsia="標楷體" w:hint="eastAsia"/>
          <w:sz w:val="28"/>
          <w:szCs w:val="28"/>
        </w:rPr>
        <w:t>規定企業應於原始認列金融資產時，</w:t>
      </w:r>
      <w:r w:rsidR="00EC52A9" w:rsidRPr="00DB670B">
        <w:rPr>
          <w:rFonts w:eastAsia="標楷體" w:hint="eastAsia"/>
          <w:sz w:val="28"/>
          <w:szCs w:val="28"/>
        </w:rPr>
        <w:t>依據企業管理金融資產之經營模式及金融資產之合約現金流量特性，將金融資產分類為後續</w:t>
      </w:r>
      <w:proofErr w:type="gramStart"/>
      <w:r w:rsidR="00EC52A9" w:rsidRPr="00DB670B">
        <w:rPr>
          <w:rFonts w:eastAsia="標楷體" w:hint="eastAsia"/>
          <w:sz w:val="28"/>
          <w:szCs w:val="28"/>
        </w:rPr>
        <w:t>按攤銷後</w:t>
      </w:r>
      <w:proofErr w:type="gramEnd"/>
      <w:r w:rsidR="00EC52A9" w:rsidRPr="00DB670B">
        <w:rPr>
          <w:rFonts w:eastAsia="標楷體" w:hint="eastAsia"/>
          <w:sz w:val="28"/>
          <w:szCs w:val="28"/>
        </w:rPr>
        <w:t>成本衡量、透過其他綜合損益按公允價值衡量或透過損益按公允價值衡量</w:t>
      </w:r>
      <w:r w:rsidR="00CE125C" w:rsidRPr="00DB670B">
        <w:rPr>
          <w:rFonts w:eastAsia="標楷體" w:hint="eastAsia"/>
          <w:sz w:val="28"/>
          <w:szCs w:val="28"/>
        </w:rPr>
        <w:t>。</w:t>
      </w:r>
      <w:r w:rsidR="00F3395F" w:rsidRPr="00DB670B">
        <w:rPr>
          <w:rFonts w:eastAsia="標楷體" w:hint="eastAsia"/>
          <w:sz w:val="28"/>
          <w:szCs w:val="28"/>
        </w:rPr>
        <w:t>原始認列</w:t>
      </w:r>
      <w:r w:rsidR="00CE125C" w:rsidRPr="00DB670B">
        <w:rPr>
          <w:rFonts w:eastAsia="標楷體" w:hint="eastAsia"/>
          <w:sz w:val="28"/>
          <w:szCs w:val="28"/>
        </w:rPr>
        <w:t>後</w:t>
      </w:r>
      <w:r w:rsidR="00F3395F" w:rsidRPr="00DB670B">
        <w:rPr>
          <w:rFonts w:eastAsia="標楷體" w:hint="eastAsia"/>
          <w:sz w:val="28"/>
          <w:szCs w:val="28"/>
        </w:rPr>
        <w:t>，</w:t>
      </w:r>
      <w:r w:rsidR="00CE125C" w:rsidRPr="00DB670B">
        <w:rPr>
          <w:rFonts w:eastAsia="標楷體" w:hint="eastAsia"/>
          <w:sz w:val="28"/>
          <w:szCs w:val="28"/>
        </w:rPr>
        <w:t>僅於企業改變其管理金融資產之經營模式時，始應於重分類日（導致企業重分類金融資產之經營模式變動後之第一個報導期間之第一天）重分類所有受影響之金融資產。</w:t>
      </w:r>
    </w:p>
    <w:p w:rsidR="000948F2" w:rsidRDefault="000948F2" w:rsidP="000D0CF7">
      <w:pPr>
        <w:pStyle w:val="aff2"/>
        <w:spacing w:line="500" w:lineRule="exact"/>
        <w:ind w:left="487" w:hanging="487"/>
        <w:contextualSpacing w:val="0"/>
        <w:rPr>
          <w:rFonts w:ascii="標楷體" w:eastAsia="標楷體" w:hAnsi="標楷體" w:cstheme="minorBidi"/>
          <w:b/>
          <w:sz w:val="32"/>
          <w:szCs w:val="32"/>
        </w:rPr>
      </w:pPr>
    </w:p>
    <w:p w:rsidR="00697DAF" w:rsidRPr="00B30E1C" w:rsidRDefault="00697DAF" w:rsidP="000D0CF7">
      <w:pPr>
        <w:pStyle w:val="aff2"/>
        <w:spacing w:line="500" w:lineRule="exact"/>
        <w:ind w:left="487" w:hanging="487"/>
        <w:contextualSpacing w:val="0"/>
        <w:rPr>
          <w:rFonts w:ascii="標楷體" w:eastAsia="標楷體" w:hAnsi="標楷體" w:cstheme="minorBidi"/>
          <w:b/>
          <w:sz w:val="32"/>
          <w:szCs w:val="32"/>
        </w:rPr>
      </w:pPr>
      <w:r w:rsidRPr="00B30E1C">
        <w:rPr>
          <w:rFonts w:ascii="標楷體" w:eastAsia="標楷體" w:hAnsi="標楷體" w:cstheme="minorBidi" w:hint="eastAsia"/>
          <w:b/>
          <w:sz w:val="32"/>
          <w:szCs w:val="32"/>
        </w:rPr>
        <w:t>二、適用重分類規定之金融資產</w:t>
      </w:r>
    </w:p>
    <w:p w:rsidR="00697DAF" w:rsidRPr="00DB670B" w:rsidRDefault="00A93DE8" w:rsidP="000D0CF7">
      <w:pPr>
        <w:spacing w:line="500" w:lineRule="exact"/>
        <w:jc w:val="both"/>
        <w:rPr>
          <w:rFonts w:eastAsia="標楷體"/>
          <w:sz w:val="28"/>
          <w:szCs w:val="28"/>
        </w:rPr>
      </w:pPr>
      <w:r w:rsidRPr="00DB670B">
        <w:rPr>
          <w:rFonts w:eastAsia="標楷體" w:hint="eastAsia"/>
          <w:sz w:val="28"/>
          <w:szCs w:val="28"/>
        </w:rPr>
        <w:t>適用重分類規定之金融資產</w:t>
      </w:r>
      <w:r w:rsidR="00E40616" w:rsidRPr="00DB670B">
        <w:rPr>
          <w:rFonts w:eastAsia="標楷體" w:hint="eastAsia"/>
          <w:sz w:val="28"/>
          <w:szCs w:val="28"/>
        </w:rPr>
        <w:t>，</w:t>
      </w:r>
      <w:r w:rsidRPr="00DB670B">
        <w:rPr>
          <w:rFonts w:eastAsia="標楷體" w:hint="eastAsia"/>
          <w:sz w:val="28"/>
          <w:szCs w:val="28"/>
        </w:rPr>
        <w:t>僅限於</w:t>
      </w:r>
      <w:r w:rsidR="00282F14" w:rsidRPr="00DB670B">
        <w:rPr>
          <w:rFonts w:eastAsia="標楷體" w:hint="eastAsia"/>
          <w:sz w:val="28"/>
          <w:szCs w:val="28"/>
        </w:rPr>
        <w:t>其合約條款產生完全為支付本金及流通在外本金金額之利息之現金流量，但</w:t>
      </w:r>
      <w:r w:rsidR="00E40616" w:rsidRPr="00DB670B">
        <w:rPr>
          <w:rFonts w:eastAsia="標楷體" w:hint="eastAsia"/>
          <w:sz w:val="28"/>
          <w:szCs w:val="28"/>
        </w:rPr>
        <w:t>依</w:t>
      </w:r>
      <w:r w:rsidR="00282F14" w:rsidRPr="00DB670B">
        <w:rPr>
          <w:rFonts w:eastAsia="標楷體" w:hint="eastAsia"/>
          <w:sz w:val="28"/>
          <w:szCs w:val="28"/>
        </w:rPr>
        <w:t>企業管理之經營模式</w:t>
      </w:r>
      <w:r w:rsidR="00E40616" w:rsidRPr="00DB670B">
        <w:rPr>
          <w:rFonts w:eastAsia="標楷體" w:hint="eastAsia"/>
          <w:sz w:val="28"/>
          <w:szCs w:val="28"/>
        </w:rPr>
        <w:t>決定</w:t>
      </w:r>
      <w:r w:rsidR="00282F14" w:rsidRPr="00DB670B">
        <w:rPr>
          <w:rFonts w:eastAsia="標楷體" w:hint="eastAsia"/>
          <w:sz w:val="28"/>
          <w:szCs w:val="28"/>
        </w:rPr>
        <w:t>不同分類之</w:t>
      </w:r>
      <w:r w:rsidRPr="00DB670B">
        <w:rPr>
          <w:rFonts w:eastAsia="標楷體" w:hint="eastAsia"/>
          <w:sz w:val="28"/>
          <w:szCs w:val="28"/>
        </w:rPr>
        <w:t>下列金融資產：</w:t>
      </w:r>
    </w:p>
    <w:p w:rsidR="00A93DE8" w:rsidRPr="00DB670B" w:rsidRDefault="00282F14" w:rsidP="000D0CF7">
      <w:pPr>
        <w:pStyle w:val="aff2"/>
        <w:numPr>
          <w:ilvl w:val="0"/>
          <w:numId w:val="17"/>
        </w:numPr>
        <w:spacing w:line="500" w:lineRule="exact"/>
        <w:jc w:val="both"/>
        <w:rPr>
          <w:rFonts w:eastAsia="標楷體"/>
          <w:sz w:val="28"/>
          <w:szCs w:val="28"/>
        </w:rPr>
      </w:pPr>
      <w:r w:rsidRPr="00DB670B">
        <w:rPr>
          <w:rFonts w:eastAsia="標楷體" w:hint="eastAsia"/>
          <w:sz w:val="28"/>
          <w:szCs w:val="28"/>
        </w:rPr>
        <w:t>因其經營模式係持有金融資產以收取合約現金流量</w:t>
      </w:r>
      <w:r w:rsidR="00A93DE8" w:rsidRPr="00DB670B">
        <w:rPr>
          <w:rFonts w:eastAsia="標楷體" w:hint="eastAsia"/>
          <w:sz w:val="28"/>
          <w:szCs w:val="28"/>
        </w:rPr>
        <w:t>，而</w:t>
      </w:r>
      <w:proofErr w:type="gramStart"/>
      <w:r w:rsidR="00A93DE8" w:rsidRPr="00DB670B">
        <w:rPr>
          <w:rFonts w:eastAsia="標楷體" w:hint="eastAsia"/>
          <w:sz w:val="28"/>
          <w:szCs w:val="28"/>
        </w:rPr>
        <w:t>按攤銷後</w:t>
      </w:r>
      <w:proofErr w:type="gramEnd"/>
      <w:r w:rsidR="00A93DE8" w:rsidRPr="00DB670B">
        <w:rPr>
          <w:rFonts w:eastAsia="標楷體" w:hint="eastAsia"/>
          <w:sz w:val="28"/>
          <w:szCs w:val="28"/>
        </w:rPr>
        <w:t>成本衡量之金融資產</w:t>
      </w:r>
      <w:r w:rsidRPr="00DB670B">
        <w:rPr>
          <w:rFonts w:eastAsia="標楷體" w:hint="eastAsia"/>
          <w:sz w:val="28"/>
          <w:szCs w:val="28"/>
        </w:rPr>
        <w:t>。</w:t>
      </w:r>
    </w:p>
    <w:p w:rsidR="00A93DE8" w:rsidRPr="00DB670B" w:rsidRDefault="00282F14" w:rsidP="000D0CF7">
      <w:pPr>
        <w:pStyle w:val="aff2"/>
        <w:numPr>
          <w:ilvl w:val="0"/>
          <w:numId w:val="17"/>
        </w:numPr>
        <w:spacing w:line="500" w:lineRule="exact"/>
        <w:jc w:val="both"/>
        <w:rPr>
          <w:rFonts w:eastAsia="標楷體"/>
          <w:sz w:val="28"/>
          <w:szCs w:val="28"/>
        </w:rPr>
      </w:pPr>
      <w:r w:rsidRPr="00DB670B">
        <w:rPr>
          <w:rFonts w:eastAsia="標楷體" w:hint="eastAsia"/>
          <w:sz w:val="28"/>
          <w:szCs w:val="28"/>
        </w:rPr>
        <w:t>因其經營模式之目的係藉由收取合約現金流量及出售金融資產達成</w:t>
      </w:r>
      <w:r w:rsidR="00A93DE8" w:rsidRPr="00DB670B">
        <w:rPr>
          <w:rFonts w:eastAsia="標楷體" w:hint="eastAsia"/>
          <w:sz w:val="28"/>
          <w:szCs w:val="28"/>
        </w:rPr>
        <w:t>，而透過其他綜合損益按公允價值衡量之金融資產</w:t>
      </w:r>
      <w:r w:rsidRPr="00DB670B">
        <w:rPr>
          <w:rFonts w:eastAsia="標楷體" w:hint="eastAsia"/>
          <w:sz w:val="28"/>
          <w:szCs w:val="28"/>
        </w:rPr>
        <w:t>。</w:t>
      </w:r>
    </w:p>
    <w:p w:rsidR="00A95449" w:rsidRPr="00DB670B" w:rsidRDefault="00282F14" w:rsidP="000D0CF7">
      <w:pPr>
        <w:pStyle w:val="aff2"/>
        <w:numPr>
          <w:ilvl w:val="0"/>
          <w:numId w:val="17"/>
        </w:numPr>
        <w:spacing w:line="500" w:lineRule="exact"/>
        <w:jc w:val="both"/>
        <w:rPr>
          <w:rFonts w:eastAsia="標楷體"/>
          <w:sz w:val="28"/>
          <w:szCs w:val="28"/>
        </w:rPr>
      </w:pPr>
      <w:r w:rsidRPr="00DB670B">
        <w:rPr>
          <w:rFonts w:eastAsia="標楷體" w:hint="eastAsia"/>
          <w:sz w:val="28"/>
          <w:szCs w:val="28"/>
        </w:rPr>
        <w:t>因其經營模式並非持有金融資產以收取合約現金流量亦非藉由收取合約現金流量及出售金融資產達成</w:t>
      </w:r>
      <w:r w:rsidR="00A95449" w:rsidRPr="00DB670B">
        <w:rPr>
          <w:rFonts w:eastAsia="標楷體" w:hint="eastAsia"/>
          <w:sz w:val="28"/>
          <w:szCs w:val="28"/>
        </w:rPr>
        <w:t>，而透過損益按公允價值衡量之金融資產</w:t>
      </w:r>
      <w:r w:rsidRPr="00DB670B">
        <w:rPr>
          <w:rFonts w:eastAsia="標楷體" w:hint="eastAsia"/>
          <w:sz w:val="28"/>
          <w:szCs w:val="28"/>
        </w:rPr>
        <w:t>。</w:t>
      </w:r>
    </w:p>
    <w:p w:rsidR="00A93DE8" w:rsidRPr="00DB670B" w:rsidRDefault="005B669A" w:rsidP="000D0CF7">
      <w:pPr>
        <w:spacing w:line="500" w:lineRule="exact"/>
        <w:jc w:val="both"/>
        <w:rPr>
          <w:rFonts w:eastAsia="標楷體"/>
          <w:sz w:val="28"/>
          <w:szCs w:val="28"/>
        </w:rPr>
      </w:pPr>
      <w:r w:rsidRPr="00DB670B">
        <w:rPr>
          <w:rFonts w:eastAsia="標楷體" w:hint="eastAsia"/>
          <w:sz w:val="28"/>
          <w:szCs w:val="28"/>
        </w:rPr>
        <w:t>下列金融資產在原始認列後不得重分類：</w:t>
      </w:r>
    </w:p>
    <w:p w:rsidR="005B669A" w:rsidRPr="00DB670B" w:rsidRDefault="00F55423" w:rsidP="000D0CF7">
      <w:pPr>
        <w:pStyle w:val="aff2"/>
        <w:numPr>
          <w:ilvl w:val="0"/>
          <w:numId w:val="17"/>
        </w:numPr>
        <w:spacing w:line="500" w:lineRule="exact"/>
        <w:jc w:val="both"/>
        <w:rPr>
          <w:rFonts w:eastAsia="標楷體"/>
          <w:sz w:val="28"/>
          <w:szCs w:val="28"/>
        </w:rPr>
      </w:pPr>
      <w:r w:rsidRPr="00DB670B">
        <w:rPr>
          <w:rFonts w:eastAsia="標楷體" w:hint="eastAsia"/>
          <w:sz w:val="28"/>
          <w:szCs w:val="28"/>
        </w:rPr>
        <w:t>因合約條款並非產生</w:t>
      </w:r>
      <w:r w:rsidR="009C0033" w:rsidRPr="00DB670B">
        <w:rPr>
          <w:rFonts w:eastAsia="標楷體" w:hint="eastAsia"/>
          <w:sz w:val="28"/>
          <w:szCs w:val="28"/>
        </w:rPr>
        <w:t>完全為支付本金及流通在外本金金額之利息</w:t>
      </w:r>
      <w:r w:rsidRPr="00DB670B">
        <w:rPr>
          <w:rFonts w:eastAsia="標楷體" w:hint="eastAsia"/>
          <w:sz w:val="28"/>
          <w:szCs w:val="28"/>
        </w:rPr>
        <w:t>之現金流量，</w:t>
      </w:r>
      <w:r w:rsidR="009C0033" w:rsidRPr="00DB670B">
        <w:rPr>
          <w:rFonts w:eastAsia="標楷體" w:hint="eastAsia"/>
          <w:sz w:val="28"/>
          <w:szCs w:val="28"/>
        </w:rPr>
        <w:t>而透過損益按公允價值衡量衡量之金融資產（包括普通股、可轉換公司債及開放型基金投資等）。</w:t>
      </w:r>
    </w:p>
    <w:p w:rsidR="009C0033" w:rsidRPr="00DB670B" w:rsidRDefault="009C0033" w:rsidP="000D0CF7">
      <w:pPr>
        <w:pStyle w:val="aff2"/>
        <w:numPr>
          <w:ilvl w:val="0"/>
          <w:numId w:val="17"/>
        </w:numPr>
        <w:spacing w:line="500" w:lineRule="exact"/>
        <w:jc w:val="both"/>
        <w:rPr>
          <w:rFonts w:eastAsia="標楷體"/>
          <w:sz w:val="28"/>
          <w:szCs w:val="28"/>
        </w:rPr>
      </w:pPr>
      <w:r w:rsidRPr="00DB670B">
        <w:rPr>
          <w:rFonts w:eastAsia="標楷體" w:hint="eastAsia"/>
          <w:sz w:val="28"/>
          <w:szCs w:val="28"/>
        </w:rPr>
        <w:t>企業於原始認列時指定透過其他綜合損益按公允價值衡量之非</w:t>
      </w:r>
      <w:r w:rsidRPr="00DB670B">
        <w:rPr>
          <w:rFonts w:eastAsia="標楷體" w:hint="eastAsia"/>
          <w:sz w:val="28"/>
          <w:szCs w:val="28"/>
        </w:rPr>
        <w:lastRenderedPageBreak/>
        <w:t>持有供交易權益工具投資。</w:t>
      </w:r>
    </w:p>
    <w:p w:rsidR="008C7E33" w:rsidRPr="00DB670B" w:rsidRDefault="00BE6176" w:rsidP="000D0CF7">
      <w:pPr>
        <w:pStyle w:val="aff2"/>
        <w:numPr>
          <w:ilvl w:val="0"/>
          <w:numId w:val="17"/>
        </w:numPr>
        <w:spacing w:line="500" w:lineRule="exact"/>
        <w:jc w:val="both"/>
        <w:rPr>
          <w:rFonts w:eastAsia="標楷體"/>
          <w:sz w:val="28"/>
          <w:szCs w:val="28"/>
        </w:rPr>
      </w:pPr>
      <w:r w:rsidRPr="00DB670B">
        <w:rPr>
          <w:rFonts w:eastAsia="標楷體" w:hint="eastAsia"/>
          <w:sz w:val="28"/>
          <w:szCs w:val="28"/>
        </w:rPr>
        <w:t>為消除或重大減少會計配比不當，而</w:t>
      </w:r>
      <w:r w:rsidR="005F4529" w:rsidRPr="00DB670B">
        <w:rPr>
          <w:rFonts w:eastAsia="標楷體" w:hint="eastAsia"/>
          <w:sz w:val="28"/>
          <w:szCs w:val="28"/>
        </w:rPr>
        <w:t>於原始認列</w:t>
      </w:r>
      <w:r w:rsidR="009F7758" w:rsidRPr="00DB670B">
        <w:rPr>
          <w:rFonts w:eastAsia="標楷體" w:hint="eastAsia"/>
          <w:sz w:val="28"/>
          <w:szCs w:val="28"/>
        </w:rPr>
        <w:t>時</w:t>
      </w:r>
      <w:r w:rsidRPr="00DB670B">
        <w:rPr>
          <w:rFonts w:eastAsia="標楷體" w:hint="eastAsia"/>
          <w:sz w:val="28"/>
          <w:szCs w:val="28"/>
        </w:rPr>
        <w:t>指定為透過損益按公允價值衡量之金融資產。</w:t>
      </w:r>
    </w:p>
    <w:p w:rsidR="000948F2" w:rsidRDefault="000948F2" w:rsidP="000D0CF7">
      <w:pPr>
        <w:pStyle w:val="aff2"/>
        <w:spacing w:line="500" w:lineRule="exact"/>
        <w:ind w:left="487" w:hanging="487"/>
        <w:contextualSpacing w:val="0"/>
        <w:rPr>
          <w:rFonts w:ascii="標楷體" w:eastAsia="標楷體" w:hAnsi="標楷體" w:cstheme="minorBidi"/>
          <w:b/>
          <w:sz w:val="32"/>
          <w:szCs w:val="32"/>
        </w:rPr>
      </w:pPr>
    </w:p>
    <w:p w:rsidR="00F16364" w:rsidRPr="00B30E1C" w:rsidRDefault="003D4664" w:rsidP="000D0CF7">
      <w:pPr>
        <w:pStyle w:val="aff2"/>
        <w:spacing w:line="500" w:lineRule="exact"/>
        <w:ind w:left="487" w:hanging="487"/>
        <w:contextualSpacing w:val="0"/>
        <w:rPr>
          <w:rFonts w:ascii="標楷體" w:eastAsia="標楷體" w:hAnsi="標楷體" w:cstheme="minorBidi"/>
          <w:b/>
          <w:sz w:val="32"/>
          <w:szCs w:val="32"/>
        </w:rPr>
      </w:pPr>
      <w:r w:rsidRPr="00B30E1C">
        <w:rPr>
          <w:rFonts w:ascii="標楷體" w:eastAsia="標楷體" w:hAnsi="標楷體" w:cstheme="minorBidi" w:hint="eastAsia"/>
          <w:b/>
          <w:sz w:val="32"/>
          <w:szCs w:val="32"/>
        </w:rPr>
        <w:t>三、管理金融資產之經營模式改變</w:t>
      </w:r>
    </w:p>
    <w:p w:rsidR="00460DF2" w:rsidRPr="00DB670B" w:rsidRDefault="00933817" w:rsidP="000D0CF7">
      <w:pPr>
        <w:spacing w:line="500" w:lineRule="exact"/>
        <w:jc w:val="both"/>
        <w:rPr>
          <w:rFonts w:eastAsia="標楷體"/>
          <w:sz w:val="28"/>
          <w:szCs w:val="28"/>
        </w:rPr>
      </w:pPr>
      <w:r w:rsidRPr="00DB670B">
        <w:rPr>
          <w:rFonts w:eastAsia="標楷體" w:hint="eastAsia"/>
          <w:sz w:val="28"/>
          <w:szCs w:val="28"/>
        </w:rPr>
        <w:t>依</w:t>
      </w:r>
      <w:r w:rsidRPr="00DB670B">
        <w:rPr>
          <w:rFonts w:eastAsia="標楷體" w:hint="eastAsia"/>
          <w:sz w:val="28"/>
          <w:szCs w:val="28"/>
        </w:rPr>
        <w:t>IFRS 9.B4.4.1</w:t>
      </w:r>
      <w:r w:rsidRPr="00DB670B">
        <w:rPr>
          <w:rFonts w:eastAsia="標楷體" w:hint="eastAsia"/>
          <w:sz w:val="28"/>
          <w:szCs w:val="28"/>
        </w:rPr>
        <w:t>規定，企業管理金融資產之經營模式改變，係由企業之高階管理階層基於外部或內部變動之結果而決定，且必須對企業之營運具重大性並可對外部人士展示。因此，僅於企業開始或停止進行對其營運具重大性之活動時，始將發生企業之經營模式變動；例如，企業取得、處分或終止業務線</w:t>
      </w:r>
      <w:r w:rsidR="00460DF2" w:rsidRPr="00DB670B">
        <w:rPr>
          <w:rFonts w:eastAsia="標楷體" w:hint="eastAsia"/>
          <w:sz w:val="28"/>
          <w:szCs w:val="28"/>
        </w:rPr>
        <w:t>，此種變動預期極不頻繁</w:t>
      </w:r>
      <w:r w:rsidRPr="00DB670B">
        <w:rPr>
          <w:rFonts w:eastAsia="標楷體" w:hint="eastAsia"/>
          <w:sz w:val="28"/>
          <w:szCs w:val="28"/>
        </w:rPr>
        <w:t>。</w:t>
      </w:r>
    </w:p>
    <w:p w:rsidR="00933817" w:rsidRPr="00DB670B" w:rsidRDefault="002557F5" w:rsidP="000D0CF7">
      <w:pPr>
        <w:spacing w:line="500" w:lineRule="exact"/>
        <w:jc w:val="both"/>
        <w:rPr>
          <w:rFonts w:eastAsia="標楷體"/>
          <w:sz w:val="28"/>
          <w:szCs w:val="28"/>
        </w:rPr>
      </w:pPr>
      <w:r w:rsidRPr="00DB670B">
        <w:rPr>
          <w:rFonts w:eastAsia="標楷體" w:hint="eastAsia"/>
          <w:sz w:val="28"/>
          <w:szCs w:val="28"/>
        </w:rPr>
        <w:t>企業管理金融資產之</w:t>
      </w:r>
      <w:r w:rsidR="00933817" w:rsidRPr="00DB670B">
        <w:rPr>
          <w:rFonts w:eastAsia="標楷體" w:hint="eastAsia"/>
          <w:sz w:val="28"/>
          <w:szCs w:val="28"/>
        </w:rPr>
        <w:t>經營模式變動</w:t>
      </w:r>
      <w:r w:rsidRPr="00DB670B">
        <w:rPr>
          <w:rFonts w:eastAsia="標楷體" w:hint="eastAsia"/>
          <w:sz w:val="28"/>
          <w:szCs w:val="28"/>
        </w:rPr>
        <w:t>情況可能為</w:t>
      </w:r>
      <w:r w:rsidR="00933817" w:rsidRPr="00DB670B">
        <w:rPr>
          <w:rFonts w:eastAsia="標楷體" w:hint="eastAsia"/>
          <w:sz w:val="28"/>
          <w:szCs w:val="28"/>
        </w:rPr>
        <w:t>：</w:t>
      </w:r>
    </w:p>
    <w:p w:rsidR="00933817" w:rsidRPr="00DB670B" w:rsidRDefault="00933817" w:rsidP="000D0CF7">
      <w:pPr>
        <w:pStyle w:val="aff2"/>
        <w:numPr>
          <w:ilvl w:val="0"/>
          <w:numId w:val="23"/>
        </w:numPr>
        <w:spacing w:line="500" w:lineRule="exact"/>
        <w:jc w:val="both"/>
        <w:rPr>
          <w:rFonts w:eastAsia="標楷體"/>
          <w:sz w:val="28"/>
          <w:szCs w:val="28"/>
        </w:rPr>
      </w:pPr>
      <w:r w:rsidRPr="00DB670B">
        <w:rPr>
          <w:rFonts w:eastAsia="標楷體" w:hint="eastAsia"/>
          <w:sz w:val="28"/>
          <w:szCs w:val="28"/>
        </w:rPr>
        <w:t>某企業為短期內出售而持有</w:t>
      </w:r>
      <w:proofErr w:type="gramStart"/>
      <w:r w:rsidRPr="00DB670B">
        <w:rPr>
          <w:rFonts w:eastAsia="標楷體" w:hint="eastAsia"/>
          <w:sz w:val="28"/>
          <w:szCs w:val="28"/>
        </w:rPr>
        <w:t>一</w:t>
      </w:r>
      <w:proofErr w:type="gramEnd"/>
      <w:r w:rsidRPr="00DB670B">
        <w:rPr>
          <w:rFonts w:eastAsia="標楷體" w:hint="eastAsia"/>
          <w:sz w:val="28"/>
          <w:szCs w:val="28"/>
        </w:rPr>
        <w:t>商業放款組合。該企業收購一家管理商業放款之公司，且該公司之經營模式係持有放款以收取合約現金流量。該商業放款組合不再出售，且該組合目前與收購所得之商業放款共同管理，所有商業</w:t>
      </w:r>
      <w:proofErr w:type="gramStart"/>
      <w:r w:rsidRPr="00DB670B">
        <w:rPr>
          <w:rFonts w:eastAsia="標楷體" w:hint="eastAsia"/>
          <w:sz w:val="28"/>
          <w:szCs w:val="28"/>
        </w:rPr>
        <w:t>放款均屬為</w:t>
      </w:r>
      <w:proofErr w:type="gramEnd"/>
      <w:r w:rsidRPr="00DB670B">
        <w:rPr>
          <w:rFonts w:eastAsia="標楷體" w:hint="eastAsia"/>
          <w:sz w:val="28"/>
          <w:szCs w:val="28"/>
        </w:rPr>
        <w:t>收取合約現金流量而持有。</w:t>
      </w:r>
    </w:p>
    <w:p w:rsidR="003D4664" w:rsidRPr="00DB670B" w:rsidRDefault="00933817" w:rsidP="000D0CF7">
      <w:pPr>
        <w:pStyle w:val="aff2"/>
        <w:numPr>
          <w:ilvl w:val="0"/>
          <w:numId w:val="23"/>
        </w:numPr>
        <w:spacing w:line="500" w:lineRule="exact"/>
        <w:jc w:val="both"/>
        <w:rPr>
          <w:rFonts w:eastAsia="標楷體"/>
          <w:sz w:val="28"/>
          <w:szCs w:val="28"/>
        </w:rPr>
      </w:pPr>
      <w:r w:rsidRPr="00DB670B">
        <w:rPr>
          <w:rFonts w:eastAsia="標楷體" w:hint="eastAsia"/>
          <w:sz w:val="28"/>
          <w:szCs w:val="28"/>
        </w:rPr>
        <w:t>某金融服務公司決定終止其個人抵押貸款業務。該項業務不再承接新業務，且該金融服務公司正積極行銷以出售其抵押貸款組合。</w:t>
      </w:r>
    </w:p>
    <w:p w:rsidR="00A82531" w:rsidRPr="00DB670B" w:rsidRDefault="00A82531" w:rsidP="000D0CF7">
      <w:pPr>
        <w:spacing w:line="500" w:lineRule="exact"/>
        <w:jc w:val="both"/>
        <w:rPr>
          <w:rFonts w:eastAsia="標楷體"/>
          <w:sz w:val="28"/>
          <w:szCs w:val="28"/>
        </w:rPr>
      </w:pPr>
      <w:r w:rsidRPr="00DB670B">
        <w:rPr>
          <w:rFonts w:eastAsia="標楷體" w:hint="eastAsia"/>
          <w:sz w:val="28"/>
          <w:szCs w:val="28"/>
        </w:rPr>
        <w:t>個別金融資產之信用風險變動並不會影響企業管理金融資產之經營模式，因此不得重分類。</w:t>
      </w:r>
    </w:p>
    <w:p w:rsidR="00ED3676" w:rsidRPr="00DB670B" w:rsidRDefault="00ED3676" w:rsidP="00D254F7">
      <w:pPr>
        <w:spacing w:beforeLines="150" w:line="500" w:lineRule="exact"/>
        <w:rPr>
          <w:rFonts w:eastAsia="標楷體"/>
          <w:b/>
          <w:sz w:val="28"/>
          <w:szCs w:val="28"/>
        </w:rPr>
        <w:sectPr w:rsidR="00ED3676" w:rsidRPr="00DB670B" w:rsidSect="00206CAE">
          <w:footerReference w:type="default" r:id="rId8"/>
          <w:pgSz w:w="11906" w:h="16838" w:code="9"/>
          <w:pgMar w:top="1440" w:right="1797" w:bottom="1440" w:left="1797" w:header="851" w:footer="992" w:gutter="0"/>
          <w:cols w:space="425"/>
          <w:docGrid w:type="lines" w:linePitch="360"/>
        </w:sectPr>
      </w:pPr>
    </w:p>
    <w:p w:rsidR="00AF174D" w:rsidRPr="00B30E1C" w:rsidRDefault="00E210B5" w:rsidP="000D0CF7">
      <w:pPr>
        <w:pStyle w:val="aff2"/>
        <w:spacing w:line="500" w:lineRule="exact"/>
        <w:ind w:left="487" w:hanging="487"/>
        <w:contextualSpacing w:val="0"/>
        <w:rPr>
          <w:rFonts w:ascii="標楷體" w:eastAsia="標楷體" w:hAnsi="標楷體" w:cstheme="minorBidi"/>
          <w:b/>
          <w:sz w:val="32"/>
          <w:szCs w:val="32"/>
        </w:rPr>
      </w:pPr>
      <w:r w:rsidRPr="00B30E1C">
        <w:rPr>
          <w:rFonts w:ascii="標楷體" w:eastAsia="標楷體" w:hAnsi="標楷體" w:cstheme="minorBidi" w:hint="eastAsia"/>
          <w:b/>
          <w:sz w:val="32"/>
          <w:szCs w:val="32"/>
        </w:rPr>
        <w:lastRenderedPageBreak/>
        <w:t>四、金融資產重分類之會計處理</w:t>
      </w:r>
    </w:p>
    <w:p w:rsidR="0071036D" w:rsidRPr="00DB670B" w:rsidRDefault="0071036D" w:rsidP="000D0CF7">
      <w:pPr>
        <w:spacing w:line="500" w:lineRule="exact"/>
        <w:jc w:val="both"/>
        <w:rPr>
          <w:rFonts w:eastAsia="標楷體"/>
          <w:sz w:val="28"/>
          <w:szCs w:val="28"/>
        </w:rPr>
      </w:pPr>
      <w:r w:rsidRPr="00DB670B">
        <w:rPr>
          <w:rFonts w:eastAsia="標楷體" w:hint="eastAsia"/>
          <w:sz w:val="28"/>
          <w:szCs w:val="28"/>
        </w:rPr>
        <w:t>當企業改變其管理金融資產之經營模式時，應於重分類日（導致企業重分類金融資產之經營模式變動後之第一個報導期間之第一天）重分類所有受影響之金融資產，並自重分類日後推延適用新分類之會計處理</w:t>
      </w:r>
      <w:r w:rsidR="00817781" w:rsidRPr="00DB670B">
        <w:rPr>
          <w:rFonts w:eastAsia="標楷體" w:hint="eastAsia"/>
          <w:sz w:val="28"/>
          <w:szCs w:val="28"/>
        </w:rPr>
        <w:t>，</w:t>
      </w:r>
      <w:proofErr w:type="gramStart"/>
      <w:r w:rsidR="00817781" w:rsidRPr="00DB670B">
        <w:rPr>
          <w:rFonts w:eastAsia="標楷體" w:hint="eastAsia"/>
          <w:sz w:val="28"/>
          <w:szCs w:val="28"/>
        </w:rPr>
        <w:t>故重分類</w:t>
      </w:r>
      <w:proofErr w:type="gramEnd"/>
      <w:r w:rsidR="00817781" w:rsidRPr="00DB670B">
        <w:rPr>
          <w:rFonts w:eastAsia="標楷體" w:hint="eastAsia"/>
          <w:sz w:val="28"/>
          <w:szCs w:val="28"/>
        </w:rPr>
        <w:t>日前之會計處理不得調整</w:t>
      </w:r>
      <w:r w:rsidRPr="00DB670B">
        <w:rPr>
          <w:rFonts w:eastAsia="標楷體" w:hint="eastAsia"/>
          <w:sz w:val="28"/>
          <w:szCs w:val="28"/>
        </w:rPr>
        <w:t>。依</w:t>
      </w:r>
      <w:r w:rsidRPr="00DB670B">
        <w:rPr>
          <w:rFonts w:eastAsia="標楷體" w:hint="eastAsia"/>
          <w:sz w:val="28"/>
          <w:szCs w:val="28"/>
        </w:rPr>
        <w:t>IFRS 9.5.6.2-5.6.7</w:t>
      </w:r>
      <w:r w:rsidRPr="00DB670B">
        <w:rPr>
          <w:rFonts w:eastAsia="標楷體" w:hint="eastAsia"/>
          <w:sz w:val="28"/>
          <w:szCs w:val="28"/>
        </w:rPr>
        <w:t>之規定，不同種類金融資產之重分類日會計處理彙整如下：</w:t>
      </w:r>
    </w:p>
    <w:tbl>
      <w:tblPr>
        <w:tblStyle w:val="af0"/>
        <w:tblW w:w="0" w:type="auto"/>
        <w:tblLook w:val="04A0"/>
      </w:tblPr>
      <w:tblGrid>
        <w:gridCol w:w="1809"/>
        <w:gridCol w:w="4008"/>
        <w:gridCol w:w="4356"/>
        <w:gridCol w:w="5425"/>
      </w:tblGrid>
      <w:tr w:rsidR="00F02826" w:rsidRPr="00F02826" w:rsidTr="00BE31B1">
        <w:tc>
          <w:tcPr>
            <w:tcW w:w="1809" w:type="dxa"/>
            <w:tcBorders>
              <w:tl2br w:val="single" w:sz="4" w:space="0" w:color="000000"/>
            </w:tcBorders>
          </w:tcPr>
          <w:p w:rsidR="0071036D" w:rsidRPr="00F02826" w:rsidRDefault="0071036D" w:rsidP="000D0CF7">
            <w:pPr>
              <w:jc w:val="right"/>
              <w:rPr>
                <w:rFonts w:eastAsia="標楷體"/>
                <w:b/>
                <w:sz w:val="22"/>
                <w:szCs w:val="32"/>
              </w:rPr>
            </w:pPr>
            <w:r w:rsidRPr="00F02826">
              <w:rPr>
                <w:rFonts w:eastAsia="標楷體" w:hint="eastAsia"/>
                <w:b/>
                <w:sz w:val="22"/>
                <w:szCs w:val="32"/>
              </w:rPr>
              <w:t>重分類後</w:t>
            </w:r>
          </w:p>
          <w:p w:rsidR="0071036D" w:rsidRPr="00F02826" w:rsidRDefault="0071036D" w:rsidP="000D0CF7">
            <w:pPr>
              <w:jc w:val="both"/>
              <w:rPr>
                <w:rFonts w:eastAsia="標楷體"/>
                <w:b/>
                <w:sz w:val="22"/>
                <w:szCs w:val="32"/>
              </w:rPr>
            </w:pPr>
            <w:r w:rsidRPr="00F02826">
              <w:rPr>
                <w:rFonts w:eastAsia="標楷體" w:hint="eastAsia"/>
                <w:b/>
                <w:sz w:val="22"/>
                <w:szCs w:val="32"/>
              </w:rPr>
              <w:t>重分類前</w:t>
            </w:r>
          </w:p>
        </w:tc>
        <w:tc>
          <w:tcPr>
            <w:tcW w:w="4008" w:type="dxa"/>
            <w:tcBorders>
              <w:bottom w:val="single" w:sz="4" w:space="0" w:color="000000"/>
            </w:tcBorders>
            <w:vAlign w:val="center"/>
          </w:tcPr>
          <w:p w:rsidR="0071036D" w:rsidRPr="00F02826" w:rsidRDefault="0071036D" w:rsidP="000D0CF7">
            <w:pPr>
              <w:jc w:val="center"/>
              <w:rPr>
                <w:rFonts w:eastAsia="標楷體"/>
                <w:b/>
                <w:sz w:val="22"/>
                <w:szCs w:val="32"/>
              </w:rPr>
            </w:pPr>
            <w:r w:rsidRPr="00F02826">
              <w:rPr>
                <w:rFonts w:eastAsia="標楷體" w:hint="eastAsia"/>
                <w:b/>
                <w:sz w:val="22"/>
                <w:szCs w:val="32"/>
              </w:rPr>
              <w:t>透過損益按公允價值衡量</w:t>
            </w:r>
          </w:p>
        </w:tc>
        <w:tc>
          <w:tcPr>
            <w:tcW w:w="4356" w:type="dxa"/>
            <w:vAlign w:val="center"/>
          </w:tcPr>
          <w:p w:rsidR="0071036D" w:rsidRPr="00F02826" w:rsidRDefault="0071036D" w:rsidP="000D0CF7">
            <w:pPr>
              <w:jc w:val="center"/>
              <w:rPr>
                <w:rFonts w:eastAsia="標楷體"/>
                <w:b/>
                <w:sz w:val="22"/>
                <w:szCs w:val="32"/>
              </w:rPr>
            </w:pPr>
            <w:r w:rsidRPr="00F02826">
              <w:rPr>
                <w:rFonts w:eastAsia="標楷體" w:hint="eastAsia"/>
                <w:b/>
                <w:sz w:val="22"/>
                <w:szCs w:val="32"/>
              </w:rPr>
              <w:t>透過其他綜合損益按公允價值衡量</w:t>
            </w:r>
          </w:p>
        </w:tc>
        <w:tc>
          <w:tcPr>
            <w:tcW w:w="5425" w:type="dxa"/>
            <w:vAlign w:val="center"/>
          </w:tcPr>
          <w:p w:rsidR="0071036D" w:rsidRPr="00F02826" w:rsidRDefault="0071036D" w:rsidP="000D0CF7">
            <w:pPr>
              <w:jc w:val="center"/>
              <w:rPr>
                <w:rFonts w:eastAsia="標楷體"/>
                <w:b/>
                <w:sz w:val="22"/>
                <w:szCs w:val="32"/>
              </w:rPr>
            </w:pPr>
            <w:proofErr w:type="gramStart"/>
            <w:r w:rsidRPr="00F02826">
              <w:rPr>
                <w:rFonts w:eastAsia="標楷體" w:hint="eastAsia"/>
                <w:b/>
                <w:sz w:val="22"/>
                <w:szCs w:val="32"/>
              </w:rPr>
              <w:t>按攤銷後</w:t>
            </w:r>
            <w:proofErr w:type="gramEnd"/>
            <w:r w:rsidRPr="00F02826">
              <w:rPr>
                <w:rFonts w:eastAsia="標楷體" w:hint="eastAsia"/>
                <w:b/>
                <w:sz w:val="22"/>
                <w:szCs w:val="32"/>
              </w:rPr>
              <w:t>成本衡量</w:t>
            </w:r>
          </w:p>
        </w:tc>
      </w:tr>
      <w:tr w:rsidR="00F02826" w:rsidRPr="00F02826" w:rsidTr="00BE31B1">
        <w:tc>
          <w:tcPr>
            <w:tcW w:w="1809" w:type="dxa"/>
          </w:tcPr>
          <w:p w:rsidR="0071036D" w:rsidRPr="00F02826" w:rsidRDefault="0071036D" w:rsidP="000D0CF7">
            <w:pPr>
              <w:jc w:val="both"/>
              <w:rPr>
                <w:rFonts w:eastAsia="標楷體"/>
                <w:b/>
                <w:sz w:val="22"/>
                <w:szCs w:val="32"/>
              </w:rPr>
            </w:pPr>
            <w:r w:rsidRPr="00F02826">
              <w:rPr>
                <w:rFonts w:eastAsia="標楷體" w:hint="eastAsia"/>
                <w:b/>
                <w:sz w:val="22"/>
                <w:szCs w:val="32"/>
              </w:rPr>
              <w:t>透過損益按公允價值衡量</w:t>
            </w:r>
          </w:p>
        </w:tc>
        <w:tc>
          <w:tcPr>
            <w:tcW w:w="4008" w:type="dxa"/>
            <w:tcBorders>
              <w:tl2br w:val="single" w:sz="4" w:space="0" w:color="000000"/>
            </w:tcBorders>
          </w:tcPr>
          <w:p w:rsidR="0071036D" w:rsidRPr="00F02826" w:rsidRDefault="0071036D" w:rsidP="000D0CF7">
            <w:pPr>
              <w:jc w:val="both"/>
              <w:rPr>
                <w:rFonts w:eastAsia="標楷體"/>
                <w:sz w:val="22"/>
                <w:szCs w:val="32"/>
              </w:rPr>
            </w:pPr>
          </w:p>
        </w:tc>
        <w:tc>
          <w:tcPr>
            <w:tcW w:w="4356" w:type="dxa"/>
            <w:tcBorders>
              <w:bottom w:val="single" w:sz="4" w:space="0" w:color="000000"/>
            </w:tcBorders>
          </w:tcPr>
          <w:p w:rsidR="00ED3676" w:rsidRPr="00F02826" w:rsidRDefault="00ED3676"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資產負債表：仍以重分類日公允價值作為總</w:t>
            </w:r>
            <w:proofErr w:type="gramStart"/>
            <w:r w:rsidRPr="00F02826">
              <w:rPr>
                <w:rFonts w:eastAsia="標楷體" w:hint="eastAsia"/>
                <w:sz w:val="22"/>
                <w:szCs w:val="32"/>
              </w:rPr>
              <w:t>帳面</w:t>
            </w:r>
            <w:proofErr w:type="gramEnd"/>
            <w:r w:rsidRPr="00F02826">
              <w:rPr>
                <w:rFonts w:eastAsia="標楷體" w:hint="eastAsia"/>
                <w:sz w:val="22"/>
                <w:szCs w:val="32"/>
              </w:rPr>
              <w:t>金額。</w:t>
            </w:r>
          </w:p>
          <w:p w:rsidR="00ED3676" w:rsidRPr="00F02826" w:rsidRDefault="00ED3676"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綜合損益表：</w:t>
            </w:r>
            <w:r w:rsidR="006513D6" w:rsidRPr="00F02826">
              <w:rPr>
                <w:rFonts w:eastAsia="標楷體" w:hint="eastAsia"/>
                <w:sz w:val="22"/>
                <w:szCs w:val="32"/>
              </w:rPr>
              <w:t>無重分類損益</w:t>
            </w:r>
            <w:r w:rsidR="00AD0493" w:rsidRPr="00F02826">
              <w:rPr>
                <w:rFonts w:eastAsia="標楷體" w:hint="eastAsia"/>
                <w:sz w:val="22"/>
                <w:szCs w:val="32"/>
              </w:rPr>
              <w:t>。</w:t>
            </w:r>
          </w:p>
          <w:p w:rsidR="0071036D" w:rsidRPr="00F02826" w:rsidRDefault="006513D6"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後續</w:t>
            </w:r>
            <w:r w:rsidR="000C19BB" w:rsidRPr="00F02826">
              <w:rPr>
                <w:rFonts w:eastAsia="標楷體" w:hint="eastAsia"/>
                <w:sz w:val="22"/>
                <w:szCs w:val="32"/>
              </w:rPr>
              <w:t>有效利率及減損</w:t>
            </w:r>
            <w:r w:rsidRPr="00F02826">
              <w:rPr>
                <w:rFonts w:eastAsia="標楷體" w:hint="eastAsia"/>
                <w:sz w:val="22"/>
                <w:szCs w:val="32"/>
              </w:rPr>
              <w:t>評估：將重分類日視為原始認列日，據以決定有效利率並開始評估減損</w:t>
            </w:r>
            <w:r w:rsidR="00824C78" w:rsidRPr="00F02826">
              <w:rPr>
                <w:rFonts w:eastAsia="標楷體" w:hint="eastAsia"/>
                <w:sz w:val="22"/>
                <w:szCs w:val="32"/>
              </w:rPr>
              <w:t>（認列減損損益時相對調整其他綜合損益）</w:t>
            </w:r>
            <w:r w:rsidR="000C19BB" w:rsidRPr="00F02826">
              <w:rPr>
                <w:rFonts w:eastAsia="標楷體" w:hint="eastAsia"/>
                <w:sz w:val="22"/>
                <w:szCs w:val="32"/>
              </w:rPr>
              <w:t>。</w:t>
            </w:r>
          </w:p>
        </w:tc>
        <w:tc>
          <w:tcPr>
            <w:tcW w:w="5425" w:type="dxa"/>
          </w:tcPr>
          <w:p w:rsidR="00824C78" w:rsidRPr="00F02826" w:rsidRDefault="00824C78"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資產負債表：仍以重分類日公允價值作為總</w:t>
            </w:r>
            <w:proofErr w:type="gramStart"/>
            <w:r w:rsidRPr="00F02826">
              <w:rPr>
                <w:rFonts w:eastAsia="標楷體" w:hint="eastAsia"/>
                <w:sz w:val="22"/>
                <w:szCs w:val="32"/>
              </w:rPr>
              <w:t>帳面</w:t>
            </w:r>
            <w:proofErr w:type="gramEnd"/>
            <w:r w:rsidRPr="00F02826">
              <w:rPr>
                <w:rFonts w:eastAsia="標楷體" w:hint="eastAsia"/>
                <w:sz w:val="22"/>
                <w:szCs w:val="32"/>
              </w:rPr>
              <w:t>金額。</w:t>
            </w:r>
          </w:p>
          <w:p w:rsidR="00824C78" w:rsidRPr="00F02826" w:rsidRDefault="00824C78"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綜合損益表：無重分類損益。</w:t>
            </w:r>
          </w:p>
          <w:p w:rsidR="0071036D" w:rsidRPr="00F02826" w:rsidRDefault="00824C78" w:rsidP="000D0CF7">
            <w:pPr>
              <w:pStyle w:val="aff2"/>
              <w:numPr>
                <w:ilvl w:val="0"/>
                <w:numId w:val="29"/>
              </w:numPr>
              <w:ind w:left="253" w:hanging="253"/>
              <w:jc w:val="both"/>
            </w:pPr>
            <w:r w:rsidRPr="00F02826">
              <w:rPr>
                <w:rFonts w:eastAsia="標楷體" w:hint="eastAsia"/>
                <w:sz w:val="22"/>
                <w:szCs w:val="32"/>
              </w:rPr>
              <w:t>後續有效利率及減損評估：將重分類日視為原始認列日，據以決定有效利率並開始評估減損（認列減損損益時相對調整備抵損失）。</w:t>
            </w:r>
          </w:p>
        </w:tc>
      </w:tr>
      <w:tr w:rsidR="00F02826" w:rsidRPr="00F02826" w:rsidTr="00BE31B1">
        <w:tc>
          <w:tcPr>
            <w:tcW w:w="1809" w:type="dxa"/>
          </w:tcPr>
          <w:p w:rsidR="0071036D" w:rsidRPr="00F02826" w:rsidRDefault="0071036D" w:rsidP="000D0CF7">
            <w:pPr>
              <w:jc w:val="both"/>
              <w:rPr>
                <w:rFonts w:eastAsia="標楷體"/>
                <w:b/>
                <w:sz w:val="22"/>
                <w:szCs w:val="32"/>
              </w:rPr>
            </w:pPr>
            <w:r w:rsidRPr="00F02826">
              <w:rPr>
                <w:rFonts w:eastAsia="標楷體" w:hint="eastAsia"/>
                <w:b/>
                <w:sz w:val="22"/>
                <w:szCs w:val="32"/>
              </w:rPr>
              <w:t>透過其他綜合損益按公允價值衡量</w:t>
            </w:r>
          </w:p>
        </w:tc>
        <w:tc>
          <w:tcPr>
            <w:tcW w:w="4008" w:type="dxa"/>
          </w:tcPr>
          <w:p w:rsidR="0012331C" w:rsidRPr="00F02826" w:rsidRDefault="0012331C"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資產負債表：仍以重分類日公允價值作為總</w:t>
            </w:r>
            <w:proofErr w:type="gramStart"/>
            <w:r w:rsidRPr="00F02826">
              <w:rPr>
                <w:rFonts w:eastAsia="標楷體" w:hint="eastAsia"/>
                <w:sz w:val="22"/>
                <w:szCs w:val="32"/>
              </w:rPr>
              <w:t>帳面</w:t>
            </w:r>
            <w:proofErr w:type="gramEnd"/>
            <w:r w:rsidRPr="00F02826">
              <w:rPr>
                <w:rFonts w:eastAsia="標楷體" w:hint="eastAsia"/>
                <w:sz w:val="22"/>
                <w:szCs w:val="32"/>
              </w:rPr>
              <w:t>金額。</w:t>
            </w:r>
          </w:p>
          <w:p w:rsidR="0012331C" w:rsidRPr="00F02826" w:rsidRDefault="0012331C"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綜合損益表：將權益下之相關累積其他綜合損益認列為重分類損益。</w:t>
            </w:r>
          </w:p>
          <w:p w:rsidR="0071036D" w:rsidRPr="00F02826" w:rsidRDefault="0012331C"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後續有效利率及減損評估：不適用。</w:t>
            </w:r>
          </w:p>
        </w:tc>
        <w:tc>
          <w:tcPr>
            <w:tcW w:w="4356" w:type="dxa"/>
            <w:tcBorders>
              <w:tl2br w:val="single" w:sz="4" w:space="0" w:color="000000"/>
            </w:tcBorders>
          </w:tcPr>
          <w:p w:rsidR="0071036D" w:rsidRPr="00F02826" w:rsidRDefault="0071036D" w:rsidP="000D0CF7">
            <w:pPr>
              <w:jc w:val="both"/>
              <w:rPr>
                <w:rFonts w:eastAsia="標楷體"/>
                <w:sz w:val="22"/>
                <w:szCs w:val="32"/>
              </w:rPr>
            </w:pPr>
          </w:p>
        </w:tc>
        <w:tc>
          <w:tcPr>
            <w:tcW w:w="5425" w:type="dxa"/>
            <w:tcBorders>
              <w:bottom w:val="single" w:sz="4" w:space="0" w:color="000000"/>
            </w:tcBorders>
          </w:tcPr>
          <w:p w:rsidR="00F71263" w:rsidRPr="00F02826" w:rsidRDefault="00F71263"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資產負債表：以重分類日公允價值</w:t>
            </w:r>
            <w:r w:rsidR="00E131C3" w:rsidRPr="00F02826">
              <w:rPr>
                <w:rFonts w:eastAsia="標楷體" w:hint="eastAsia"/>
                <w:sz w:val="22"/>
                <w:szCs w:val="32"/>
              </w:rPr>
              <w:t>調整權益下之累積公允價值</w:t>
            </w:r>
            <w:proofErr w:type="gramStart"/>
            <w:r w:rsidR="00E131C3" w:rsidRPr="00F02826">
              <w:rPr>
                <w:rFonts w:eastAsia="標楷體" w:hint="eastAsia"/>
                <w:sz w:val="22"/>
                <w:szCs w:val="32"/>
              </w:rPr>
              <w:t>變動數後之</w:t>
            </w:r>
            <w:proofErr w:type="gramEnd"/>
            <w:r w:rsidR="00E131C3" w:rsidRPr="00F02826">
              <w:rPr>
                <w:rFonts w:eastAsia="標楷體" w:hint="eastAsia"/>
                <w:sz w:val="22"/>
                <w:szCs w:val="32"/>
              </w:rPr>
              <w:t>金額作為總</w:t>
            </w:r>
            <w:proofErr w:type="gramStart"/>
            <w:r w:rsidR="00E131C3" w:rsidRPr="00F02826">
              <w:rPr>
                <w:rFonts w:eastAsia="標楷體" w:hint="eastAsia"/>
                <w:sz w:val="22"/>
                <w:szCs w:val="32"/>
              </w:rPr>
              <w:t>帳面</w:t>
            </w:r>
            <w:proofErr w:type="gramEnd"/>
            <w:r w:rsidR="00E131C3" w:rsidRPr="00F02826">
              <w:rPr>
                <w:rFonts w:eastAsia="標楷體" w:hint="eastAsia"/>
                <w:sz w:val="22"/>
                <w:szCs w:val="32"/>
              </w:rPr>
              <w:t>金額</w:t>
            </w:r>
            <w:r w:rsidR="00E131C3" w:rsidRPr="00F02826">
              <w:rPr>
                <w:rFonts w:eastAsia="標楷體" w:hint="eastAsia"/>
                <w:sz w:val="22"/>
                <w:szCs w:val="32"/>
              </w:rPr>
              <w:t>(</w:t>
            </w:r>
            <w:r w:rsidR="00E131C3" w:rsidRPr="00F02826">
              <w:rPr>
                <w:rFonts w:eastAsia="標楷體" w:hint="eastAsia"/>
                <w:sz w:val="22"/>
                <w:szCs w:val="32"/>
              </w:rPr>
              <w:t>如同自始</w:t>
            </w:r>
            <w:proofErr w:type="gramStart"/>
            <w:r w:rsidR="00E131C3" w:rsidRPr="00F02826">
              <w:rPr>
                <w:rFonts w:eastAsia="標楷體" w:hint="eastAsia"/>
                <w:sz w:val="22"/>
                <w:szCs w:val="32"/>
              </w:rPr>
              <w:t>以攤銷後</w:t>
            </w:r>
            <w:proofErr w:type="gramEnd"/>
            <w:r w:rsidR="00E131C3" w:rsidRPr="00F02826">
              <w:rPr>
                <w:rFonts w:eastAsia="標楷體" w:hint="eastAsia"/>
                <w:sz w:val="22"/>
                <w:szCs w:val="32"/>
              </w:rPr>
              <w:t>成本衡量</w:t>
            </w:r>
            <w:r w:rsidR="00E131C3" w:rsidRPr="00F02826">
              <w:rPr>
                <w:rFonts w:eastAsia="標楷體" w:hint="eastAsia"/>
                <w:sz w:val="22"/>
                <w:szCs w:val="32"/>
              </w:rPr>
              <w:t>)</w:t>
            </w:r>
            <w:r w:rsidRPr="00F02826">
              <w:rPr>
                <w:rFonts w:eastAsia="標楷體" w:hint="eastAsia"/>
                <w:sz w:val="22"/>
                <w:szCs w:val="32"/>
              </w:rPr>
              <w:t>。</w:t>
            </w:r>
          </w:p>
          <w:p w:rsidR="00F71263" w:rsidRPr="00F02826" w:rsidRDefault="00F71263"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綜合損益表：</w:t>
            </w:r>
            <w:r w:rsidR="004A22B0" w:rsidRPr="00F02826">
              <w:rPr>
                <w:rFonts w:eastAsia="標楷體" w:hint="eastAsia"/>
                <w:sz w:val="22"/>
                <w:szCs w:val="32"/>
              </w:rPr>
              <w:t>透過其他綜合損益移除先前認列之累積公允價值變動數</w:t>
            </w:r>
            <w:r w:rsidRPr="00F02826">
              <w:rPr>
                <w:rFonts w:eastAsia="標楷體" w:hint="eastAsia"/>
                <w:sz w:val="22"/>
                <w:szCs w:val="32"/>
              </w:rPr>
              <w:t>。</w:t>
            </w:r>
          </w:p>
          <w:p w:rsidR="0071036D" w:rsidRPr="00F02826" w:rsidRDefault="00F71263"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後續有效利率及減損評估：</w:t>
            </w:r>
            <w:r w:rsidR="0088763D" w:rsidRPr="00F02826">
              <w:rPr>
                <w:rFonts w:eastAsia="標楷體" w:hint="eastAsia"/>
                <w:sz w:val="22"/>
                <w:szCs w:val="32"/>
              </w:rPr>
              <w:t>有效利率及已</w:t>
            </w:r>
            <w:proofErr w:type="gramStart"/>
            <w:r w:rsidR="0088763D" w:rsidRPr="00F02826">
              <w:rPr>
                <w:rFonts w:eastAsia="標楷體" w:hint="eastAsia"/>
                <w:sz w:val="22"/>
                <w:szCs w:val="32"/>
              </w:rPr>
              <w:t>認列減損</w:t>
            </w:r>
            <w:proofErr w:type="gramEnd"/>
            <w:r w:rsidR="0088763D" w:rsidRPr="00F02826">
              <w:rPr>
                <w:rFonts w:eastAsia="標楷體" w:hint="eastAsia"/>
                <w:sz w:val="22"/>
                <w:szCs w:val="32"/>
              </w:rPr>
              <w:t>維持不變，但</w:t>
            </w:r>
            <w:proofErr w:type="gramStart"/>
            <w:r w:rsidR="0088763D" w:rsidRPr="00F02826">
              <w:rPr>
                <w:rFonts w:eastAsia="標楷體" w:hint="eastAsia"/>
                <w:sz w:val="22"/>
                <w:szCs w:val="32"/>
              </w:rPr>
              <w:t>減損需改</w:t>
            </w:r>
            <w:proofErr w:type="gramEnd"/>
            <w:r w:rsidR="0088763D" w:rsidRPr="00F02826">
              <w:rPr>
                <w:rFonts w:eastAsia="標楷體" w:hint="eastAsia"/>
                <w:sz w:val="22"/>
                <w:szCs w:val="32"/>
              </w:rPr>
              <w:t>為</w:t>
            </w:r>
            <w:proofErr w:type="gramStart"/>
            <w:r w:rsidR="0088763D" w:rsidRPr="00F02826">
              <w:rPr>
                <w:rFonts w:eastAsia="標楷體" w:hint="eastAsia"/>
                <w:sz w:val="22"/>
                <w:szCs w:val="32"/>
              </w:rPr>
              <w:t>表達於備抵</w:t>
            </w:r>
            <w:proofErr w:type="gramEnd"/>
            <w:r w:rsidR="0088763D" w:rsidRPr="00F02826">
              <w:rPr>
                <w:rFonts w:eastAsia="標楷體" w:hint="eastAsia"/>
                <w:sz w:val="22"/>
                <w:szCs w:val="32"/>
              </w:rPr>
              <w:t>損失</w:t>
            </w:r>
            <w:r w:rsidRPr="00F02826">
              <w:rPr>
                <w:rFonts w:eastAsia="標楷體" w:hint="eastAsia"/>
                <w:sz w:val="22"/>
                <w:szCs w:val="32"/>
              </w:rPr>
              <w:t>。</w:t>
            </w:r>
          </w:p>
        </w:tc>
      </w:tr>
      <w:tr w:rsidR="00F02826" w:rsidRPr="00F02826" w:rsidTr="00BE31B1">
        <w:tc>
          <w:tcPr>
            <w:tcW w:w="1809" w:type="dxa"/>
          </w:tcPr>
          <w:p w:rsidR="0071036D" w:rsidRPr="00F02826" w:rsidRDefault="0071036D" w:rsidP="000D0CF7">
            <w:pPr>
              <w:jc w:val="both"/>
              <w:rPr>
                <w:rFonts w:eastAsia="標楷體"/>
                <w:b/>
                <w:sz w:val="22"/>
                <w:szCs w:val="32"/>
              </w:rPr>
            </w:pPr>
            <w:proofErr w:type="gramStart"/>
            <w:r w:rsidRPr="00F02826">
              <w:rPr>
                <w:rFonts w:eastAsia="標楷體" w:hint="eastAsia"/>
                <w:b/>
                <w:sz w:val="22"/>
                <w:szCs w:val="32"/>
              </w:rPr>
              <w:t>按攤銷後</w:t>
            </w:r>
            <w:proofErr w:type="gramEnd"/>
            <w:r w:rsidRPr="00F02826">
              <w:rPr>
                <w:rFonts w:eastAsia="標楷體" w:hint="eastAsia"/>
                <w:b/>
                <w:sz w:val="22"/>
                <w:szCs w:val="32"/>
              </w:rPr>
              <w:t>成本衡量</w:t>
            </w:r>
          </w:p>
        </w:tc>
        <w:tc>
          <w:tcPr>
            <w:tcW w:w="4008" w:type="dxa"/>
          </w:tcPr>
          <w:p w:rsidR="0052440E" w:rsidRPr="00F02826" w:rsidRDefault="0052440E"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資產負債表：以重分類日公允價值衡量。</w:t>
            </w:r>
          </w:p>
          <w:p w:rsidR="0052440E" w:rsidRPr="00F02826" w:rsidRDefault="0052440E"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綜合損益表：將重分類日公允價值與</w:t>
            </w:r>
            <w:proofErr w:type="gramStart"/>
            <w:r w:rsidRPr="00F02826">
              <w:rPr>
                <w:rFonts w:eastAsia="標楷體" w:hint="eastAsia"/>
                <w:sz w:val="22"/>
                <w:szCs w:val="32"/>
              </w:rPr>
              <w:t>原攤銷後</w:t>
            </w:r>
            <w:proofErr w:type="gramEnd"/>
            <w:r w:rsidRPr="00F02826">
              <w:rPr>
                <w:rFonts w:eastAsia="標楷體" w:hint="eastAsia"/>
                <w:sz w:val="22"/>
                <w:szCs w:val="32"/>
              </w:rPr>
              <w:t>成本之差異認列為重分類損益。</w:t>
            </w:r>
          </w:p>
          <w:p w:rsidR="0071036D" w:rsidRPr="00F02826" w:rsidRDefault="0052440E"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後續有效利率及減損評估：不適用。</w:t>
            </w:r>
          </w:p>
        </w:tc>
        <w:tc>
          <w:tcPr>
            <w:tcW w:w="4356" w:type="dxa"/>
          </w:tcPr>
          <w:p w:rsidR="008D4977" w:rsidRPr="00F02826" w:rsidRDefault="008D4977"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資產負債表：</w:t>
            </w:r>
            <w:r w:rsidR="00097C67" w:rsidRPr="00F02826">
              <w:rPr>
                <w:rFonts w:eastAsia="標楷體" w:hint="eastAsia"/>
                <w:sz w:val="22"/>
                <w:szCs w:val="32"/>
              </w:rPr>
              <w:t>以重分類日公允價值衡量</w:t>
            </w:r>
            <w:r w:rsidRPr="00F02826">
              <w:rPr>
                <w:rFonts w:eastAsia="標楷體" w:hint="eastAsia"/>
                <w:sz w:val="22"/>
                <w:szCs w:val="32"/>
              </w:rPr>
              <w:t>。</w:t>
            </w:r>
          </w:p>
          <w:p w:rsidR="008D4977" w:rsidRPr="00F02826" w:rsidRDefault="008D4977"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綜合損益表：</w:t>
            </w:r>
            <w:r w:rsidR="00097C67" w:rsidRPr="00F02826">
              <w:rPr>
                <w:rFonts w:eastAsia="標楷體" w:hint="eastAsia"/>
                <w:sz w:val="22"/>
                <w:szCs w:val="32"/>
              </w:rPr>
              <w:t>將重分類日公允價值與</w:t>
            </w:r>
            <w:proofErr w:type="gramStart"/>
            <w:r w:rsidR="00097C67" w:rsidRPr="00F02826">
              <w:rPr>
                <w:rFonts w:eastAsia="標楷體" w:hint="eastAsia"/>
                <w:sz w:val="22"/>
                <w:szCs w:val="32"/>
              </w:rPr>
              <w:t>原攤銷後</w:t>
            </w:r>
            <w:proofErr w:type="gramEnd"/>
            <w:r w:rsidR="00097C67" w:rsidRPr="00F02826">
              <w:rPr>
                <w:rFonts w:eastAsia="標楷體" w:hint="eastAsia"/>
                <w:sz w:val="22"/>
                <w:szCs w:val="32"/>
              </w:rPr>
              <w:t>成本之差異認列為其他綜合損益</w:t>
            </w:r>
            <w:r w:rsidRPr="00F02826">
              <w:rPr>
                <w:rFonts w:eastAsia="標楷體" w:hint="eastAsia"/>
                <w:sz w:val="22"/>
                <w:szCs w:val="32"/>
              </w:rPr>
              <w:t>。</w:t>
            </w:r>
          </w:p>
          <w:p w:rsidR="0071036D" w:rsidRPr="00F02826" w:rsidRDefault="008D4977" w:rsidP="000D0CF7">
            <w:pPr>
              <w:pStyle w:val="aff2"/>
              <w:numPr>
                <w:ilvl w:val="0"/>
                <w:numId w:val="29"/>
              </w:numPr>
              <w:ind w:left="253" w:hanging="253"/>
              <w:jc w:val="both"/>
              <w:rPr>
                <w:rFonts w:eastAsia="標楷體"/>
                <w:sz w:val="22"/>
                <w:szCs w:val="32"/>
              </w:rPr>
            </w:pPr>
            <w:r w:rsidRPr="00F02826">
              <w:rPr>
                <w:rFonts w:eastAsia="標楷體" w:hint="eastAsia"/>
                <w:sz w:val="22"/>
                <w:szCs w:val="32"/>
              </w:rPr>
              <w:t>後續有效利率及減損評估：</w:t>
            </w:r>
            <w:r w:rsidR="00097C67" w:rsidRPr="00F02826">
              <w:rPr>
                <w:rFonts w:eastAsia="標楷體" w:hint="eastAsia"/>
                <w:sz w:val="22"/>
                <w:szCs w:val="32"/>
              </w:rPr>
              <w:t>有效利率及已</w:t>
            </w:r>
            <w:proofErr w:type="gramStart"/>
            <w:r w:rsidR="00097C67" w:rsidRPr="00F02826">
              <w:rPr>
                <w:rFonts w:eastAsia="標楷體" w:hint="eastAsia"/>
                <w:sz w:val="22"/>
                <w:szCs w:val="32"/>
              </w:rPr>
              <w:t>認列減損</w:t>
            </w:r>
            <w:proofErr w:type="gramEnd"/>
            <w:r w:rsidR="00097C67" w:rsidRPr="00F02826">
              <w:rPr>
                <w:rFonts w:eastAsia="標楷體" w:hint="eastAsia"/>
                <w:sz w:val="22"/>
                <w:szCs w:val="32"/>
              </w:rPr>
              <w:t>維持不變，但</w:t>
            </w:r>
            <w:proofErr w:type="gramStart"/>
            <w:r w:rsidR="00097C67" w:rsidRPr="00F02826">
              <w:rPr>
                <w:rFonts w:eastAsia="標楷體" w:hint="eastAsia"/>
                <w:sz w:val="22"/>
                <w:szCs w:val="32"/>
              </w:rPr>
              <w:t>減損需改</w:t>
            </w:r>
            <w:proofErr w:type="gramEnd"/>
            <w:r w:rsidR="00097C67" w:rsidRPr="00F02826">
              <w:rPr>
                <w:rFonts w:eastAsia="標楷體" w:hint="eastAsia"/>
                <w:sz w:val="22"/>
                <w:szCs w:val="32"/>
              </w:rPr>
              <w:t>為表達於其他綜合損益</w:t>
            </w:r>
            <w:r w:rsidRPr="00F02826">
              <w:rPr>
                <w:rFonts w:eastAsia="標楷體" w:hint="eastAsia"/>
                <w:sz w:val="22"/>
                <w:szCs w:val="32"/>
              </w:rPr>
              <w:t>。</w:t>
            </w:r>
          </w:p>
        </w:tc>
        <w:tc>
          <w:tcPr>
            <w:tcW w:w="5425" w:type="dxa"/>
            <w:tcBorders>
              <w:tl2br w:val="single" w:sz="4" w:space="0" w:color="000000"/>
            </w:tcBorders>
          </w:tcPr>
          <w:p w:rsidR="0071036D" w:rsidRPr="00F02826" w:rsidRDefault="0071036D" w:rsidP="000D0CF7">
            <w:pPr>
              <w:jc w:val="both"/>
              <w:rPr>
                <w:rFonts w:eastAsia="標楷體"/>
                <w:sz w:val="22"/>
                <w:szCs w:val="32"/>
              </w:rPr>
            </w:pPr>
          </w:p>
        </w:tc>
      </w:tr>
    </w:tbl>
    <w:p w:rsidR="00ED3676" w:rsidRDefault="00ED3676" w:rsidP="000D0CF7">
      <w:pPr>
        <w:spacing w:line="500" w:lineRule="exact"/>
        <w:jc w:val="both"/>
        <w:rPr>
          <w:rFonts w:eastAsia="標楷體"/>
          <w:szCs w:val="32"/>
          <w:u w:val="single"/>
        </w:rPr>
        <w:sectPr w:rsidR="00ED3676" w:rsidSect="008D574A">
          <w:pgSz w:w="16838" w:h="11906" w:orient="landscape" w:code="9"/>
          <w:pgMar w:top="720" w:right="720" w:bottom="720" w:left="720" w:header="283" w:footer="283" w:gutter="0"/>
          <w:cols w:space="425"/>
          <w:docGrid w:type="lines" w:linePitch="360"/>
        </w:sectPr>
      </w:pPr>
    </w:p>
    <w:p w:rsidR="0071036D" w:rsidRPr="00DB670B" w:rsidRDefault="00ED0AD0" w:rsidP="000D0CF7">
      <w:pPr>
        <w:spacing w:line="500" w:lineRule="exact"/>
        <w:jc w:val="both"/>
        <w:rPr>
          <w:rFonts w:eastAsia="標楷體"/>
          <w:sz w:val="28"/>
          <w:szCs w:val="28"/>
          <w:u w:val="single"/>
        </w:rPr>
      </w:pPr>
      <w:r w:rsidRPr="00DB670B">
        <w:rPr>
          <w:rFonts w:eastAsia="標楷體" w:hint="eastAsia"/>
          <w:sz w:val="28"/>
          <w:szCs w:val="28"/>
          <w:u w:val="single"/>
        </w:rPr>
        <w:lastRenderedPageBreak/>
        <w:t>釋例</w:t>
      </w:r>
    </w:p>
    <w:p w:rsidR="00E07EC9" w:rsidRPr="00DB670B" w:rsidRDefault="00C526EA" w:rsidP="000D0CF7">
      <w:pPr>
        <w:spacing w:line="500" w:lineRule="exact"/>
        <w:jc w:val="both"/>
        <w:rPr>
          <w:rFonts w:eastAsia="標楷體"/>
          <w:sz w:val="28"/>
          <w:szCs w:val="28"/>
        </w:rPr>
      </w:pPr>
      <w:r w:rsidRPr="00DB670B">
        <w:rPr>
          <w:rFonts w:eastAsia="標楷體" w:hint="eastAsia"/>
          <w:sz w:val="28"/>
          <w:szCs w:val="28"/>
        </w:rPr>
        <w:t>甲銀行按公允價值（總</w:t>
      </w:r>
      <w:proofErr w:type="gramStart"/>
      <w:r w:rsidRPr="00DB670B">
        <w:rPr>
          <w:rFonts w:eastAsia="標楷體" w:hint="eastAsia"/>
          <w:sz w:val="28"/>
          <w:szCs w:val="28"/>
        </w:rPr>
        <w:t>帳面</w:t>
      </w:r>
      <w:proofErr w:type="gramEnd"/>
      <w:r w:rsidRPr="00DB670B">
        <w:rPr>
          <w:rFonts w:eastAsia="標楷體" w:hint="eastAsia"/>
          <w:sz w:val="28"/>
          <w:szCs w:val="28"/>
        </w:rPr>
        <w:t>金額）</w:t>
      </w:r>
      <w:r w:rsidRPr="00DB670B">
        <w:rPr>
          <w:rFonts w:eastAsia="標楷體" w:hint="eastAsia"/>
          <w:sz w:val="28"/>
          <w:szCs w:val="28"/>
        </w:rPr>
        <w:t xml:space="preserve">CU500,000 </w:t>
      </w:r>
      <w:r w:rsidRPr="00DB670B">
        <w:rPr>
          <w:rFonts w:eastAsia="標楷體" w:hint="eastAsia"/>
          <w:sz w:val="28"/>
          <w:szCs w:val="28"/>
        </w:rPr>
        <w:t>購入</w:t>
      </w:r>
      <w:proofErr w:type="gramStart"/>
      <w:r w:rsidRPr="00DB670B">
        <w:rPr>
          <w:rFonts w:eastAsia="標楷體" w:hint="eastAsia"/>
          <w:sz w:val="28"/>
          <w:szCs w:val="28"/>
        </w:rPr>
        <w:t>一</w:t>
      </w:r>
      <w:proofErr w:type="gramEnd"/>
      <w:r w:rsidRPr="00DB670B">
        <w:rPr>
          <w:rFonts w:eastAsia="標楷體" w:hint="eastAsia"/>
          <w:sz w:val="28"/>
          <w:szCs w:val="28"/>
        </w:rPr>
        <w:t>債券組合。甲銀行因改變其管理債券之經營模式而重分類前述債券組合。</w:t>
      </w:r>
      <w:r w:rsidR="00E07EC9" w:rsidRPr="00DB670B">
        <w:rPr>
          <w:rFonts w:eastAsia="標楷體" w:hint="eastAsia"/>
          <w:sz w:val="28"/>
          <w:szCs w:val="28"/>
        </w:rPr>
        <w:t>該債券組合於重分類日之公允價值為</w:t>
      </w:r>
      <w:r w:rsidR="00E07EC9" w:rsidRPr="00DB670B">
        <w:rPr>
          <w:rFonts w:eastAsia="標楷體" w:hint="eastAsia"/>
          <w:sz w:val="28"/>
          <w:szCs w:val="28"/>
        </w:rPr>
        <w:t>CU490,000</w:t>
      </w:r>
      <w:r w:rsidR="00E07EC9" w:rsidRPr="00DB670B">
        <w:rPr>
          <w:rFonts w:eastAsia="標楷體" w:hint="eastAsia"/>
          <w:sz w:val="28"/>
          <w:szCs w:val="28"/>
        </w:rPr>
        <w:t>。若該組合於重分類前係</w:t>
      </w:r>
      <w:proofErr w:type="gramStart"/>
      <w:r w:rsidR="00E07EC9" w:rsidRPr="00DB670B">
        <w:rPr>
          <w:rFonts w:eastAsia="標楷體" w:hint="eastAsia"/>
          <w:sz w:val="28"/>
          <w:szCs w:val="28"/>
        </w:rPr>
        <w:t>按攤銷後</w:t>
      </w:r>
      <w:proofErr w:type="gramEnd"/>
      <w:r w:rsidR="00E07EC9" w:rsidRPr="00DB670B">
        <w:rPr>
          <w:rFonts w:eastAsia="標楷體" w:hint="eastAsia"/>
          <w:sz w:val="28"/>
          <w:szCs w:val="28"/>
        </w:rPr>
        <w:t>成本衡量或透過其他綜合損益按公允價值衡量，則於重分類日已認列之</w:t>
      </w:r>
      <w:r w:rsidR="009E3874" w:rsidRPr="00DB670B">
        <w:rPr>
          <w:rFonts w:eastAsia="標楷體" w:hint="eastAsia"/>
          <w:sz w:val="28"/>
          <w:szCs w:val="28"/>
        </w:rPr>
        <w:t>減損</w:t>
      </w:r>
      <w:r w:rsidR="00E07EC9" w:rsidRPr="00DB670B">
        <w:rPr>
          <w:rFonts w:eastAsia="標楷體" w:hint="eastAsia"/>
          <w:sz w:val="28"/>
          <w:szCs w:val="28"/>
        </w:rPr>
        <w:t>損失為</w:t>
      </w:r>
      <w:r w:rsidR="00E07EC9" w:rsidRPr="00DB670B">
        <w:rPr>
          <w:rFonts w:eastAsia="標楷體" w:hint="eastAsia"/>
          <w:sz w:val="28"/>
          <w:szCs w:val="28"/>
        </w:rPr>
        <w:t>CU6,000</w:t>
      </w:r>
      <w:r w:rsidR="00E07EC9" w:rsidRPr="00DB670B">
        <w:rPr>
          <w:rFonts w:eastAsia="標楷體" w:hint="eastAsia"/>
          <w:sz w:val="28"/>
          <w:szCs w:val="28"/>
        </w:rPr>
        <w:t>（反映自原始認列後信用風險顯著增加且因此按存續期間預期信用損失衡量）。於重分類日之</w:t>
      </w:r>
      <w:r w:rsidR="00E07EC9" w:rsidRPr="00DB670B">
        <w:rPr>
          <w:rFonts w:eastAsia="標楷體" w:hint="eastAsia"/>
          <w:sz w:val="28"/>
          <w:szCs w:val="28"/>
        </w:rPr>
        <w:t>12</w:t>
      </w:r>
      <w:r w:rsidR="00E07EC9" w:rsidRPr="00DB670B">
        <w:rPr>
          <w:rFonts w:eastAsia="標楷體" w:hint="eastAsia"/>
          <w:sz w:val="28"/>
          <w:szCs w:val="28"/>
        </w:rPr>
        <w:t>個月預期信用損失為</w:t>
      </w:r>
      <w:r w:rsidR="00E07EC9" w:rsidRPr="00DB670B">
        <w:rPr>
          <w:rFonts w:eastAsia="標楷體" w:hint="eastAsia"/>
          <w:sz w:val="28"/>
          <w:szCs w:val="28"/>
        </w:rPr>
        <w:t>CU4,000</w:t>
      </w:r>
      <w:r w:rsidR="00E07EC9" w:rsidRPr="00DB670B">
        <w:rPr>
          <w:rFonts w:eastAsia="標楷體" w:hint="eastAsia"/>
          <w:sz w:val="28"/>
          <w:szCs w:val="28"/>
        </w:rPr>
        <w:t>。</w:t>
      </w:r>
    </w:p>
    <w:p w:rsidR="00C526EA" w:rsidRPr="00DB670B" w:rsidRDefault="00C526EA" w:rsidP="000D0CF7">
      <w:pPr>
        <w:spacing w:line="500" w:lineRule="exact"/>
        <w:jc w:val="both"/>
        <w:rPr>
          <w:rFonts w:eastAsia="標楷體"/>
          <w:sz w:val="28"/>
          <w:szCs w:val="28"/>
        </w:rPr>
      </w:pPr>
      <w:r w:rsidRPr="00DB670B">
        <w:rPr>
          <w:rFonts w:eastAsia="標楷體" w:hint="eastAsia"/>
          <w:sz w:val="28"/>
          <w:szCs w:val="28"/>
        </w:rPr>
        <w:t>情境</w:t>
      </w:r>
      <w:r w:rsidRPr="00DB670B">
        <w:rPr>
          <w:rFonts w:eastAsia="標楷體" w:hint="eastAsia"/>
          <w:sz w:val="28"/>
          <w:szCs w:val="28"/>
        </w:rPr>
        <w:t>1</w:t>
      </w:r>
      <w:r w:rsidRPr="00DB670B">
        <w:rPr>
          <w:rFonts w:eastAsia="標楷體" w:hint="eastAsia"/>
          <w:sz w:val="28"/>
          <w:szCs w:val="28"/>
        </w:rPr>
        <w:t>：衡量種類自</w:t>
      </w:r>
      <w:proofErr w:type="gramStart"/>
      <w:r w:rsidRPr="00DB670B">
        <w:rPr>
          <w:rFonts w:eastAsia="標楷體" w:hint="eastAsia"/>
          <w:sz w:val="28"/>
          <w:szCs w:val="28"/>
        </w:rPr>
        <w:t>按攤銷後</w:t>
      </w:r>
      <w:proofErr w:type="gramEnd"/>
      <w:r w:rsidRPr="00DB670B">
        <w:rPr>
          <w:rFonts w:eastAsia="標楷體" w:hint="eastAsia"/>
          <w:sz w:val="28"/>
          <w:szCs w:val="28"/>
        </w:rPr>
        <w:t>成本衡量重分類至透過損益按公允價值衡量</w:t>
      </w:r>
    </w:p>
    <w:p w:rsidR="00C526EA" w:rsidRPr="00DB670B" w:rsidRDefault="00D626DA" w:rsidP="000D0CF7">
      <w:pPr>
        <w:spacing w:line="500" w:lineRule="exact"/>
        <w:jc w:val="both"/>
        <w:rPr>
          <w:rFonts w:eastAsia="標楷體"/>
          <w:sz w:val="28"/>
          <w:szCs w:val="28"/>
        </w:rPr>
      </w:pPr>
      <w:r w:rsidRPr="00DB670B">
        <w:rPr>
          <w:rFonts w:eastAsia="標楷體" w:hint="eastAsia"/>
          <w:sz w:val="28"/>
          <w:szCs w:val="28"/>
        </w:rPr>
        <w:t>甲銀行</w:t>
      </w:r>
      <w:r w:rsidR="00A008EB" w:rsidRPr="00DB670B">
        <w:rPr>
          <w:rFonts w:eastAsia="標楷體" w:hint="eastAsia"/>
          <w:sz w:val="28"/>
          <w:szCs w:val="28"/>
        </w:rPr>
        <w:t>應於重分類日</w:t>
      </w:r>
      <w:r w:rsidR="00E570B5" w:rsidRPr="00DB670B">
        <w:rPr>
          <w:rFonts w:eastAsia="標楷體" w:hint="eastAsia"/>
          <w:sz w:val="28"/>
          <w:szCs w:val="28"/>
        </w:rPr>
        <w:t>將</w:t>
      </w:r>
      <w:r w:rsidR="00A008EB" w:rsidRPr="00DB670B">
        <w:rPr>
          <w:rFonts w:eastAsia="標楷體" w:hint="eastAsia"/>
          <w:sz w:val="28"/>
          <w:szCs w:val="28"/>
        </w:rPr>
        <w:t>該債券組合</w:t>
      </w:r>
      <w:r w:rsidR="00E570B5" w:rsidRPr="00DB670B">
        <w:rPr>
          <w:rFonts w:eastAsia="標楷體" w:hint="eastAsia"/>
          <w:sz w:val="28"/>
          <w:szCs w:val="28"/>
        </w:rPr>
        <w:t>自</w:t>
      </w:r>
      <w:proofErr w:type="gramStart"/>
      <w:r w:rsidR="00E570B5" w:rsidRPr="00DB670B">
        <w:rPr>
          <w:rFonts w:eastAsia="標楷體" w:hint="eastAsia"/>
          <w:sz w:val="28"/>
          <w:szCs w:val="28"/>
        </w:rPr>
        <w:t>按攤銷後</w:t>
      </w:r>
      <w:proofErr w:type="gramEnd"/>
      <w:r w:rsidR="00E570B5" w:rsidRPr="00DB670B">
        <w:rPr>
          <w:rFonts w:eastAsia="標楷體" w:hint="eastAsia"/>
          <w:sz w:val="28"/>
          <w:szCs w:val="28"/>
        </w:rPr>
        <w:t>成本衡量重分類至透過損益按公允價值衡量，並按公允價值</w:t>
      </w:r>
      <w:r w:rsidR="00E570B5" w:rsidRPr="00DB670B">
        <w:rPr>
          <w:rFonts w:eastAsia="標楷體" w:hint="eastAsia"/>
          <w:sz w:val="28"/>
          <w:szCs w:val="28"/>
        </w:rPr>
        <w:t>CU490,000</w:t>
      </w:r>
      <w:r w:rsidR="00E570B5" w:rsidRPr="00DB670B">
        <w:rPr>
          <w:rFonts w:eastAsia="標楷體" w:hint="eastAsia"/>
          <w:sz w:val="28"/>
          <w:szCs w:val="28"/>
        </w:rPr>
        <w:t>衡量，與</w:t>
      </w:r>
      <w:proofErr w:type="gramStart"/>
      <w:r w:rsidR="00E570B5" w:rsidRPr="00DB670B">
        <w:rPr>
          <w:rFonts w:eastAsia="標楷體" w:hint="eastAsia"/>
          <w:sz w:val="28"/>
          <w:szCs w:val="28"/>
        </w:rPr>
        <w:t>原攤銷後</w:t>
      </w:r>
      <w:proofErr w:type="gramEnd"/>
      <w:r w:rsidR="00E570B5" w:rsidRPr="00DB670B">
        <w:rPr>
          <w:rFonts w:eastAsia="標楷體" w:hint="eastAsia"/>
          <w:sz w:val="28"/>
          <w:szCs w:val="28"/>
        </w:rPr>
        <w:t>成本之差異</w:t>
      </w:r>
      <w:r w:rsidR="00E570B5" w:rsidRPr="00DB670B">
        <w:rPr>
          <w:rFonts w:eastAsia="標楷體" w:hint="eastAsia"/>
          <w:sz w:val="28"/>
          <w:szCs w:val="28"/>
        </w:rPr>
        <w:t>CU4,000</w:t>
      </w:r>
      <w:r w:rsidR="00E570B5" w:rsidRPr="00DB670B">
        <w:rPr>
          <w:rFonts w:eastAsia="標楷體" w:hint="eastAsia"/>
          <w:sz w:val="28"/>
          <w:szCs w:val="28"/>
        </w:rPr>
        <w:t>（</w:t>
      </w:r>
      <w:r w:rsidR="00E570B5" w:rsidRPr="00DB670B">
        <w:rPr>
          <w:rFonts w:eastAsia="標楷體" w:hint="eastAsia"/>
          <w:sz w:val="28"/>
          <w:szCs w:val="28"/>
        </w:rPr>
        <w:t>CU490,000-(CU500,000-CU6,000)</w:t>
      </w:r>
      <w:r w:rsidR="00E570B5" w:rsidRPr="00DB670B">
        <w:rPr>
          <w:rFonts w:eastAsia="標楷體" w:hint="eastAsia"/>
          <w:sz w:val="28"/>
          <w:szCs w:val="28"/>
        </w:rPr>
        <w:t>）認列為</w:t>
      </w:r>
      <w:r w:rsidR="00F62718" w:rsidRPr="00DB670B">
        <w:rPr>
          <w:rFonts w:eastAsia="標楷體" w:hint="eastAsia"/>
          <w:sz w:val="28"/>
          <w:szCs w:val="28"/>
        </w:rPr>
        <w:t>重分類損失</w:t>
      </w:r>
      <w:r w:rsidR="0051733F" w:rsidRPr="00DB670B">
        <w:rPr>
          <w:rFonts w:eastAsia="標楷體" w:hint="eastAsia"/>
          <w:sz w:val="28"/>
          <w:szCs w:val="28"/>
        </w:rPr>
        <w:t>。重分類日</w:t>
      </w:r>
      <w:r w:rsidR="00E570B5" w:rsidRPr="00DB670B">
        <w:rPr>
          <w:rFonts w:eastAsia="標楷體" w:hint="eastAsia"/>
          <w:sz w:val="28"/>
          <w:szCs w:val="28"/>
        </w:rPr>
        <w:t>分錄如下：</w:t>
      </w:r>
    </w:p>
    <w:tbl>
      <w:tblPr>
        <w:tblW w:w="5082" w:type="pct"/>
        <w:tblCellMar>
          <w:left w:w="0" w:type="dxa"/>
          <w:right w:w="0" w:type="dxa"/>
        </w:tblCellMar>
        <w:tblLook w:val="0600"/>
      </w:tblPr>
      <w:tblGrid>
        <w:gridCol w:w="5419"/>
        <w:gridCol w:w="1588"/>
        <w:gridCol w:w="1588"/>
      </w:tblGrid>
      <w:tr w:rsidR="00E570B5" w:rsidRPr="00E570B5" w:rsidTr="00E570B5">
        <w:trPr>
          <w:trHeight w:val="263"/>
        </w:trPr>
        <w:tc>
          <w:tcPr>
            <w:tcW w:w="3152" w:type="pct"/>
            <w:shd w:val="clear" w:color="auto" w:fill="auto"/>
            <w:tcMar>
              <w:top w:w="72" w:type="dxa"/>
              <w:left w:w="144" w:type="dxa"/>
              <w:bottom w:w="72" w:type="dxa"/>
              <w:right w:w="144" w:type="dxa"/>
            </w:tcMar>
            <w:hideMark/>
          </w:tcPr>
          <w:p w:rsidR="00E570B5" w:rsidRPr="00E570B5" w:rsidRDefault="00F62718" w:rsidP="000D0CF7">
            <w:pPr>
              <w:spacing w:line="500" w:lineRule="exact"/>
              <w:jc w:val="both"/>
              <w:rPr>
                <w:rFonts w:eastAsia="標楷體"/>
                <w:szCs w:val="32"/>
              </w:rPr>
            </w:pPr>
            <w:r w:rsidRPr="00E570B5">
              <w:rPr>
                <w:rFonts w:eastAsia="標楷體" w:hint="eastAsia"/>
                <w:szCs w:val="32"/>
              </w:rPr>
              <w:t>透過損益按公允價值衡量之金融資產</w:t>
            </w:r>
            <w:proofErr w:type="gramStart"/>
            <w:r>
              <w:rPr>
                <w:rFonts w:eastAsia="標楷體"/>
                <w:szCs w:val="32"/>
              </w:rPr>
              <w:t>—</w:t>
            </w:r>
            <w:proofErr w:type="gramEnd"/>
            <w:r w:rsidR="00E570B5" w:rsidRPr="00E570B5">
              <w:rPr>
                <w:rFonts w:eastAsia="標楷體" w:hint="eastAsia"/>
                <w:szCs w:val="32"/>
              </w:rPr>
              <w:t>債券</w:t>
            </w:r>
          </w:p>
        </w:tc>
        <w:tc>
          <w:tcPr>
            <w:tcW w:w="924" w:type="pct"/>
            <w:shd w:val="clear" w:color="auto" w:fill="auto"/>
            <w:tcMar>
              <w:top w:w="72" w:type="dxa"/>
              <w:left w:w="144" w:type="dxa"/>
              <w:bottom w:w="72" w:type="dxa"/>
              <w:right w:w="144" w:type="dxa"/>
            </w:tcMar>
            <w:hideMark/>
          </w:tcPr>
          <w:p w:rsidR="00E570B5" w:rsidRPr="00E570B5" w:rsidRDefault="00E570B5" w:rsidP="000D0CF7">
            <w:pPr>
              <w:spacing w:line="500" w:lineRule="exact"/>
              <w:jc w:val="right"/>
              <w:rPr>
                <w:rFonts w:eastAsia="標楷體"/>
                <w:szCs w:val="32"/>
              </w:rPr>
            </w:pPr>
            <w:r w:rsidRPr="00E570B5">
              <w:rPr>
                <w:rFonts w:eastAsia="標楷體"/>
                <w:szCs w:val="32"/>
              </w:rPr>
              <w:t>490,000</w:t>
            </w:r>
          </w:p>
        </w:tc>
        <w:tc>
          <w:tcPr>
            <w:tcW w:w="924" w:type="pct"/>
          </w:tcPr>
          <w:p w:rsidR="00E570B5" w:rsidRPr="00E570B5" w:rsidRDefault="00E570B5" w:rsidP="000D0CF7">
            <w:pPr>
              <w:spacing w:line="500" w:lineRule="exact"/>
              <w:jc w:val="right"/>
              <w:rPr>
                <w:rFonts w:eastAsia="標楷體"/>
                <w:szCs w:val="32"/>
              </w:rPr>
            </w:pPr>
          </w:p>
        </w:tc>
      </w:tr>
      <w:tr w:rsidR="00E570B5" w:rsidRPr="00E570B5" w:rsidTr="00E570B5">
        <w:trPr>
          <w:trHeight w:val="186"/>
        </w:trPr>
        <w:tc>
          <w:tcPr>
            <w:tcW w:w="3152" w:type="pct"/>
            <w:shd w:val="clear" w:color="auto" w:fill="auto"/>
            <w:tcMar>
              <w:top w:w="72" w:type="dxa"/>
              <w:left w:w="144" w:type="dxa"/>
              <w:bottom w:w="72" w:type="dxa"/>
              <w:right w:w="144" w:type="dxa"/>
            </w:tcMar>
            <w:hideMark/>
          </w:tcPr>
          <w:p w:rsidR="00E570B5" w:rsidRPr="00E570B5" w:rsidRDefault="00E570B5" w:rsidP="000D0CF7">
            <w:pPr>
              <w:spacing w:line="500" w:lineRule="exact"/>
              <w:jc w:val="both"/>
              <w:rPr>
                <w:rFonts w:eastAsia="標楷體"/>
                <w:szCs w:val="32"/>
              </w:rPr>
            </w:pPr>
            <w:r w:rsidRPr="00E570B5">
              <w:rPr>
                <w:rFonts w:eastAsia="標楷體" w:hint="eastAsia"/>
                <w:szCs w:val="32"/>
              </w:rPr>
              <w:t>備抵損失</w:t>
            </w:r>
          </w:p>
        </w:tc>
        <w:tc>
          <w:tcPr>
            <w:tcW w:w="924" w:type="pct"/>
            <w:shd w:val="clear" w:color="auto" w:fill="auto"/>
            <w:tcMar>
              <w:top w:w="72" w:type="dxa"/>
              <w:left w:w="144" w:type="dxa"/>
              <w:bottom w:w="72" w:type="dxa"/>
              <w:right w:w="144" w:type="dxa"/>
            </w:tcMar>
            <w:hideMark/>
          </w:tcPr>
          <w:p w:rsidR="00E570B5" w:rsidRPr="00E570B5" w:rsidRDefault="00E570B5" w:rsidP="000D0CF7">
            <w:pPr>
              <w:spacing w:line="500" w:lineRule="exact"/>
              <w:jc w:val="right"/>
              <w:rPr>
                <w:rFonts w:eastAsia="標楷體"/>
                <w:szCs w:val="32"/>
              </w:rPr>
            </w:pPr>
            <w:r w:rsidRPr="00E570B5">
              <w:rPr>
                <w:rFonts w:eastAsia="標楷體"/>
                <w:szCs w:val="32"/>
              </w:rPr>
              <w:t>6,000</w:t>
            </w:r>
          </w:p>
        </w:tc>
        <w:tc>
          <w:tcPr>
            <w:tcW w:w="924" w:type="pct"/>
          </w:tcPr>
          <w:p w:rsidR="00E570B5" w:rsidRPr="00E570B5" w:rsidRDefault="00E570B5" w:rsidP="000D0CF7">
            <w:pPr>
              <w:spacing w:line="500" w:lineRule="exact"/>
              <w:jc w:val="right"/>
              <w:rPr>
                <w:rFonts w:eastAsia="標楷體"/>
                <w:szCs w:val="32"/>
              </w:rPr>
            </w:pPr>
          </w:p>
        </w:tc>
      </w:tr>
      <w:tr w:rsidR="00E570B5" w:rsidRPr="00E570B5" w:rsidTr="00E570B5">
        <w:trPr>
          <w:trHeight w:val="336"/>
        </w:trPr>
        <w:tc>
          <w:tcPr>
            <w:tcW w:w="3152" w:type="pct"/>
            <w:shd w:val="clear" w:color="auto" w:fill="auto"/>
            <w:tcMar>
              <w:top w:w="72" w:type="dxa"/>
              <w:left w:w="144" w:type="dxa"/>
              <w:bottom w:w="72" w:type="dxa"/>
              <w:right w:w="144" w:type="dxa"/>
            </w:tcMar>
          </w:tcPr>
          <w:p w:rsidR="00E570B5" w:rsidRPr="00E570B5" w:rsidRDefault="00E570B5" w:rsidP="000D0CF7">
            <w:pPr>
              <w:spacing w:line="500" w:lineRule="exact"/>
              <w:jc w:val="both"/>
              <w:rPr>
                <w:rFonts w:eastAsia="標楷體"/>
                <w:szCs w:val="32"/>
              </w:rPr>
            </w:pPr>
            <w:r>
              <w:rPr>
                <w:rFonts w:eastAsia="標楷體" w:hint="eastAsia"/>
                <w:szCs w:val="32"/>
              </w:rPr>
              <w:t>重分類損失（損益）</w:t>
            </w:r>
          </w:p>
        </w:tc>
        <w:tc>
          <w:tcPr>
            <w:tcW w:w="924" w:type="pct"/>
            <w:shd w:val="clear" w:color="auto" w:fill="auto"/>
            <w:tcMar>
              <w:top w:w="72" w:type="dxa"/>
              <w:left w:w="144" w:type="dxa"/>
              <w:bottom w:w="72" w:type="dxa"/>
              <w:right w:w="144" w:type="dxa"/>
            </w:tcMar>
          </w:tcPr>
          <w:p w:rsidR="00E570B5" w:rsidRPr="00E570B5" w:rsidRDefault="00E570B5" w:rsidP="000D0CF7">
            <w:pPr>
              <w:spacing w:line="500" w:lineRule="exact"/>
              <w:jc w:val="right"/>
              <w:rPr>
                <w:rFonts w:eastAsia="標楷體"/>
                <w:szCs w:val="32"/>
              </w:rPr>
            </w:pPr>
            <w:r>
              <w:rPr>
                <w:rFonts w:eastAsia="標楷體" w:hint="eastAsia"/>
                <w:szCs w:val="32"/>
              </w:rPr>
              <w:t>4,000</w:t>
            </w:r>
          </w:p>
        </w:tc>
        <w:tc>
          <w:tcPr>
            <w:tcW w:w="924" w:type="pct"/>
          </w:tcPr>
          <w:p w:rsidR="00E570B5" w:rsidRPr="00E570B5" w:rsidRDefault="00E570B5" w:rsidP="000D0CF7">
            <w:pPr>
              <w:spacing w:line="500" w:lineRule="exact"/>
              <w:jc w:val="right"/>
              <w:rPr>
                <w:rFonts w:eastAsia="標楷體"/>
                <w:szCs w:val="32"/>
              </w:rPr>
            </w:pPr>
          </w:p>
        </w:tc>
      </w:tr>
      <w:tr w:rsidR="00E570B5" w:rsidRPr="00E570B5" w:rsidTr="00E570B5">
        <w:trPr>
          <w:trHeight w:val="336"/>
        </w:trPr>
        <w:tc>
          <w:tcPr>
            <w:tcW w:w="3152" w:type="pct"/>
            <w:shd w:val="clear" w:color="auto" w:fill="auto"/>
            <w:tcMar>
              <w:top w:w="72" w:type="dxa"/>
              <w:left w:w="144" w:type="dxa"/>
              <w:bottom w:w="72" w:type="dxa"/>
              <w:right w:w="144" w:type="dxa"/>
            </w:tcMar>
          </w:tcPr>
          <w:p w:rsidR="00F62718" w:rsidRPr="00E570B5" w:rsidRDefault="00F62718" w:rsidP="000D0CF7">
            <w:pPr>
              <w:spacing w:line="500" w:lineRule="exact"/>
              <w:ind w:firstLineChars="200" w:firstLine="480"/>
              <w:jc w:val="both"/>
              <w:rPr>
                <w:rFonts w:eastAsia="標楷體"/>
                <w:szCs w:val="32"/>
              </w:rPr>
            </w:pPr>
            <w:proofErr w:type="gramStart"/>
            <w:r w:rsidRPr="00E570B5">
              <w:rPr>
                <w:rFonts w:eastAsia="標楷體" w:hint="eastAsia"/>
                <w:szCs w:val="32"/>
              </w:rPr>
              <w:t>按攤銷後</w:t>
            </w:r>
            <w:proofErr w:type="gramEnd"/>
            <w:r w:rsidRPr="00E570B5">
              <w:rPr>
                <w:rFonts w:eastAsia="標楷體" w:hint="eastAsia"/>
                <w:szCs w:val="32"/>
              </w:rPr>
              <w:t>成本衡量之金融資產</w:t>
            </w:r>
            <w:proofErr w:type="gramStart"/>
            <w:r>
              <w:rPr>
                <w:rFonts w:eastAsia="標楷體"/>
                <w:szCs w:val="32"/>
              </w:rPr>
              <w:t>—</w:t>
            </w:r>
            <w:proofErr w:type="gramEnd"/>
            <w:r w:rsidR="00E570B5" w:rsidRPr="00E570B5">
              <w:rPr>
                <w:rFonts w:eastAsia="標楷體" w:hint="eastAsia"/>
                <w:szCs w:val="32"/>
              </w:rPr>
              <w:t>債券</w:t>
            </w:r>
          </w:p>
          <w:p w:rsidR="00E570B5" w:rsidRPr="00E570B5" w:rsidRDefault="00E570B5" w:rsidP="000D0CF7">
            <w:pPr>
              <w:spacing w:line="500" w:lineRule="exact"/>
              <w:ind w:firstLineChars="200" w:firstLine="480"/>
              <w:jc w:val="both"/>
              <w:rPr>
                <w:rFonts w:eastAsia="標楷體"/>
                <w:szCs w:val="32"/>
              </w:rPr>
            </w:pPr>
          </w:p>
        </w:tc>
        <w:tc>
          <w:tcPr>
            <w:tcW w:w="924" w:type="pct"/>
            <w:shd w:val="clear" w:color="auto" w:fill="auto"/>
            <w:tcMar>
              <w:top w:w="72" w:type="dxa"/>
              <w:left w:w="144" w:type="dxa"/>
              <w:bottom w:w="72" w:type="dxa"/>
              <w:right w:w="144" w:type="dxa"/>
            </w:tcMar>
          </w:tcPr>
          <w:p w:rsidR="00E570B5" w:rsidRPr="00E570B5" w:rsidRDefault="00E570B5" w:rsidP="000D0CF7">
            <w:pPr>
              <w:spacing w:line="500" w:lineRule="exact"/>
              <w:jc w:val="right"/>
              <w:rPr>
                <w:rFonts w:eastAsia="標楷體"/>
                <w:szCs w:val="32"/>
              </w:rPr>
            </w:pPr>
          </w:p>
        </w:tc>
        <w:tc>
          <w:tcPr>
            <w:tcW w:w="924" w:type="pct"/>
          </w:tcPr>
          <w:p w:rsidR="00E570B5" w:rsidRPr="00E570B5" w:rsidRDefault="00E570B5" w:rsidP="000D0CF7">
            <w:pPr>
              <w:spacing w:line="500" w:lineRule="exact"/>
              <w:jc w:val="right"/>
              <w:rPr>
                <w:rFonts w:eastAsia="標楷體"/>
                <w:szCs w:val="32"/>
              </w:rPr>
            </w:pPr>
            <w:r>
              <w:rPr>
                <w:rFonts w:eastAsia="標楷體" w:hint="eastAsia"/>
                <w:szCs w:val="32"/>
              </w:rPr>
              <w:t>500,000</w:t>
            </w:r>
          </w:p>
        </w:tc>
      </w:tr>
    </w:tbl>
    <w:p w:rsidR="00E570B5" w:rsidRPr="00DB670B" w:rsidRDefault="0051733F" w:rsidP="000D0CF7">
      <w:pPr>
        <w:spacing w:line="500" w:lineRule="exact"/>
        <w:jc w:val="both"/>
        <w:rPr>
          <w:rFonts w:eastAsia="標楷體"/>
          <w:sz w:val="28"/>
          <w:szCs w:val="28"/>
        </w:rPr>
      </w:pPr>
      <w:r w:rsidRPr="00DB670B">
        <w:rPr>
          <w:rFonts w:eastAsia="標楷體" w:hint="eastAsia"/>
          <w:sz w:val="28"/>
          <w:szCs w:val="28"/>
        </w:rPr>
        <w:t>情境</w:t>
      </w:r>
      <w:r w:rsidRPr="00DB670B">
        <w:rPr>
          <w:rFonts w:eastAsia="標楷體" w:hint="eastAsia"/>
          <w:sz w:val="28"/>
          <w:szCs w:val="28"/>
        </w:rPr>
        <w:t>2</w:t>
      </w:r>
      <w:r w:rsidRPr="00DB670B">
        <w:rPr>
          <w:rFonts w:eastAsia="標楷體" w:hint="eastAsia"/>
          <w:sz w:val="28"/>
          <w:szCs w:val="28"/>
        </w:rPr>
        <w:t>：衡量種類自透過損益按公允價值衡量重分類</w:t>
      </w:r>
      <w:proofErr w:type="gramStart"/>
      <w:r w:rsidRPr="00DB670B">
        <w:rPr>
          <w:rFonts w:eastAsia="標楷體" w:hint="eastAsia"/>
          <w:sz w:val="28"/>
          <w:szCs w:val="28"/>
        </w:rPr>
        <w:t>至按攤銷後</w:t>
      </w:r>
      <w:proofErr w:type="gramEnd"/>
      <w:r w:rsidRPr="00DB670B">
        <w:rPr>
          <w:rFonts w:eastAsia="標楷體" w:hint="eastAsia"/>
          <w:sz w:val="28"/>
          <w:szCs w:val="28"/>
        </w:rPr>
        <w:t>成本衡量</w:t>
      </w:r>
    </w:p>
    <w:p w:rsidR="00E07EC9" w:rsidRPr="00DB670B" w:rsidRDefault="0051733F" w:rsidP="000D0CF7">
      <w:pPr>
        <w:spacing w:line="500" w:lineRule="exact"/>
        <w:jc w:val="both"/>
        <w:rPr>
          <w:rFonts w:eastAsia="標楷體"/>
          <w:sz w:val="28"/>
          <w:szCs w:val="28"/>
        </w:rPr>
      </w:pPr>
      <w:r w:rsidRPr="00DB670B">
        <w:rPr>
          <w:rFonts w:eastAsia="標楷體" w:hint="eastAsia"/>
          <w:sz w:val="28"/>
          <w:szCs w:val="28"/>
        </w:rPr>
        <w:t>甲銀行應於重分類日將該債券組合自透過損益按公允價值衡量重分類</w:t>
      </w:r>
      <w:proofErr w:type="gramStart"/>
      <w:r w:rsidRPr="00DB670B">
        <w:rPr>
          <w:rFonts w:eastAsia="標楷體" w:hint="eastAsia"/>
          <w:sz w:val="28"/>
          <w:szCs w:val="28"/>
        </w:rPr>
        <w:t>至按攤銷後</w:t>
      </w:r>
      <w:proofErr w:type="gramEnd"/>
      <w:r w:rsidRPr="00DB670B">
        <w:rPr>
          <w:rFonts w:eastAsia="標楷體" w:hint="eastAsia"/>
          <w:sz w:val="28"/>
          <w:szCs w:val="28"/>
        </w:rPr>
        <w:t>成本衡量，並以重分類日公允價值</w:t>
      </w:r>
      <w:r w:rsidRPr="00DB670B">
        <w:rPr>
          <w:rFonts w:eastAsia="標楷體" w:hint="eastAsia"/>
          <w:sz w:val="28"/>
          <w:szCs w:val="28"/>
        </w:rPr>
        <w:t>CU490,000</w:t>
      </w:r>
      <w:r w:rsidRPr="00DB670B">
        <w:rPr>
          <w:rFonts w:eastAsia="標楷體" w:hint="eastAsia"/>
          <w:sz w:val="28"/>
          <w:szCs w:val="28"/>
        </w:rPr>
        <w:t>作為新總</w:t>
      </w:r>
      <w:proofErr w:type="gramStart"/>
      <w:r w:rsidRPr="00DB670B">
        <w:rPr>
          <w:rFonts w:eastAsia="標楷體" w:hint="eastAsia"/>
          <w:sz w:val="28"/>
          <w:szCs w:val="28"/>
        </w:rPr>
        <w:t>帳面</w:t>
      </w:r>
      <w:proofErr w:type="gramEnd"/>
      <w:r w:rsidRPr="00DB670B">
        <w:rPr>
          <w:rFonts w:eastAsia="標楷體" w:hint="eastAsia"/>
          <w:sz w:val="28"/>
          <w:szCs w:val="28"/>
        </w:rPr>
        <w:t>金額，並依據該金額決定有效利率。自重分類日起，該債券組合應適用減損規定，並以重分類日之債券組合信用風險成為未來信用風險變動所用以比較之信用風險，</w:t>
      </w:r>
      <w:proofErr w:type="gramStart"/>
      <w:r w:rsidRPr="00DB670B">
        <w:rPr>
          <w:rFonts w:eastAsia="標楷體" w:hint="eastAsia"/>
          <w:sz w:val="28"/>
          <w:szCs w:val="28"/>
        </w:rPr>
        <w:t>故重分類</w:t>
      </w:r>
      <w:proofErr w:type="gramEnd"/>
      <w:r w:rsidRPr="00DB670B">
        <w:rPr>
          <w:rFonts w:eastAsia="標楷體" w:hint="eastAsia"/>
          <w:sz w:val="28"/>
          <w:szCs w:val="28"/>
        </w:rPr>
        <w:t>日應有之備抵損失為</w:t>
      </w:r>
      <w:r w:rsidRPr="00DB670B">
        <w:rPr>
          <w:rFonts w:eastAsia="標楷體" w:hint="eastAsia"/>
          <w:sz w:val="28"/>
          <w:szCs w:val="28"/>
        </w:rPr>
        <w:t>12</w:t>
      </w:r>
      <w:r w:rsidRPr="00DB670B">
        <w:rPr>
          <w:rFonts w:eastAsia="標楷體" w:hint="eastAsia"/>
          <w:sz w:val="28"/>
          <w:szCs w:val="28"/>
        </w:rPr>
        <w:t>個</w:t>
      </w:r>
      <w:r w:rsidRPr="00DB670B">
        <w:rPr>
          <w:rFonts w:eastAsia="標楷體" w:hint="eastAsia"/>
          <w:sz w:val="28"/>
          <w:szCs w:val="28"/>
        </w:rPr>
        <w:lastRenderedPageBreak/>
        <w:t>月預期信用損失</w:t>
      </w:r>
      <w:r w:rsidRPr="00DB670B">
        <w:rPr>
          <w:rFonts w:eastAsia="標楷體" w:hint="eastAsia"/>
          <w:sz w:val="28"/>
          <w:szCs w:val="28"/>
        </w:rPr>
        <w:t>CU4,000</w:t>
      </w:r>
      <w:r w:rsidRPr="00DB670B">
        <w:rPr>
          <w:rFonts w:eastAsia="標楷體" w:hint="eastAsia"/>
          <w:sz w:val="28"/>
          <w:szCs w:val="28"/>
        </w:rPr>
        <w:t>。重分類日分錄如下：</w:t>
      </w:r>
    </w:p>
    <w:tbl>
      <w:tblPr>
        <w:tblW w:w="5082" w:type="pct"/>
        <w:tblCellMar>
          <w:left w:w="0" w:type="dxa"/>
          <w:right w:w="0" w:type="dxa"/>
        </w:tblCellMar>
        <w:tblLook w:val="0600"/>
      </w:tblPr>
      <w:tblGrid>
        <w:gridCol w:w="5419"/>
        <w:gridCol w:w="1588"/>
        <w:gridCol w:w="1588"/>
      </w:tblGrid>
      <w:tr w:rsidR="0051733F" w:rsidRPr="00E570B5" w:rsidTr="00023ABF">
        <w:trPr>
          <w:trHeight w:val="263"/>
        </w:trPr>
        <w:tc>
          <w:tcPr>
            <w:tcW w:w="3152" w:type="pct"/>
            <w:shd w:val="clear" w:color="auto" w:fill="auto"/>
            <w:tcMar>
              <w:top w:w="72" w:type="dxa"/>
              <w:left w:w="144" w:type="dxa"/>
              <w:bottom w:w="72" w:type="dxa"/>
              <w:right w:w="144" w:type="dxa"/>
            </w:tcMar>
            <w:hideMark/>
          </w:tcPr>
          <w:p w:rsidR="00E570B5" w:rsidRPr="0085553E" w:rsidRDefault="0085553E" w:rsidP="000D0CF7">
            <w:pPr>
              <w:spacing w:line="500" w:lineRule="exact"/>
              <w:jc w:val="both"/>
              <w:rPr>
                <w:rFonts w:eastAsia="標楷體"/>
                <w:szCs w:val="32"/>
              </w:rPr>
            </w:pPr>
            <w:proofErr w:type="gramStart"/>
            <w:r w:rsidRPr="00E570B5">
              <w:rPr>
                <w:rFonts w:eastAsia="標楷體" w:hint="eastAsia"/>
                <w:szCs w:val="32"/>
              </w:rPr>
              <w:t>按攤銷後</w:t>
            </w:r>
            <w:proofErr w:type="gramEnd"/>
            <w:r w:rsidRPr="00E570B5">
              <w:rPr>
                <w:rFonts w:eastAsia="標楷體" w:hint="eastAsia"/>
                <w:szCs w:val="32"/>
              </w:rPr>
              <w:t>成本衡量之金融資產</w:t>
            </w:r>
            <w:proofErr w:type="gramStart"/>
            <w:r>
              <w:rPr>
                <w:rFonts w:eastAsia="標楷體"/>
                <w:szCs w:val="32"/>
              </w:rPr>
              <w:t>—</w:t>
            </w:r>
            <w:proofErr w:type="gramEnd"/>
            <w:r w:rsidRPr="00E570B5">
              <w:rPr>
                <w:rFonts w:eastAsia="標楷體" w:hint="eastAsia"/>
                <w:szCs w:val="32"/>
              </w:rPr>
              <w:t>債券</w:t>
            </w:r>
          </w:p>
        </w:tc>
        <w:tc>
          <w:tcPr>
            <w:tcW w:w="924" w:type="pct"/>
            <w:shd w:val="clear" w:color="auto" w:fill="auto"/>
            <w:tcMar>
              <w:top w:w="72" w:type="dxa"/>
              <w:left w:w="144" w:type="dxa"/>
              <w:bottom w:w="72" w:type="dxa"/>
              <w:right w:w="144" w:type="dxa"/>
            </w:tcMar>
            <w:hideMark/>
          </w:tcPr>
          <w:p w:rsidR="00E570B5" w:rsidRPr="00E570B5" w:rsidRDefault="0051733F" w:rsidP="000D0CF7">
            <w:pPr>
              <w:spacing w:line="500" w:lineRule="exact"/>
              <w:jc w:val="right"/>
              <w:rPr>
                <w:rFonts w:eastAsia="標楷體"/>
                <w:szCs w:val="32"/>
              </w:rPr>
            </w:pPr>
            <w:r w:rsidRPr="0051733F">
              <w:rPr>
                <w:rFonts w:eastAsia="標楷體"/>
                <w:szCs w:val="32"/>
              </w:rPr>
              <w:t>490,000</w:t>
            </w:r>
          </w:p>
        </w:tc>
        <w:tc>
          <w:tcPr>
            <w:tcW w:w="924" w:type="pct"/>
          </w:tcPr>
          <w:p w:rsidR="0051733F" w:rsidRPr="0051733F" w:rsidRDefault="0051733F" w:rsidP="000D0CF7">
            <w:pPr>
              <w:spacing w:line="500" w:lineRule="exact"/>
              <w:jc w:val="right"/>
              <w:rPr>
                <w:rFonts w:eastAsia="標楷體"/>
                <w:szCs w:val="32"/>
              </w:rPr>
            </w:pPr>
          </w:p>
        </w:tc>
      </w:tr>
      <w:tr w:rsidR="00F62718" w:rsidRPr="00E570B5" w:rsidTr="00CA519C">
        <w:trPr>
          <w:trHeight w:val="336"/>
        </w:trPr>
        <w:tc>
          <w:tcPr>
            <w:tcW w:w="3152" w:type="pct"/>
            <w:shd w:val="clear" w:color="auto" w:fill="auto"/>
            <w:tcMar>
              <w:top w:w="72" w:type="dxa"/>
              <w:left w:w="144" w:type="dxa"/>
              <w:bottom w:w="72" w:type="dxa"/>
              <w:right w:w="144" w:type="dxa"/>
            </w:tcMar>
          </w:tcPr>
          <w:p w:rsidR="00F62718" w:rsidRPr="0051733F" w:rsidRDefault="0085553E" w:rsidP="000D0CF7">
            <w:pPr>
              <w:spacing w:line="500" w:lineRule="exact"/>
              <w:ind w:firstLineChars="200" w:firstLine="480"/>
              <w:jc w:val="both"/>
              <w:rPr>
                <w:rFonts w:eastAsia="標楷體"/>
                <w:szCs w:val="32"/>
              </w:rPr>
            </w:pPr>
            <w:r w:rsidRPr="00E570B5">
              <w:rPr>
                <w:rFonts w:eastAsia="標楷體" w:hint="eastAsia"/>
                <w:szCs w:val="32"/>
              </w:rPr>
              <w:t>透過損益按公允價值衡量之金融資產</w:t>
            </w:r>
            <w:proofErr w:type="gramStart"/>
            <w:r>
              <w:rPr>
                <w:rFonts w:eastAsia="標楷體"/>
                <w:szCs w:val="32"/>
              </w:rPr>
              <w:t>—</w:t>
            </w:r>
            <w:proofErr w:type="gramEnd"/>
            <w:r w:rsidRPr="00E570B5">
              <w:rPr>
                <w:rFonts w:eastAsia="標楷體" w:hint="eastAsia"/>
                <w:szCs w:val="32"/>
              </w:rPr>
              <w:t>債券</w:t>
            </w:r>
          </w:p>
        </w:tc>
        <w:tc>
          <w:tcPr>
            <w:tcW w:w="924" w:type="pct"/>
            <w:shd w:val="clear" w:color="auto" w:fill="auto"/>
            <w:tcMar>
              <w:top w:w="72" w:type="dxa"/>
              <w:left w:w="144" w:type="dxa"/>
              <w:bottom w:w="72" w:type="dxa"/>
              <w:right w:w="144" w:type="dxa"/>
            </w:tcMar>
          </w:tcPr>
          <w:p w:rsidR="00F62718" w:rsidRPr="0051733F" w:rsidRDefault="00F62718" w:rsidP="000D0CF7">
            <w:pPr>
              <w:spacing w:line="500" w:lineRule="exact"/>
              <w:jc w:val="right"/>
              <w:rPr>
                <w:rFonts w:eastAsia="標楷體"/>
                <w:szCs w:val="32"/>
              </w:rPr>
            </w:pPr>
          </w:p>
        </w:tc>
        <w:tc>
          <w:tcPr>
            <w:tcW w:w="924" w:type="pct"/>
          </w:tcPr>
          <w:p w:rsidR="00F62718" w:rsidRPr="0051733F" w:rsidRDefault="00F62718" w:rsidP="000D0CF7">
            <w:pPr>
              <w:spacing w:line="500" w:lineRule="exact"/>
              <w:jc w:val="right"/>
              <w:rPr>
                <w:rFonts w:eastAsia="標楷體"/>
                <w:szCs w:val="32"/>
              </w:rPr>
            </w:pPr>
            <w:r>
              <w:rPr>
                <w:rFonts w:eastAsia="標楷體" w:hint="eastAsia"/>
                <w:szCs w:val="32"/>
              </w:rPr>
              <w:t>49</w:t>
            </w:r>
            <w:r w:rsidRPr="0051733F">
              <w:rPr>
                <w:rFonts w:eastAsia="標楷體" w:hint="eastAsia"/>
                <w:szCs w:val="32"/>
              </w:rPr>
              <w:t>0,000</w:t>
            </w:r>
          </w:p>
        </w:tc>
      </w:tr>
      <w:tr w:rsidR="0051733F" w:rsidRPr="00E570B5" w:rsidTr="00023ABF">
        <w:trPr>
          <w:trHeight w:val="186"/>
        </w:trPr>
        <w:tc>
          <w:tcPr>
            <w:tcW w:w="3152" w:type="pct"/>
            <w:shd w:val="clear" w:color="auto" w:fill="auto"/>
            <w:tcMar>
              <w:top w:w="72" w:type="dxa"/>
              <w:left w:w="144" w:type="dxa"/>
              <w:bottom w:w="72" w:type="dxa"/>
              <w:right w:w="144" w:type="dxa"/>
            </w:tcMar>
            <w:hideMark/>
          </w:tcPr>
          <w:p w:rsidR="00E570B5" w:rsidRPr="00E570B5" w:rsidRDefault="00F202ED" w:rsidP="000D0CF7">
            <w:pPr>
              <w:spacing w:line="500" w:lineRule="exact"/>
              <w:jc w:val="both"/>
              <w:rPr>
                <w:rFonts w:eastAsia="標楷體"/>
                <w:szCs w:val="32"/>
              </w:rPr>
            </w:pPr>
            <w:r>
              <w:rPr>
                <w:rFonts w:eastAsia="標楷體" w:hint="eastAsia"/>
                <w:szCs w:val="32"/>
              </w:rPr>
              <w:t>減損損失（損益）</w:t>
            </w:r>
          </w:p>
        </w:tc>
        <w:tc>
          <w:tcPr>
            <w:tcW w:w="924" w:type="pct"/>
            <w:shd w:val="clear" w:color="auto" w:fill="auto"/>
            <w:tcMar>
              <w:top w:w="72" w:type="dxa"/>
              <w:left w:w="144" w:type="dxa"/>
              <w:bottom w:w="72" w:type="dxa"/>
              <w:right w:w="144" w:type="dxa"/>
            </w:tcMar>
            <w:hideMark/>
          </w:tcPr>
          <w:p w:rsidR="00E570B5" w:rsidRPr="00E570B5" w:rsidRDefault="0051733F" w:rsidP="000D0CF7">
            <w:pPr>
              <w:spacing w:line="500" w:lineRule="exact"/>
              <w:jc w:val="right"/>
              <w:rPr>
                <w:rFonts w:eastAsia="標楷體"/>
                <w:szCs w:val="32"/>
              </w:rPr>
            </w:pPr>
            <w:r>
              <w:rPr>
                <w:rFonts w:eastAsia="標楷體" w:hint="eastAsia"/>
                <w:szCs w:val="32"/>
              </w:rPr>
              <w:t>4</w:t>
            </w:r>
            <w:r w:rsidRPr="0051733F">
              <w:rPr>
                <w:rFonts w:eastAsia="標楷體"/>
                <w:szCs w:val="32"/>
              </w:rPr>
              <w:t>,000</w:t>
            </w:r>
          </w:p>
        </w:tc>
        <w:tc>
          <w:tcPr>
            <w:tcW w:w="924" w:type="pct"/>
          </w:tcPr>
          <w:p w:rsidR="0051733F" w:rsidRPr="0051733F" w:rsidRDefault="0051733F" w:rsidP="000D0CF7">
            <w:pPr>
              <w:spacing w:line="500" w:lineRule="exact"/>
              <w:jc w:val="right"/>
              <w:rPr>
                <w:rFonts w:eastAsia="標楷體"/>
                <w:szCs w:val="32"/>
              </w:rPr>
            </w:pPr>
          </w:p>
        </w:tc>
      </w:tr>
      <w:tr w:rsidR="0051733F" w:rsidRPr="00E570B5" w:rsidTr="0051733F">
        <w:trPr>
          <w:trHeight w:val="336"/>
        </w:trPr>
        <w:tc>
          <w:tcPr>
            <w:tcW w:w="3152" w:type="pct"/>
            <w:shd w:val="clear" w:color="auto" w:fill="auto"/>
            <w:tcMar>
              <w:top w:w="72" w:type="dxa"/>
              <w:left w:w="144" w:type="dxa"/>
              <w:bottom w:w="72" w:type="dxa"/>
              <w:right w:w="144" w:type="dxa"/>
            </w:tcMar>
          </w:tcPr>
          <w:p w:rsidR="0051733F" w:rsidRPr="00E570B5" w:rsidRDefault="00F202ED" w:rsidP="000D0CF7">
            <w:pPr>
              <w:spacing w:line="500" w:lineRule="exact"/>
              <w:ind w:firstLineChars="200" w:firstLine="480"/>
              <w:jc w:val="both"/>
              <w:rPr>
                <w:rFonts w:eastAsia="標楷體"/>
                <w:szCs w:val="32"/>
              </w:rPr>
            </w:pPr>
            <w:r w:rsidRPr="0051733F">
              <w:rPr>
                <w:rFonts w:eastAsia="標楷體" w:hint="eastAsia"/>
                <w:szCs w:val="32"/>
              </w:rPr>
              <w:t>備抵損失</w:t>
            </w:r>
          </w:p>
        </w:tc>
        <w:tc>
          <w:tcPr>
            <w:tcW w:w="924" w:type="pct"/>
            <w:shd w:val="clear" w:color="auto" w:fill="auto"/>
            <w:tcMar>
              <w:top w:w="72" w:type="dxa"/>
              <w:left w:w="144" w:type="dxa"/>
              <w:bottom w:w="72" w:type="dxa"/>
              <w:right w:w="144" w:type="dxa"/>
            </w:tcMar>
          </w:tcPr>
          <w:p w:rsidR="0051733F" w:rsidRPr="00E570B5" w:rsidRDefault="0051733F" w:rsidP="000D0CF7">
            <w:pPr>
              <w:spacing w:line="500" w:lineRule="exact"/>
              <w:jc w:val="right"/>
              <w:rPr>
                <w:rFonts w:eastAsia="標楷體"/>
                <w:szCs w:val="32"/>
              </w:rPr>
            </w:pPr>
          </w:p>
        </w:tc>
        <w:tc>
          <w:tcPr>
            <w:tcW w:w="924" w:type="pct"/>
          </w:tcPr>
          <w:p w:rsidR="0051733F" w:rsidRPr="00E570B5" w:rsidRDefault="0051733F" w:rsidP="000D0CF7">
            <w:pPr>
              <w:spacing w:line="500" w:lineRule="exact"/>
              <w:jc w:val="right"/>
              <w:rPr>
                <w:rFonts w:eastAsia="標楷體"/>
                <w:szCs w:val="32"/>
              </w:rPr>
            </w:pPr>
            <w:r>
              <w:rPr>
                <w:rFonts w:eastAsia="標楷體" w:hint="eastAsia"/>
                <w:szCs w:val="32"/>
              </w:rPr>
              <w:t>4,000</w:t>
            </w:r>
          </w:p>
        </w:tc>
      </w:tr>
    </w:tbl>
    <w:p w:rsidR="00E07EC9" w:rsidRPr="00DB670B" w:rsidRDefault="00384A88" w:rsidP="000D0CF7">
      <w:pPr>
        <w:spacing w:line="500" w:lineRule="exact"/>
        <w:jc w:val="both"/>
        <w:rPr>
          <w:rFonts w:eastAsia="標楷體"/>
          <w:sz w:val="28"/>
          <w:szCs w:val="28"/>
        </w:rPr>
      </w:pPr>
      <w:r w:rsidRPr="00DB670B">
        <w:rPr>
          <w:rFonts w:eastAsia="標楷體" w:hint="eastAsia"/>
          <w:sz w:val="28"/>
          <w:szCs w:val="28"/>
        </w:rPr>
        <w:t>情境</w:t>
      </w:r>
      <w:r w:rsidRPr="00DB670B">
        <w:rPr>
          <w:rFonts w:eastAsia="標楷體" w:hint="eastAsia"/>
          <w:sz w:val="28"/>
          <w:szCs w:val="28"/>
        </w:rPr>
        <w:t>3</w:t>
      </w:r>
      <w:r w:rsidRPr="00DB670B">
        <w:rPr>
          <w:rFonts w:eastAsia="標楷體" w:hint="eastAsia"/>
          <w:sz w:val="28"/>
          <w:szCs w:val="28"/>
        </w:rPr>
        <w:t>：衡量種類自</w:t>
      </w:r>
      <w:proofErr w:type="gramStart"/>
      <w:r w:rsidRPr="00DB670B">
        <w:rPr>
          <w:rFonts w:eastAsia="標楷體" w:hint="eastAsia"/>
          <w:sz w:val="28"/>
          <w:szCs w:val="28"/>
        </w:rPr>
        <w:t>按攤銷後</w:t>
      </w:r>
      <w:proofErr w:type="gramEnd"/>
      <w:r w:rsidRPr="00DB670B">
        <w:rPr>
          <w:rFonts w:eastAsia="標楷體" w:hint="eastAsia"/>
          <w:sz w:val="28"/>
          <w:szCs w:val="28"/>
        </w:rPr>
        <w:t>成本衡量重分類至透過其他綜合損益按公允價值衡量</w:t>
      </w:r>
    </w:p>
    <w:p w:rsidR="00384A88" w:rsidRPr="00DB670B" w:rsidRDefault="00384A88" w:rsidP="000D0CF7">
      <w:pPr>
        <w:spacing w:line="500" w:lineRule="exact"/>
        <w:jc w:val="both"/>
        <w:rPr>
          <w:rFonts w:eastAsia="標楷體"/>
          <w:sz w:val="28"/>
          <w:szCs w:val="28"/>
        </w:rPr>
      </w:pPr>
      <w:r w:rsidRPr="00DB670B">
        <w:rPr>
          <w:rFonts w:eastAsia="標楷體" w:hint="eastAsia"/>
          <w:sz w:val="28"/>
          <w:szCs w:val="28"/>
        </w:rPr>
        <w:t>甲銀行應於重分類日將該債券組合自</w:t>
      </w:r>
      <w:proofErr w:type="gramStart"/>
      <w:r w:rsidRPr="00DB670B">
        <w:rPr>
          <w:rFonts w:eastAsia="標楷體" w:hint="eastAsia"/>
          <w:sz w:val="28"/>
          <w:szCs w:val="28"/>
        </w:rPr>
        <w:t>按攤銷後</w:t>
      </w:r>
      <w:proofErr w:type="gramEnd"/>
      <w:r w:rsidRPr="00DB670B">
        <w:rPr>
          <w:rFonts w:eastAsia="標楷體" w:hint="eastAsia"/>
          <w:sz w:val="28"/>
          <w:szCs w:val="28"/>
        </w:rPr>
        <w:t>成本衡量重分類至透過其他綜合損益</w:t>
      </w:r>
      <w:r w:rsidR="00F202ED" w:rsidRPr="00DB670B">
        <w:rPr>
          <w:rFonts w:eastAsia="標楷體" w:hint="eastAsia"/>
          <w:sz w:val="28"/>
          <w:szCs w:val="28"/>
        </w:rPr>
        <w:t>按公允價值衡量</w:t>
      </w:r>
      <w:r w:rsidRPr="00DB670B">
        <w:rPr>
          <w:rFonts w:eastAsia="標楷體" w:hint="eastAsia"/>
          <w:sz w:val="28"/>
          <w:szCs w:val="28"/>
        </w:rPr>
        <w:t>，並按公允價值</w:t>
      </w:r>
      <w:r w:rsidRPr="00DB670B">
        <w:rPr>
          <w:rFonts w:eastAsia="標楷體" w:hint="eastAsia"/>
          <w:sz w:val="28"/>
          <w:szCs w:val="28"/>
        </w:rPr>
        <w:t>CU490,000</w:t>
      </w:r>
      <w:r w:rsidRPr="00DB670B">
        <w:rPr>
          <w:rFonts w:eastAsia="標楷體" w:hint="eastAsia"/>
          <w:sz w:val="28"/>
          <w:szCs w:val="28"/>
        </w:rPr>
        <w:t>衡量，與原</w:t>
      </w:r>
      <w:r w:rsidR="001C3981" w:rsidRPr="00DB670B">
        <w:rPr>
          <w:rFonts w:eastAsia="標楷體" w:hint="eastAsia"/>
          <w:sz w:val="28"/>
          <w:szCs w:val="28"/>
        </w:rPr>
        <w:t>總</w:t>
      </w:r>
      <w:proofErr w:type="gramStart"/>
      <w:r w:rsidR="001C3981" w:rsidRPr="00DB670B">
        <w:rPr>
          <w:rFonts w:eastAsia="標楷體" w:hint="eastAsia"/>
          <w:sz w:val="28"/>
          <w:szCs w:val="28"/>
        </w:rPr>
        <w:t>帳面</w:t>
      </w:r>
      <w:proofErr w:type="gramEnd"/>
      <w:r w:rsidR="001C3981" w:rsidRPr="00DB670B">
        <w:rPr>
          <w:rFonts w:eastAsia="標楷體" w:hint="eastAsia"/>
          <w:sz w:val="28"/>
          <w:szCs w:val="28"/>
        </w:rPr>
        <w:t>金額</w:t>
      </w:r>
      <w:r w:rsidRPr="00DB670B">
        <w:rPr>
          <w:rFonts w:eastAsia="標楷體" w:hint="eastAsia"/>
          <w:sz w:val="28"/>
          <w:szCs w:val="28"/>
        </w:rPr>
        <w:t>之差異</w:t>
      </w:r>
      <w:r w:rsidRPr="00DB670B">
        <w:rPr>
          <w:rFonts w:eastAsia="標楷體" w:hint="eastAsia"/>
          <w:sz w:val="28"/>
          <w:szCs w:val="28"/>
        </w:rPr>
        <w:t>CU</w:t>
      </w:r>
      <w:r w:rsidR="001C3981" w:rsidRPr="00DB670B">
        <w:rPr>
          <w:rFonts w:eastAsia="標楷體" w:hint="eastAsia"/>
          <w:sz w:val="28"/>
          <w:szCs w:val="28"/>
        </w:rPr>
        <w:t>10</w:t>
      </w:r>
      <w:r w:rsidRPr="00DB670B">
        <w:rPr>
          <w:rFonts w:eastAsia="標楷體" w:hint="eastAsia"/>
          <w:sz w:val="28"/>
          <w:szCs w:val="28"/>
        </w:rPr>
        <w:t>,000</w:t>
      </w:r>
      <w:r w:rsidRPr="00DB670B">
        <w:rPr>
          <w:rFonts w:eastAsia="標楷體" w:hint="eastAsia"/>
          <w:sz w:val="28"/>
          <w:szCs w:val="28"/>
        </w:rPr>
        <w:t>（</w:t>
      </w:r>
      <w:r w:rsidRPr="00DB670B">
        <w:rPr>
          <w:rFonts w:eastAsia="標楷體" w:hint="eastAsia"/>
          <w:sz w:val="28"/>
          <w:szCs w:val="28"/>
        </w:rPr>
        <w:t>CU490,000-CU500,000</w:t>
      </w:r>
      <w:r w:rsidRPr="00DB670B">
        <w:rPr>
          <w:rFonts w:eastAsia="標楷體" w:hint="eastAsia"/>
          <w:sz w:val="28"/>
          <w:szCs w:val="28"/>
        </w:rPr>
        <w:t>）認列為其他綜合損益。有效利率及</w:t>
      </w:r>
      <w:r w:rsidR="00F202ED" w:rsidRPr="00DB670B">
        <w:rPr>
          <w:rFonts w:eastAsia="標楷體" w:hint="eastAsia"/>
          <w:sz w:val="28"/>
          <w:szCs w:val="28"/>
        </w:rPr>
        <w:t>已</w:t>
      </w:r>
      <w:proofErr w:type="gramStart"/>
      <w:r w:rsidR="00F202ED" w:rsidRPr="00DB670B">
        <w:rPr>
          <w:rFonts w:eastAsia="標楷體" w:hint="eastAsia"/>
          <w:sz w:val="28"/>
          <w:szCs w:val="28"/>
        </w:rPr>
        <w:t>認列</w:t>
      </w:r>
      <w:r w:rsidRPr="00DB670B">
        <w:rPr>
          <w:rFonts w:eastAsia="標楷體" w:hint="eastAsia"/>
          <w:sz w:val="28"/>
          <w:szCs w:val="28"/>
        </w:rPr>
        <w:t>減損</w:t>
      </w:r>
      <w:proofErr w:type="gramEnd"/>
      <w:r w:rsidRPr="00DB670B">
        <w:rPr>
          <w:rFonts w:eastAsia="標楷體" w:hint="eastAsia"/>
          <w:sz w:val="28"/>
          <w:szCs w:val="28"/>
        </w:rPr>
        <w:t>維持不變，備抵損失</w:t>
      </w:r>
      <w:r w:rsidRPr="00DB670B">
        <w:rPr>
          <w:rFonts w:eastAsia="標楷體" w:hint="eastAsia"/>
          <w:sz w:val="28"/>
          <w:szCs w:val="28"/>
        </w:rPr>
        <w:t>CU6,000</w:t>
      </w:r>
      <w:r w:rsidRPr="00DB670B">
        <w:rPr>
          <w:rFonts w:eastAsia="標楷體" w:hint="eastAsia"/>
          <w:sz w:val="28"/>
          <w:szCs w:val="28"/>
        </w:rPr>
        <w:t>轉列為其他綜合損益。</w:t>
      </w:r>
      <w:r w:rsidR="00AA5B1A" w:rsidRPr="00DB670B">
        <w:rPr>
          <w:rFonts w:eastAsia="標楷體" w:hint="eastAsia"/>
          <w:sz w:val="28"/>
          <w:szCs w:val="28"/>
        </w:rPr>
        <w:t>重分類日分錄如下：</w:t>
      </w:r>
    </w:p>
    <w:tbl>
      <w:tblPr>
        <w:tblW w:w="5082" w:type="pct"/>
        <w:tblCellMar>
          <w:left w:w="0" w:type="dxa"/>
          <w:right w:w="0" w:type="dxa"/>
        </w:tblCellMar>
        <w:tblLook w:val="0600"/>
      </w:tblPr>
      <w:tblGrid>
        <w:gridCol w:w="5419"/>
        <w:gridCol w:w="1588"/>
        <w:gridCol w:w="1588"/>
      </w:tblGrid>
      <w:tr w:rsidR="00AA5B1A" w:rsidRPr="00AB190E" w:rsidTr="00D55590">
        <w:trPr>
          <w:trHeight w:val="263"/>
        </w:trPr>
        <w:tc>
          <w:tcPr>
            <w:tcW w:w="3152" w:type="pct"/>
            <w:shd w:val="clear" w:color="auto" w:fill="auto"/>
            <w:tcMar>
              <w:top w:w="72" w:type="dxa"/>
              <w:left w:w="144" w:type="dxa"/>
              <w:bottom w:w="72" w:type="dxa"/>
              <w:right w:w="144" w:type="dxa"/>
            </w:tcMar>
            <w:hideMark/>
          </w:tcPr>
          <w:p w:rsidR="00923279" w:rsidRPr="00AB190E" w:rsidRDefault="00ED6C48" w:rsidP="000D0CF7">
            <w:pPr>
              <w:spacing w:line="500" w:lineRule="exact"/>
              <w:jc w:val="both"/>
              <w:rPr>
                <w:rFonts w:eastAsia="標楷體"/>
                <w:szCs w:val="32"/>
              </w:rPr>
            </w:pPr>
            <w:r w:rsidRPr="00AB190E">
              <w:rPr>
                <w:rFonts w:eastAsia="標楷體" w:hint="eastAsia"/>
                <w:szCs w:val="32"/>
              </w:rPr>
              <w:t>透過其他綜合損益按公允價值衡量之金融資產</w:t>
            </w:r>
            <w:proofErr w:type="gramStart"/>
            <w:r w:rsidRPr="00AB190E">
              <w:rPr>
                <w:rFonts w:eastAsia="標楷體"/>
                <w:szCs w:val="32"/>
              </w:rPr>
              <w:t>—</w:t>
            </w:r>
            <w:proofErr w:type="gramEnd"/>
            <w:r w:rsidRPr="00AB190E">
              <w:rPr>
                <w:rFonts w:eastAsia="標楷體" w:hint="eastAsia"/>
                <w:szCs w:val="32"/>
              </w:rPr>
              <w:t>債券</w:t>
            </w:r>
          </w:p>
        </w:tc>
        <w:tc>
          <w:tcPr>
            <w:tcW w:w="924" w:type="pct"/>
            <w:shd w:val="clear" w:color="auto" w:fill="auto"/>
            <w:tcMar>
              <w:top w:w="72" w:type="dxa"/>
              <w:left w:w="144" w:type="dxa"/>
              <w:bottom w:w="72" w:type="dxa"/>
              <w:right w:w="144" w:type="dxa"/>
            </w:tcMar>
            <w:hideMark/>
          </w:tcPr>
          <w:p w:rsidR="00AA5B1A" w:rsidRPr="00AB190E" w:rsidRDefault="00AA5B1A" w:rsidP="000D0CF7">
            <w:pPr>
              <w:spacing w:line="500" w:lineRule="exact"/>
              <w:jc w:val="right"/>
              <w:rPr>
                <w:rFonts w:eastAsia="標楷體"/>
                <w:szCs w:val="32"/>
              </w:rPr>
            </w:pPr>
            <w:r w:rsidRPr="00AB190E">
              <w:rPr>
                <w:rFonts w:eastAsia="標楷體"/>
                <w:szCs w:val="32"/>
              </w:rPr>
              <w:t>490,000</w:t>
            </w:r>
          </w:p>
        </w:tc>
        <w:tc>
          <w:tcPr>
            <w:tcW w:w="924" w:type="pct"/>
          </w:tcPr>
          <w:p w:rsidR="00AA5B1A" w:rsidRPr="00AB190E" w:rsidRDefault="00AA5B1A" w:rsidP="000D0CF7">
            <w:pPr>
              <w:spacing w:line="500" w:lineRule="exact"/>
              <w:jc w:val="right"/>
              <w:rPr>
                <w:rFonts w:eastAsia="標楷體"/>
                <w:szCs w:val="32"/>
              </w:rPr>
            </w:pPr>
          </w:p>
        </w:tc>
      </w:tr>
      <w:tr w:rsidR="00AA5B1A" w:rsidRPr="00AB190E" w:rsidTr="00D55590">
        <w:trPr>
          <w:trHeight w:val="336"/>
        </w:trPr>
        <w:tc>
          <w:tcPr>
            <w:tcW w:w="3152" w:type="pct"/>
            <w:shd w:val="clear" w:color="auto" w:fill="auto"/>
            <w:tcMar>
              <w:top w:w="72" w:type="dxa"/>
              <w:left w:w="144" w:type="dxa"/>
              <w:bottom w:w="72" w:type="dxa"/>
              <w:right w:w="144" w:type="dxa"/>
            </w:tcMar>
          </w:tcPr>
          <w:p w:rsidR="00AA5B1A" w:rsidRPr="00AB190E" w:rsidRDefault="00AA5B1A" w:rsidP="000D0CF7">
            <w:pPr>
              <w:spacing w:line="500" w:lineRule="exact"/>
              <w:jc w:val="both"/>
              <w:rPr>
                <w:rFonts w:eastAsia="標楷體"/>
                <w:szCs w:val="32"/>
              </w:rPr>
            </w:pPr>
            <w:r w:rsidRPr="00AB190E">
              <w:rPr>
                <w:rFonts w:eastAsia="標楷體" w:hint="eastAsia"/>
                <w:szCs w:val="32"/>
              </w:rPr>
              <w:t>其他綜合損益</w:t>
            </w:r>
            <w:proofErr w:type="gramStart"/>
            <w:r w:rsidRPr="00AB190E">
              <w:rPr>
                <w:rFonts w:eastAsia="標楷體"/>
                <w:szCs w:val="32"/>
              </w:rPr>
              <w:t>—</w:t>
            </w:r>
            <w:proofErr w:type="gramEnd"/>
            <w:r w:rsidRPr="00AB190E">
              <w:rPr>
                <w:rFonts w:eastAsia="標楷體" w:hint="eastAsia"/>
                <w:szCs w:val="32"/>
              </w:rPr>
              <w:t>公允價值變動</w:t>
            </w:r>
          </w:p>
        </w:tc>
        <w:tc>
          <w:tcPr>
            <w:tcW w:w="924" w:type="pct"/>
            <w:shd w:val="clear" w:color="auto" w:fill="auto"/>
            <w:tcMar>
              <w:top w:w="72" w:type="dxa"/>
              <w:left w:w="144" w:type="dxa"/>
              <w:bottom w:w="72" w:type="dxa"/>
              <w:right w:w="144" w:type="dxa"/>
            </w:tcMar>
          </w:tcPr>
          <w:p w:rsidR="00AA5B1A" w:rsidRPr="00AB190E" w:rsidRDefault="00AA5B1A" w:rsidP="000D0CF7">
            <w:pPr>
              <w:spacing w:line="500" w:lineRule="exact"/>
              <w:jc w:val="right"/>
              <w:rPr>
                <w:rFonts w:eastAsia="標楷體"/>
                <w:szCs w:val="32"/>
              </w:rPr>
            </w:pPr>
            <w:r w:rsidRPr="00AB190E">
              <w:rPr>
                <w:rFonts w:eastAsia="標楷體" w:hint="eastAsia"/>
                <w:szCs w:val="32"/>
              </w:rPr>
              <w:t>10,000</w:t>
            </w:r>
          </w:p>
        </w:tc>
        <w:tc>
          <w:tcPr>
            <w:tcW w:w="924" w:type="pct"/>
          </w:tcPr>
          <w:p w:rsidR="00AA5B1A" w:rsidRPr="00AB190E" w:rsidRDefault="00AA5B1A" w:rsidP="000D0CF7">
            <w:pPr>
              <w:spacing w:line="500" w:lineRule="exact"/>
              <w:jc w:val="right"/>
              <w:rPr>
                <w:rFonts w:eastAsia="標楷體"/>
                <w:szCs w:val="32"/>
              </w:rPr>
            </w:pPr>
          </w:p>
        </w:tc>
      </w:tr>
      <w:tr w:rsidR="00AA5B1A" w:rsidRPr="00AB190E" w:rsidTr="00D55590">
        <w:trPr>
          <w:trHeight w:val="336"/>
        </w:trPr>
        <w:tc>
          <w:tcPr>
            <w:tcW w:w="3152" w:type="pct"/>
            <w:shd w:val="clear" w:color="auto" w:fill="auto"/>
            <w:tcMar>
              <w:top w:w="72" w:type="dxa"/>
              <w:left w:w="144" w:type="dxa"/>
              <w:bottom w:w="72" w:type="dxa"/>
              <w:right w:w="144" w:type="dxa"/>
            </w:tcMar>
          </w:tcPr>
          <w:p w:rsidR="00AA5B1A" w:rsidRPr="00AB190E" w:rsidRDefault="00ED6C48" w:rsidP="000D0CF7">
            <w:pPr>
              <w:spacing w:line="500" w:lineRule="exact"/>
              <w:ind w:firstLineChars="200" w:firstLine="480"/>
              <w:jc w:val="both"/>
              <w:rPr>
                <w:rFonts w:eastAsia="標楷體"/>
                <w:szCs w:val="32"/>
              </w:rPr>
            </w:pPr>
            <w:proofErr w:type="gramStart"/>
            <w:r w:rsidRPr="00AB190E">
              <w:rPr>
                <w:rFonts w:eastAsia="標楷體" w:hint="eastAsia"/>
                <w:szCs w:val="32"/>
              </w:rPr>
              <w:t>按攤銷後</w:t>
            </w:r>
            <w:proofErr w:type="gramEnd"/>
            <w:r w:rsidRPr="00AB190E">
              <w:rPr>
                <w:rFonts w:eastAsia="標楷體" w:hint="eastAsia"/>
                <w:szCs w:val="32"/>
              </w:rPr>
              <w:t>成本衡量之金融資產</w:t>
            </w:r>
            <w:proofErr w:type="gramStart"/>
            <w:r w:rsidRPr="00AB190E">
              <w:rPr>
                <w:rFonts w:eastAsia="標楷體"/>
                <w:szCs w:val="32"/>
              </w:rPr>
              <w:t>—</w:t>
            </w:r>
            <w:proofErr w:type="gramEnd"/>
            <w:r w:rsidRPr="00AB190E">
              <w:rPr>
                <w:rFonts w:eastAsia="標楷體" w:hint="eastAsia"/>
                <w:szCs w:val="32"/>
              </w:rPr>
              <w:t>債券</w:t>
            </w:r>
          </w:p>
        </w:tc>
        <w:tc>
          <w:tcPr>
            <w:tcW w:w="924" w:type="pct"/>
            <w:shd w:val="clear" w:color="auto" w:fill="auto"/>
            <w:tcMar>
              <w:top w:w="72" w:type="dxa"/>
              <w:left w:w="144" w:type="dxa"/>
              <w:bottom w:w="72" w:type="dxa"/>
              <w:right w:w="144" w:type="dxa"/>
            </w:tcMar>
          </w:tcPr>
          <w:p w:rsidR="00AA5B1A" w:rsidRPr="00AB190E" w:rsidRDefault="00AA5B1A" w:rsidP="000D0CF7">
            <w:pPr>
              <w:spacing w:line="500" w:lineRule="exact"/>
              <w:jc w:val="right"/>
              <w:rPr>
                <w:rFonts w:eastAsia="標楷體"/>
                <w:szCs w:val="32"/>
              </w:rPr>
            </w:pPr>
          </w:p>
        </w:tc>
        <w:tc>
          <w:tcPr>
            <w:tcW w:w="924" w:type="pct"/>
          </w:tcPr>
          <w:p w:rsidR="00AA5B1A" w:rsidRPr="00AB190E" w:rsidRDefault="00AA5B1A" w:rsidP="000D0CF7">
            <w:pPr>
              <w:spacing w:line="500" w:lineRule="exact"/>
              <w:jc w:val="right"/>
              <w:rPr>
                <w:rFonts w:eastAsia="標楷體"/>
                <w:szCs w:val="32"/>
              </w:rPr>
            </w:pPr>
            <w:r w:rsidRPr="00AB190E">
              <w:rPr>
                <w:rFonts w:eastAsia="標楷體" w:hint="eastAsia"/>
                <w:szCs w:val="32"/>
              </w:rPr>
              <w:t>500,000</w:t>
            </w:r>
          </w:p>
        </w:tc>
      </w:tr>
      <w:tr w:rsidR="001C3981" w:rsidRPr="00AB190E" w:rsidTr="00C20846">
        <w:trPr>
          <w:trHeight w:val="186"/>
        </w:trPr>
        <w:tc>
          <w:tcPr>
            <w:tcW w:w="3152" w:type="pct"/>
            <w:shd w:val="clear" w:color="auto" w:fill="auto"/>
            <w:tcMar>
              <w:top w:w="72" w:type="dxa"/>
              <w:left w:w="144" w:type="dxa"/>
              <w:bottom w:w="72" w:type="dxa"/>
              <w:right w:w="144" w:type="dxa"/>
            </w:tcMar>
            <w:hideMark/>
          </w:tcPr>
          <w:p w:rsidR="001C3981" w:rsidRPr="00AB190E" w:rsidRDefault="001C3981" w:rsidP="000D0CF7">
            <w:pPr>
              <w:spacing w:line="500" w:lineRule="exact"/>
              <w:jc w:val="both"/>
              <w:rPr>
                <w:rFonts w:eastAsia="標楷體"/>
                <w:szCs w:val="32"/>
              </w:rPr>
            </w:pPr>
            <w:r w:rsidRPr="00AB190E">
              <w:rPr>
                <w:rFonts w:eastAsia="標楷體" w:hint="eastAsia"/>
                <w:szCs w:val="32"/>
              </w:rPr>
              <w:t>備抵損失</w:t>
            </w:r>
          </w:p>
        </w:tc>
        <w:tc>
          <w:tcPr>
            <w:tcW w:w="924" w:type="pct"/>
            <w:shd w:val="clear" w:color="auto" w:fill="auto"/>
            <w:tcMar>
              <w:top w:w="72" w:type="dxa"/>
              <w:left w:w="144" w:type="dxa"/>
              <w:bottom w:w="72" w:type="dxa"/>
              <w:right w:w="144" w:type="dxa"/>
            </w:tcMar>
            <w:hideMark/>
          </w:tcPr>
          <w:p w:rsidR="001C3981" w:rsidRPr="00AB190E" w:rsidRDefault="001C3981" w:rsidP="000D0CF7">
            <w:pPr>
              <w:spacing w:line="500" w:lineRule="exact"/>
              <w:jc w:val="right"/>
              <w:rPr>
                <w:rFonts w:eastAsia="標楷體"/>
                <w:szCs w:val="32"/>
              </w:rPr>
            </w:pPr>
            <w:r w:rsidRPr="00AB190E">
              <w:rPr>
                <w:rFonts w:eastAsia="標楷體"/>
                <w:szCs w:val="32"/>
              </w:rPr>
              <w:t>6,000</w:t>
            </w:r>
          </w:p>
        </w:tc>
        <w:tc>
          <w:tcPr>
            <w:tcW w:w="924" w:type="pct"/>
          </w:tcPr>
          <w:p w:rsidR="001C3981" w:rsidRPr="00AB190E" w:rsidRDefault="001C3981" w:rsidP="000D0CF7">
            <w:pPr>
              <w:spacing w:line="500" w:lineRule="exact"/>
              <w:jc w:val="right"/>
              <w:rPr>
                <w:rFonts w:eastAsia="標楷體"/>
                <w:szCs w:val="32"/>
              </w:rPr>
            </w:pPr>
          </w:p>
        </w:tc>
      </w:tr>
      <w:tr w:rsidR="00AA5B1A" w:rsidRPr="00E570B5" w:rsidTr="00AA5B1A">
        <w:trPr>
          <w:trHeight w:val="336"/>
        </w:trPr>
        <w:tc>
          <w:tcPr>
            <w:tcW w:w="3152" w:type="pct"/>
            <w:shd w:val="clear" w:color="auto" w:fill="auto"/>
            <w:tcMar>
              <w:top w:w="72" w:type="dxa"/>
              <w:left w:w="144" w:type="dxa"/>
              <w:bottom w:w="72" w:type="dxa"/>
              <w:right w:w="144" w:type="dxa"/>
            </w:tcMar>
          </w:tcPr>
          <w:p w:rsidR="00AA5B1A" w:rsidRPr="00AB190E" w:rsidRDefault="00AA5B1A" w:rsidP="000D0CF7">
            <w:pPr>
              <w:spacing w:line="500" w:lineRule="exact"/>
              <w:ind w:firstLineChars="200" w:firstLine="480"/>
              <w:jc w:val="both"/>
              <w:rPr>
                <w:rFonts w:eastAsia="標楷體"/>
                <w:szCs w:val="32"/>
              </w:rPr>
            </w:pPr>
            <w:r w:rsidRPr="00AB190E">
              <w:rPr>
                <w:rFonts w:eastAsia="標楷體" w:hint="eastAsia"/>
                <w:szCs w:val="32"/>
              </w:rPr>
              <w:t>其他綜合損益</w:t>
            </w:r>
            <w:proofErr w:type="gramStart"/>
            <w:r w:rsidRPr="00AB190E">
              <w:rPr>
                <w:rFonts w:eastAsia="標楷體"/>
                <w:szCs w:val="32"/>
              </w:rPr>
              <w:t>—</w:t>
            </w:r>
            <w:proofErr w:type="gramEnd"/>
            <w:r w:rsidRPr="00AB190E">
              <w:rPr>
                <w:rFonts w:eastAsia="標楷體" w:hint="eastAsia"/>
                <w:szCs w:val="32"/>
              </w:rPr>
              <w:t>累計減損金額</w:t>
            </w:r>
          </w:p>
        </w:tc>
        <w:tc>
          <w:tcPr>
            <w:tcW w:w="924" w:type="pct"/>
            <w:shd w:val="clear" w:color="auto" w:fill="auto"/>
            <w:tcMar>
              <w:top w:w="72" w:type="dxa"/>
              <w:left w:w="144" w:type="dxa"/>
              <w:bottom w:w="72" w:type="dxa"/>
              <w:right w:w="144" w:type="dxa"/>
            </w:tcMar>
          </w:tcPr>
          <w:p w:rsidR="00AA5B1A" w:rsidRPr="00AB190E" w:rsidRDefault="00AA5B1A" w:rsidP="000D0CF7">
            <w:pPr>
              <w:spacing w:line="500" w:lineRule="exact"/>
              <w:jc w:val="right"/>
              <w:rPr>
                <w:rFonts w:eastAsia="標楷體"/>
                <w:szCs w:val="32"/>
              </w:rPr>
            </w:pPr>
          </w:p>
        </w:tc>
        <w:tc>
          <w:tcPr>
            <w:tcW w:w="924" w:type="pct"/>
          </w:tcPr>
          <w:p w:rsidR="00AA5B1A" w:rsidRPr="00E570B5" w:rsidRDefault="00AA5B1A" w:rsidP="000D0CF7">
            <w:pPr>
              <w:spacing w:line="500" w:lineRule="exact"/>
              <w:jc w:val="right"/>
              <w:rPr>
                <w:rFonts w:eastAsia="標楷體"/>
                <w:szCs w:val="32"/>
              </w:rPr>
            </w:pPr>
            <w:r w:rsidRPr="00AB190E">
              <w:rPr>
                <w:rFonts w:eastAsia="標楷體" w:hint="eastAsia"/>
                <w:szCs w:val="32"/>
              </w:rPr>
              <w:t>6,000</w:t>
            </w:r>
          </w:p>
        </w:tc>
      </w:tr>
    </w:tbl>
    <w:p w:rsidR="005A11AC" w:rsidRPr="00DB670B" w:rsidRDefault="009E3874" w:rsidP="000D0CF7">
      <w:pPr>
        <w:spacing w:line="500" w:lineRule="exact"/>
        <w:jc w:val="both"/>
        <w:rPr>
          <w:rFonts w:eastAsia="標楷體"/>
          <w:sz w:val="28"/>
          <w:szCs w:val="28"/>
        </w:rPr>
      </w:pPr>
      <w:r w:rsidRPr="00DB670B">
        <w:rPr>
          <w:rFonts w:eastAsia="標楷體" w:hint="eastAsia"/>
          <w:sz w:val="28"/>
          <w:szCs w:val="28"/>
        </w:rPr>
        <w:t>情境</w:t>
      </w:r>
      <w:r w:rsidRPr="00DB670B">
        <w:rPr>
          <w:rFonts w:eastAsia="標楷體" w:hint="eastAsia"/>
          <w:sz w:val="28"/>
          <w:szCs w:val="28"/>
        </w:rPr>
        <w:t>4</w:t>
      </w:r>
      <w:r w:rsidRPr="00DB670B">
        <w:rPr>
          <w:rFonts w:eastAsia="標楷體" w:hint="eastAsia"/>
          <w:sz w:val="28"/>
          <w:szCs w:val="28"/>
        </w:rPr>
        <w:t>：衡量種類自透過其他綜合損益按公允價值衡量重分類</w:t>
      </w:r>
      <w:proofErr w:type="gramStart"/>
      <w:r w:rsidRPr="00DB670B">
        <w:rPr>
          <w:rFonts w:eastAsia="標楷體" w:hint="eastAsia"/>
          <w:sz w:val="28"/>
          <w:szCs w:val="28"/>
        </w:rPr>
        <w:t>至按攤銷後</w:t>
      </w:r>
      <w:proofErr w:type="gramEnd"/>
      <w:r w:rsidRPr="00DB670B">
        <w:rPr>
          <w:rFonts w:eastAsia="標楷體" w:hint="eastAsia"/>
          <w:sz w:val="28"/>
          <w:szCs w:val="28"/>
        </w:rPr>
        <w:t>成本衡量</w:t>
      </w:r>
    </w:p>
    <w:p w:rsidR="009E3874" w:rsidRPr="00DB670B" w:rsidRDefault="009E3874" w:rsidP="000D0CF7">
      <w:pPr>
        <w:spacing w:line="500" w:lineRule="exact"/>
        <w:jc w:val="both"/>
        <w:rPr>
          <w:rFonts w:eastAsia="標楷體"/>
          <w:sz w:val="28"/>
          <w:szCs w:val="28"/>
        </w:rPr>
      </w:pPr>
      <w:r w:rsidRPr="00DB670B">
        <w:rPr>
          <w:rFonts w:eastAsia="標楷體" w:hint="eastAsia"/>
          <w:sz w:val="28"/>
          <w:szCs w:val="28"/>
        </w:rPr>
        <w:t>甲銀行應於重分類日</w:t>
      </w:r>
      <w:r w:rsidR="00655A51" w:rsidRPr="00DB670B">
        <w:rPr>
          <w:rFonts w:eastAsia="標楷體" w:hint="eastAsia"/>
          <w:sz w:val="28"/>
          <w:szCs w:val="28"/>
        </w:rPr>
        <w:t>將該債券組合自透過其他綜合損益按公允價值衡量重分類</w:t>
      </w:r>
      <w:proofErr w:type="gramStart"/>
      <w:r w:rsidR="00655A51" w:rsidRPr="00DB670B">
        <w:rPr>
          <w:rFonts w:eastAsia="標楷體" w:hint="eastAsia"/>
          <w:sz w:val="28"/>
          <w:szCs w:val="28"/>
        </w:rPr>
        <w:t>至按攤銷後</w:t>
      </w:r>
      <w:proofErr w:type="gramEnd"/>
      <w:r w:rsidR="00655A51" w:rsidRPr="00DB670B">
        <w:rPr>
          <w:rFonts w:eastAsia="標楷體" w:hint="eastAsia"/>
          <w:sz w:val="28"/>
          <w:szCs w:val="28"/>
        </w:rPr>
        <w:t>成本衡量，</w:t>
      </w:r>
      <w:r w:rsidR="001E1D85" w:rsidRPr="00DB670B">
        <w:rPr>
          <w:rFonts w:eastAsia="標楷體" w:hint="eastAsia"/>
          <w:sz w:val="28"/>
          <w:szCs w:val="28"/>
        </w:rPr>
        <w:t>並</w:t>
      </w:r>
      <w:r w:rsidRPr="00DB670B">
        <w:rPr>
          <w:rFonts w:eastAsia="標楷體" w:hint="eastAsia"/>
          <w:sz w:val="28"/>
          <w:szCs w:val="28"/>
        </w:rPr>
        <w:t>以公允價值</w:t>
      </w:r>
      <w:r w:rsidRPr="00DB670B">
        <w:rPr>
          <w:rFonts w:eastAsia="標楷體" w:hint="eastAsia"/>
          <w:sz w:val="28"/>
          <w:szCs w:val="28"/>
        </w:rPr>
        <w:t>CU490,000</w:t>
      </w:r>
      <w:r w:rsidRPr="00DB670B">
        <w:rPr>
          <w:rFonts w:eastAsia="標楷體" w:hint="eastAsia"/>
          <w:sz w:val="28"/>
          <w:szCs w:val="28"/>
        </w:rPr>
        <w:t>調整權益下之累積公允價值變動數</w:t>
      </w:r>
      <w:r w:rsidRPr="00DB670B">
        <w:rPr>
          <w:rFonts w:eastAsia="標楷體" w:hint="eastAsia"/>
          <w:sz w:val="28"/>
          <w:szCs w:val="28"/>
        </w:rPr>
        <w:t>CU10,000</w:t>
      </w:r>
      <w:r w:rsidRPr="00DB670B">
        <w:rPr>
          <w:rFonts w:eastAsia="標楷體" w:hint="eastAsia"/>
          <w:sz w:val="28"/>
          <w:szCs w:val="28"/>
        </w:rPr>
        <w:t>後之金額</w:t>
      </w:r>
      <w:r w:rsidRPr="00DB670B">
        <w:rPr>
          <w:rFonts w:eastAsia="標楷體" w:hint="eastAsia"/>
          <w:sz w:val="28"/>
          <w:szCs w:val="28"/>
        </w:rPr>
        <w:t>CU500,000</w:t>
      </w:r>
      <w:r w:rsidRPr="00DB670B">
        <w:rPr>
          <w:rFonts w:eastAsia="標楷體" w:hint="eastAsia"/>
          <w:sz w:val="28"/>
          <w:szCs w:val="28"/>
        </w:rPr>
        <w:t>作為總帳面金額</w:t>
      </w:r>
      <w:r w:rsidRPr="00DB670B">
        <w:rPr>
          <w:rFonts w:eastAsia="標楷體" w:hint="eastAsia"/>
          <w:sz w:val="28"/>
          <w:szCs w:val="28"/>
        </w:rPr>
        <w:t>(</w:t>
      </w:r>
      <w:r w:rsidRPr="00DB670B">
        <w:rPr>
          <w:rFonts w:eastAsia="標楷體" w:hint="eastAsia"/>
          <w:sz w:val="28"/>
          <w:szCs w:val="28"/>
        </w:rPr>
        <w:t>如同自始</w:t>
      </w:r>
      <w:proofErr w:type="gramStart"/>
      <w:r w:rsidRPr="00DB670B">
        <w:rPr>
          <w:rFonts w:eastAsia="標楷體" w:hint="eastAsia"/>
          <w:sz w:val="28"/>
          <w:szCs w:val="28"/>
        </w:rPr>
        <w:t>以攤銷後</w:t>
      </w:r>
      <w:proofErr w:type="gramEnd"/>
      <w:r w:rsidRPr="00DB670B">
        <w:rPr>
          <w:rFonts w:eastAsia="標楷體" w:hint="eastAsia"/>
          <w:sz w:val="28"/>
          <w:szCs w:val="28"/>
        </w:rPr>
        <w:t>成本衡量</w:t>
      </w:r>
      <w:r w:rsidRPr="00DB670B">
        <w:rPr>
          <w:rFonts w:eastAsia="標楷體" w:hint="eastAsia"/>
          <w:sz w:val="28"/>
          <w:szCs w:val="28"/>
        </w:rPr>
        <w:t>)</w:t>
      </w:r>
      <w:r w:rsidRPr="00DB670B">
        <w:rPr>
          <w:rFonts w:eastAsia="標楷體" w:hint="eastAsia"/>
          <w:sz w:val="28"/>
          <w:szCs w:val="28"/>
        </w:rPr>
        <w:t>。有效利率及</w:t>
      </w:r>
      <w:r w:rsidR="00EB1EB1" w:rsidRPr="00DB670B">
        <w:rPr>
          <w:rFonts w:eastAsia="標楷體" w:hint="eastAsia"/>
          <w:sz w:val="28"/>
          <w:szCs w:val="28"/>
        </w:rPr>
        <w:t>已</w:t>
      </w:r>
      <w:proofErr w:type="gramStart"/>
      <w:r w:rsidR="00EB1EB1" w:rsidRPr="00DB670B">
        <w:rPr>
          <w:rFonts w:eastAsia="標楷體" w:hint="eastAsia"/>
          <w:sz w:val="28"/>
          <w:szCs w:val="28"/>
        </w:rPr>
        <w:t>認列</w:t>
      </w:r>
      <w:r w:rsidRPr="00DB670B">
        <w:rPr>
          <w:rFonts w:eastAsia="標楷體" w:hint="eastAsia"/>
          <w:sz w:val="28"/>
          <w:szCs w:val="28"/>
        </w:rPr>
        <w:t>減損</w:t>
      </w:r>
      <w:proofErr w:type="gramEnd"/>
      <w:r w:rsidRPr="00DB670B">
        <w:rPr>
          <w:rFonts w:eastAsia="標楷體" w:hint="eastAsia"/>
          <w:sz w:val="28"/>
          <w:szCs w:val="28"/>
        </w:rPr>
        <w:t>維持不變，但已認列之減</w:t>
      </w:r>
      <w:proofErr w:type="gramStart"/>
      <w:r w:rsidRPr="00DB670B">
        <w:rPr>
          <w:rFonts w:eastAsia="標楷體" w:hint="eastAsia"/>
          <w:sz w:val="28"/>
          <w:szCs w:val="28"/>
        </w:rPr>
        <w:t>損</w:t>
      </w:r>
      <w:proofErr w:type="gramEnd"/>
      <w:r w:rsidRPr="00DB670B">
        <w:rPr>
          <w:rFonts w:eastAsia="標楷體" w:hint="eastAsia"/>
          <w:sz w:val="28"/>
          <w:szCs w:val="28"/>
        </w:rPr>
        <w:t>損失</w:t>
      </w:r>
      <w:r w:rsidRPr="00DB670B">
        <w:rPr>
          <w:rFonts w:eastAsia="標楷體" w:hint="eastAsia"/>
          <w:sz w:val="28"/>
          <w:szCs w:val="28"/>
        </w:rPr>
        <w:t>CU6,000</w:t>
      </w:r>
      <w:r w:rsidRPr="00DB670B">
        <w:rPr>
          <w:rFonts w:eastAsia="標楷體" w:hint="eastAsia"/>
          <w:sz w:val="28"/>
          <w:szCs w:val="28"/>
        </w:rPr>
        <w:t>應表達</w:t>
      </w:r>
      <w:r w:rsidR="00D41293" w:rsidRPr="00DB670B">
        <w:rPr>
          <w:rFonts w:eastAsia="標楷體" w:hint="eastAsia"/>
          <w:sz w:val="28"/>
          <w:szCs w:val="28"/>
        </w:rPr>
        <w:t>為</w:t>
      </w:r>
      <w:r w:rsidRPr="00DB670B">
        <w:rPr>
          <w:rFonts w:eastAsia="標楷體" w:hint="eastAsia"/>
          <w:sz w:val="28"/>
          <w:szCs w:val="28"/>
        </w:rPr>
        <w:t>備抵損失。</w:t>
      </w:r>
      <w:r w:rsidR="004D2C1A" w:rsidRPr="00DB670B">
        <w:rPr>
          <w:rFonts w:eastAsia="標楷體" w:hint="eastAsia"/>
          <w:sz w:val="28"/>
          <w:szCs w:val="28"/>
        </w:rPr>
        <w:t>重分類日分錄如</w:t>
      </w:r>
      <w:r w:rsidR="004D2C1A" w:rsidRPr="00DB670B">
        <w:rPr>
          <w:rFonts w:eastAsia="標楷體" w:hint="eastAsia"/>
          <w:sz w:val="28"/>
          <w:szCs w:val="28"/>
        </w:rPr>
        <w:lastRenderedPageBreak/>
        <w:t>下：</w:t>
      </w:r>
    </w:p>
    <w:tbl>
      <w:tblPr>
        <w:tblW w:w="5082" w:type="pct"/>
        <w:tblCellMar>
          <w:left w:w="0" w:type="dxa"/>
          <w:right w:w="0" w:type="dxa"/>
        </w:tblCellMar>
        <w:tblLook w:val="0600"/>
      </w:tblPr>
      <w:tblGrid>
        <w:gridCol w:w="5419"/>
        <w:gridCol w:w="1588"/>
        <w:gridCol w:w="1588"/>
      </w:tblGrid>
      <w:tr w:rsidR="009E3874" w:rsidRPr="00E570B5" w:rsidTr="00D55590">
        <w:trPr>
          <w:trHeight w:val="263"/>
        </w:trPr>
        <w:tc>
          <w:tcPr>
            <w:tcW w:w="3152" w:type="pct"/>
            <w:shd w:val="clear" w:color="auto" w:fill="auto"/>
            <w:tcMar>
              <w:top w:w="72" w:type="dxa"/>
              <w:left w:w="144" w:type="dxa"/>
              <w:bottom w:w="72" w:type="dxa"/>
              <w:right w:w="144" w:type="dxa"/>
            </w:tcMar>
            <w:hideMark/>
          </w:tcPr>
          <w:p w:rsidR="009E3874" w:rsidRPr="003314CA" w:rsidRDefault="003314CA" w:rsidP="000D0CF7">
            <w:pPr>
              <w:spacing w:line="500" w:lineRule="exact"/>
              <w:jc w:val="both"/>
              <w:rPr>
                <w:rFonts w:eastAsia="標楷體"/>
                <w:szCs w:val="32"/>
              </w:rPr>
            </w:pPr>
            <w:proofErr w:type="gramStart"/>
            <w:r w:rsidRPr="00E570B5">
              <w:rPr>
                <w:rFonts w:eastAsia="標楷體" w:hint="eastAsia"/>
                <w:szCs w:val="32"/>
              </w:rPr>
              <w:t>按攤銷後</w:t>
            </w:r>
            <w:proofErr w:type="gramEnd"/>
            <w:r w:rsidRPr="00E570B5">
              <w:rPr>
                <w:rFonts w:eastAsia="標楷體" w:hint="eastAsia"/>
                <w:szCs w:val="32"/>
              </w:rPr>
              <w:t>成本衡量之金融資產</w:t>
            </w:r>
            <w:proofErr w:type="gramStart"/>
            <w:r>
              <w:rPr>
                <w:rFonts w:eastAsia="標楷體"/>
                <w:szCs w:val="32"/>
              </w:rPr>
              <w:t>—</w:t>
            </w:r>
            <w:proofErr w:type="gramEnd"/>
            <w:r w:rsidRPr="00E570B5">
              <w:rPr>
                <w:rFonts w:eastAsia="標楷體" w:hint="eastAsia"/>
                <w:szCs w:val="32"/>
              </w:rPr>
              <w:t>債券</w:t>
            </w:r>
          </w:p>
        </w:tc>
        <w:tc>
          <w:tcPr>
            <w:tcW w:w="924" w:type="pct"/>
            <w:shd w:val="clear" w:color="auto" w:fill="auto"/>
            <w:tcMar>
              <w:top w:w="72" w:type="dxa"/>
              <w:left w:w="144" w:type="dxa"/>
              <w:bottom w:w="72" w:type="dxa"/>
              <w:right w:w="144" w:type="dxa"/>
            </w:tcMar>
            <w:hideMark/>
          </w:tcPr>
          <w:p w:rsidR="009E3874" w:rsidRPr="00E570B5" w:rsidRDefault="009E3874" w:rsidP="000D0CF7">
            <w:pPr>
              <w:spacing w:line="500" w:lineRule="exact"/>
              <w:jc w:val="right"/>
              <w:rPr>
                <w:rFonts w:eastAsia="標楷體"/>
                <w:szCs w:val="32"/>
              </w:rPr>
            </w:pPr>
            <w:r>
              <w:rPr>
                <w:rFonts w:eastAsia="標楷體" w:hint="eastAsia"/>
                <w:szCs w:val="32"/>
              </w:rPr>
              <w:t>50</w:t>
            </w:r>
            <w:r w:rsidRPr="0051733F">
              <w:rPr>
                <w:rFonts w:eastAsia="標楷體"/>
                <w:szCs w:val="32"/>
              </w:rPr>
              <w:t>0,000</w:t>
            </w:r>
          </w:p>
        </w:tc>
        <w:tc>
          <w:tcPr>
            <w:tcW w:w="924" w:type="pct"/>
          </w:tcPr>
          <w:p w:rsidR="009E3874" w:rsidRPr="0051733F" w:rsidRDefault="009E3874" w:rsidP="000D0CF7">
            <w:pPr>
              <w:spacing w:line="500" w:lineRule="exact"/>
              <w:jc w:val="right"/>
              <w:rPr>
                <w:rFonts w:eastAsia="標楷體"/>
                <w:szCs w:val="32"/>
              </w:rPr>
            </w:pPr>
          </w:p>
        </w:tc>
      </w:tr>
      <w:tr w:rsidR="009E3874" w:rsidRPr="00E570B5" w:rsidTr="00D55590">
        <w:trPr>
          <w:trHeight w:val="336"/>
        </w:trPr>
        <w:tc>
          <w:tcPr>
            <w:tcW w:w="3152" w:type="pct"/>
            <w:shd w:val="clear" w:color="auto" w:fill="auto"/>
            <w:tcMar>
              <w:top w:w="72" w:type="dxa"/>
              <w:left w:w="144" w:type="dxa"/>
              <w:bottom w:w="72" w:type="dxa"/>
              <w:right w:w="144" w:type="dxa"/>
            </w:tcMar>
          </w:tcPr>
          <w:p w:rsidR="00196177" w:rsidRDefault="003314CA" w:rsidP="000D0CF7">
            <w:pPr>
              <w:spacing w:line="500" w:lineRule="exact"/>
              <w:ind w:firstLineChars="200" w:firstLine="480"/>
              <w:jc w:val="both"/>
              <w:rPr>
                <w:rFonts w:eastAsia="標楷體"/>
                <w:szCs w:val="32"/>
              </w:rPr>
            </w:pPr>
            <w:r w:rsidRPr="00E570B5">
              <w:rPr>
                <w:rFonts w:eastAsia="標楷體" w:hint="eastAsia"/>
                <w:szCs w:val="32"/>
              </w:rPr>
              <w:t>透過</w:t>
            </w:r>
            <w:r>
              <w:rPr>
                <w:rFonts w:eastAsia="標楷體" w:hint="eastAsia"/>
                <w:szCs w:val="32"/>
              </w:rPr>
              <w:t>其他</w:t>
            </w:r>
            <w:r w:rsidR="00196177">
              <w:rPr>
                <w:rFonts w:eastAsia="標楷體" w:hint="eastAsia"/>
                <w:szCs w:val="32"/>
              </w:rPr>
              <w:t>綜合</w:t>
            </w:r>
            <w:r w:rsidRPr="00E570B5">
              <w:rPr>
                <w:rFonts w:eastAsia="標楷體" w:hint="eastAsia"/>
                <w:szCs w:val="32"/>
              </w:rPr>
              <w:t>損益按公允價值衡量之金融資</w:t>
            </w:r>
          </w:p>
          <w:p w:rsidR="009E3874" w:rsidRPr="0051733F" w:rsidRDefault="003314CA" w:rsidP="000D0CF7">
            <w:pPr>
              <w:spacing w:line="500" w:lineRule="exact"/>
              <w:ind w:firstLineChars="200" w:firstLine="480"/>
              <w:jc w:val="both"/>
              <w:rPr>
                <w:rFonts w:eastAsia="標楷體"/>
                <w:szCs w:val="32"/>
              </w:rPr>
            </w:pPr>
            <w:r w:rsidRPr="00E570B5">
              <w:rPr>
                <w:rFonts w:eastAsia="標楷體" w:hint="eastAsia"/>
                <w:szCs w:val="32"/>
              </w:rPr>
              <w:t>產</w:t>
            </w:r>
            <w:proofErr w:type="gramStart"/>
            <w:r>
              <w:rPr>
                <w:rFonts w:eastAsia="標楷體"/>
                <w:szCs w:val="32"/>
              </w:rPr>
              <w:t>—</w:t>
            </w:r>
            <w:proofErr w:type="gramEnd"/>
            <w:r w:rsidRPr="00E570B5">
              <w:rPr>
                <w:rFonts w:eastAsia="標楷體" w:hint="eastAsia"/>
                <w:szCs w:val="32"/>
              </w:rPr>
              <w:t>債券</w:t>
            </w:r>
          </w:p>
        </w:tc>
        <w:tc>
          <w:tcPr>
            <w:tcW w:w="924" w:type="pct"/>
            <w:shd w:val="clear" w:color="auto" w:fill="auto"/>
            <w:tcMar>
              <w:top w:w="72" w:type="dxa"/>
              <w:left w:w="144" w:type="dxa"/>
              <w:bottom w:w="72" w:type="dxa"/>
              <w:right w:w="144" w:type="dxa"/>
            </w:tcMar>
          </w:tcPr>
          <w:p w:rsidR="009E3874" w:rsidRPr="0051733F" w:rsidRDefault="009E3874" w:rsidP="000D0CF7">
            <w:pPr>
              <w:spacing w:line="500" w:lineRule="exact"/>
              <w:jc w:val="right"/>
              <w:rPr>
                <w:rFonts w:eastAsia="標楷體"/>
                <w:szCs w:val="32"/>
              </w:rPr>
            </w:pPr>
          </w:p>
        </w:tc>
        <w:tc>
          <w:tcPr>
            <w:tcW w:w="924" w:type="pct"/>
          </w:tcPr>
          <w:p w:rsidR="009E3874" w:rsidRPr="0051733F" w:rsidRDefault="009E3874" w:rsidP="000D0CF7">
            <w:pPr>
              <w:spacing w:line="500" w:lineRule="exact"/>
              <w:jc w:val="right"/>
              <w:rPr>
                <w:rFonts w:eastAsia="標楷體"/>
                <w:szCs w:val="32"/>
              </w:rPr>
            </w:pPr>
            <w:r>
              <w:rPr>
                <w:rFonts w:eastAsia="標楷體" w:hint="eastAsia"/>
                <w:szCs w:val="32"/>
              </w:rPr>
              <w:t>49</w:t>
            </w:r>
            <w:r w:rsidRPr="0051733F">
              <w:rPr>
                <w:rFonts w:eastAsia="標楷體" w:hint="eastAsia"/>
                <w:szCs w:val="32"/>
              </w:rPr>
              <w:t>0,000</w:t>
            </w:r>
          </w:p>
        </w:tc>
      </w:tr>
      <w:tr w:rsidR="00711C87" w:rsidRPr="00E570B5" w:rsidTr="008648EB">
        <w:trPr>
          <w:trHeight w:val="336"/>
        </w:trPr>
        <w:tc>
          <w:tcPr>
            <w:tcW w:w="3152" w:type="pct"/>
            <w:shd w:val="clear" w:color="auto" w:fill="auto"/>
            <w:tcMar>
              <w:top w:w="72" w:type="dxa"/>
              <w:left w:w="144" w:type="dxa"/>
              <w:bottom w:w="72" w:type="dxa"/>
              <w:right w:w="144" w:type="dxa"/>
            </w:tcMar>
          </w:tcPr>
          <w:p w:rsidR="00711C87" w:rsidRPr="00E570B5" w:rsidRDefault="00711C87" w:rsidP="000D0CF7">
            <w:pPr>
              <w:spacing w:line="500" w:lineRule="exact"/>
              <w:ind w:firstLineChars="200" w:firstLine="480"/>
              <w:jc w:val="both"/>
              <w:rPr>
                <w:rFonts w:eastAsia="標楷體"/>
                <w:szCs w:val="32"/>
              </w:rPr>
            </w:pPr>
            <w:r w:rsidRPr="00923279">
              <w:rPr>
                <w:rFonts w:eastAsia="標楷體" w:hint="eastAsia"/>
                <w:szCs w:val="32"/>
              </w:rPr>
              <w:t>其他綜合損益</w:t>
            </w:r>
            <w:proofErr w:type="gramStart"/>
            <w:r w:rsidRPr="00AB190E">
              <w:rPr>
                <w:rFonts w:eastAsia="標楷體"/>
                <w:szCs w:val="32"/>
              </w:rPr>
              <w:t>—</w:t>
            </w:r>
            <w:proofErr w:type="gramEnd"/>
            <w:r w:rsidRPr="00AB190E">
              <w:rPr>
                <w:rFonts w:eastAsia="標楷體" w:hint="eastAsia"/>
                <w:szCs w:val="32"/>
              </w:rPr>
              <w:t>公允價值變動</w:t>
            </w:r>
          </w:p>
        </w:tc>
        <w:tc>
          <w:tcPr>
            <w:tcW w:w="924" w:type="pct"/>
            <w:shd w:val="clear" w:color="auto" w:fill="auto"/>
            <w:tcMar>
              <w:top w:w="72" w:type="dxa"/>
              <w:left w:w="144" w:type="dxa"/>
              <w:bottom w:w="72" w:type="dxa"/>
              <w:right w:w="144" w:type="dxa"/>
            </w:tcMar>
          </w:tcPr>
          <w:p w:rsidR="00711C87" w:rsidRPr="00E570B5" w:rsidRDefault="00711C87" w:rsidP="000D0CF7">
            <w:pPr>
              <w:spacing w:line="500" w:lineRule="exact"/>
              <w:jc w:val="right"/>
              <w:rPr>
                <w:rFonts w:eastAsia="標楷體"/>
                <w:szCs w:val="32"/>
              </w:rPr>
            </w:pPr>
          </w:p>
        </w:tc>
        <w:tc>
          <w:tcPr>
            <w:tcW w:w="924" w:type="pct"/>
          </w:tcPr>
          <w:p w:rsidR="00711C87" w:rsidRPr="00E570B5" w:rsidRDefault="00711C87" w:rsidP="000D0CF7">
            <w:pPr>
              <w:spacing w:line="500" w:lineRule="exact"/>
              <w:jc w:val="right"/>
              <w:rPr>
                <w:rFonts w:eastAsia="標楷體"/>
                <w:szCs w:val="32"/>
              </w:rPr>
            </w:pPr>
            <w:r>
              <w:rPr>
                <w:rFonts w:eastAsia="標楷體" w:hint="eastAsia"/>
                <w:szCs w:val="32"/>
              </w:rPr>
              <w:t>10,000</w:t>
            </w:r>
          </w:p>
        </w:tc>
      </w:tr>
      <w:tr w:rsidR="00711C87" w:rsidRPr="00E570B5" w:rsidTr="008C6F51">
        <w:trPr>
          <w:trHeight w:val="336"/>
        </w:trPr>
        <w:tc>
          <w:tcPr>
            <w:tcW w:w="3152" w:type="pct"/>
            <w:shd w:val="clear" w:color="auto" w:fill="auto"/>
            <w:tcMar>
              <w:top w:w="72" w:type="dxa"/>
              <w:left w:w="144" w:type="dxa"/>
              <w:bottom w:w="72" w:type="dxa"/>
              <w:right w:w="144" w:type="dxa"/>
            </w:tcMar>
          </w:tcPr>
          <w:p w:rsidR="00711C87" w:rsidRPr="00AB190E" w:rsidRDefault="00711C87" w:rsidP="000D0CF7">
            <w:pPr>
              <w:spacing w:line="500" w:lineRule="exact"/>
              <w:jc w:val="both"/>
              <w:rPr>
                <w:rFonts w:eastAsia="標楷體"/>
                <w:szCs w:val="32"/>
              </w:rPr>
            </w:pPr>
            <w:r w:rsidRPr="00AB190E">
              <w:rPr>
                <w:rFonts w:eastAsia="標楷體" w:hint="eastAsia"/>
                <w:szCs w:val="32"/>
              </w:rPr>
              <w:t>其他綜合損益</w:t>
            </w:r>
            <w:proofErr w:type="gramStart"/>
            <w:r w:rsidRPr="00AB190E">
              <w:rPr>
                <w:rFonts w:eastAsia="標楷體"/>
                <w:szCs w:val="32"/>
              </w:rPr>
              <w:t>—</w:t>
            </w:r>
            <w:proofErr w:type="gramEnd"/>
            <w:r w:rsidRPr="00AB190E">
              <w:rPr>
                <w:rFonts w:eastAsia="標楷體" w:hint="eastAsia"/>
                <w:szCs w:val="32"/>
              </w:rPr>
              <w:t>累計減損金額</w:t>
            </w:r>
          </w:p>
        </w:tc>
        <w:tc>
          <w:tcPr>
            <w:tcW w:w="924" w:type="pct"/>
            <w:shd w:val="clear" w:color="auto" w:fill="auto"/>
            <w:tcMar>
              <w:top w:w="72" w:type="dxa"/>
              <w:left w:w="144" w:type="dxa"/>
              <w:bottom w:w="72" w:type="dxa"/>
              <w:right w:w="144" w:type="dxa"/>
            </w:tcMar>
          </w:tcPr>
          <w:p w:rsidR="00711C87" w:rsidRPr="00AB190E" w:rsidRDefault="00711C87" w:rsidP="000D0CF7">
            <w:pPr>
              <w:spacing w:line="500" w:lineRule="exact"/>
              <w:jc w:val="right"/>
              <w:rPr>
                <w:rFonts w:eastAsia="標楷體"/>
                <w:szCs w:val="32"/>
              </w:rPr>
            </w:pPr>
            <w:r w:rsidRPr="00AB190E">
              <w:rPr>
                <w:rFonts w:eastAsia="標楷體" w:hint="eastAsia"/>
                <w:szCs w:val="32"/>
              </w:rPr>
              <w:t>6,000</w:t>
            </w:r>
          </w:p>
        </w:tc>
        <w:tc>
          <w:tcPr>
            <w:tcW w:w="924" w:type="pct"/>
          </w:tcPr>
          <w:p w:rsidR="00711C87" w:rsidRPr="00E570B5" w:rsidRDefault="00711C87" w:rsidP="000D0CF7">
            <w:pPr>
              <w:spacing w:line="500" w:lineRule="exact"/>
              <w:jc w:val="right"/>
              <w:rPr>
                <w:rFonts w:eastAsia="標楷體"/>
                <w:szCs w:val="32"/>
              </w:rPr>
            </w:pPr>
          </w:p>
        </w:tc>
      </w:tr>
      <w:tr w:rsidR="009E3874" w:rsidRPr="00E570B5" w:rsidTr="009E3874">
        <w:trPr>
          <w:trHeight w:val="336"/>
        </w:trPr>
        <w:tc>
          <w:tcPr>
            <w:tcW w:w="3152" w:type="pct"/>
            <w:shd w:val="clear" w:color="auto" w:fill="auto"/>
            <w:tcMar>
              <w:top w:w="72" w:type="dxa"/>
              <w:left w:w="144" w:type="dxa"/>
              <w:bottom w:w="72" w:type="dxa"/>
              <w:right w:w="144" w:type="dxa"/>
            </w:tcMar>
          </w:tcPr>
          <w:p w:rsidR="009E3874" w:rsidRPr="00E570B5" w:rsidRDefault="009E3874" w:rsidP="000D0CF7">
            <w:pPr>
              <w:spacing w:line="500" w:lineRule="exact"/>
              <w:ind w:firstLineChars="200" w:firstLine="480"/>
              <w:jc w:val="both"/>
              <w:rPr>
                <w:rFonts w:eastAsia="標楷體"/>
                <w:szCs w:val="32"/>
              </w:rPr>
            </w:pPr>
            <w:r w:rsidRPr="0051733F">
              <w:rPr>
                <w:rFonts w:eastAsia="標楷體" w:hint="eastAsia"/>
                <w:szCs w:val="32"/>
              </w:rPr>
              <w:t>備抵損失</w:t>
            </w:r>
          </w:p>
        </w:tc>
        <w:tc>
          <w:tcPr>
            <w:tcW w:w="924" w:type="pct"/>
            <w:shd w:val="clear" w:color="auto" w:fill="auto"/>
            <w:tcMar>
              <w:top w:w="72" w:type="dxa"/>
              <w:left w:w="144" w:type="dxa"/>
              <w:bottom w:w="72" w:type="dxa"/>
              <w:right w:w="144" w:type="dxa"/>
            </w:tcMar>
          </w:tcPr>
          <w:p w:rsidR="009E3874" w:rsidRPr="00E570B5" w:rsidRDefault="009E3874" w:rsidP="000D0CF7">
            <w:pPr>
              <w:spacing w:line="500" w:lineRule="exact"/>
              <w:jc w:val="right"/>
              <w:rPr>
                <w:rFonts w:eastAsia="標楷體"/>
                <w:szCs w:val="32"/>
              </w:rPr>
            </w:pPr>
          </w:p>
        </w:tc>
        <w:tc>
          <w:tcPr>
            <w:tcW w:w="924" w:type="pct"/>
          </w:tcPr>
          <w:p w:rsidR="009E3874" w:rsidRPr="0051733F" w:rsidRDefault="00B6070A" w:rsidP="000D0CF7">
            <w:pPr>
              <w:spacing w:line="500" w:lineRule="exact"/>
              <w:jc w:val="right"/>
              <w:rPr>
                <w:rFonts w:eastAsia="標楷體"/>
                <w:szCs w:val="32"/>
              </w:rPr>
            </w:pPr>
            <w:r>
              <w:rPr>
                <w:rFonts w:eastAsia="標楷體" w:hint="eastAsia"/>
                <w:szCs w:val="32"/>
              </w:rPr>
              <w:t>6,000</w:t>
            </w:r>
          </w:p>
        </w:tc>
      </w:tr>
    </w:tbl>
    <w:p w:rsidR="009E3874" w:rsidRPr="00DB670B" w:rsidRDefault="00D32BFE" w:rsidP="000D0CF7">
      <w:pPr>
        <w:spacing w:line="500" w:lineRule="exact"/>
        <w:jc w:val="both"/>
        <w:rPr>
          <w:rFonts w:eastAsia="標楷體"/>
          <w:sz w:val="28"/>
          <w:szCs w:val="28"/>
        </w:rPr>
      </w:pPr>
      <w:r w:rsidRPr="00DB670B">
        <w:rPr>
          <w:rFonts w:eastAsia="標楷體" w:hint="eastAsia"/>
          <w:sz w:val="28"/>
          <w:szCs w:val="28"/>
        </w:rPr>
        <w:t>情境</w:t>
      </w:r>
      <w:r w:rsidRPr="00DB670B">
        <w:rPr>
          <w:rFonts w:eastAsia="標楷體" w:hint="eastAsia"/>
          <w:sz w:val="28"/>
          <w:szCs w:val="28"/>
        </w:rPr>
        <w:t>5</w:t>
      </w:r>
      <w:r w:rsidRPr="00DB670B">
        <w:rPr>
          <w:rFonts w:eastAsia="標楷體" w:hint="eastAsia"/>
          <w:sz w:val="28"/>
          <w:szCs w:val="28"/>
        </w:rPr>
        <w:t>：衡量種類自透過損益按公允價值衡量重分類至透過其他綜合損益按公允價值衡量</w:t>
      </w:r>
    </w:p>
    <w:p w:rsidR="00D32BFE" w:rsidRPr="00DB670B" w:rsidRDefault="00D32BFE" w:rsidP="000D0CF7">
      <w:pPr>
        <w:spacing w:line="500" w:lineRule="exact"/>
        <w:jc w:val="both"/>
        <w:rPr>
          <w:rFonts w:eastAsia="標楷體"/>
          <w:sz w:val="28"/>
          <w:szCs w:val="28"/>
        </w:rPr>
      </w:pPr>
      <w:r w:rsidRPr="00DB670B">
        <w:rPr>
          <w:rFonts w:eastAsia="標楷體" w:hint="eastAsia"/>
          <w:sz w:val="28"/>
          <w:szCs w:val="28"/>
        </w:rPr>
        <w:t>甲銀行應於重分類日</w:t>
      </w:r>
      <w:r w:rsidR="00BF40F2" w:rsidRPr="00DB670B">
        <w:rPr>
          <w:rFonts w:eastAsia="標楷體" w:hint="eastAsia"/>
          <w:sz w:val="28"/>
          <w:szCs w:val="28"/>
        </w:rPr>
        <w:t>將該債券組合自透過損益按公允價值衡量重分類至透過其他綜合損益按公允價值衡量，並</w:t>
      </w:r>
      <w:r w:rsidR="00E945A0" w:rsidRPr="00DB670B">
        <w:rPr>
          <w:rFonts w:eastAsia="標楷體" w:hint="eastAsia"/>
          <w:sz w:val="28"/>
          <w:szCs w:val="28"/>
        </w:rPr>
        <w:t>以</w:t>
      </w:r>
      <w:r w:rsidRPr="00DB670B">
        <w:rPr>
          <w:rFonts w:eastAsia="標楷體" w:hint="eastAsia"/>
          <w:sz w:val="28"/>
          <w:szCs w:val="28"/>
        </w:rPr>
        <w:t>公允價值</w:t>
      </w:r>
      <w:r w:rsidR="00493E6F" w:rsidRPr="00DB670B">
        <w:rPr>
          <w:rFonts w:eastAsia="標楷體" w:hint="eastAsia"/>
          <w:sz w:val="28"/>
          <w:szCs w:val="28"/>
        </w:rPr>
        <w:t>CU490,000</w:t>
      </w:r>
      <w:r w:rsidRPr="00DB670B">
        <w:rPr>
          <w:rFonts w:eastAsia="標楷體" w:hint="eastAsia"/>
          <w:sz w:val="28"/>
          <w:szCs w:val="28"/>
        </w:rPr>
        <w:t>作為</w:t>
      </w:r>
      <w:r w:rsidR="00003704" w:rsidRPr="00DB670B">
        <w:rPr>
          <w:rFonts w:eastAsia="標楷體" w:hint="eastAsia"/>
          <w:sz w:val="28"/>
          <w:szCs w:val="28"/>
        </w:rPr>
        <w:t>新</w:t>
      </w:r>
      <w:r w:rsidRPr="00DB670B">
        <w:rPr>
          <w:rFonts w:eastAsia="標楷體" w:hint="eastAsia"/>
          <w:sz w:val="28"/>
          <w:szCs w:val="28"/>
        </w:rPr>
        <w:t>總</w:t>
      </w:r>
      <w:proofErr w:type="gramStart"/>
      <w:r w:rsidRPr="00DB670B">
        <w:rPr>
          <w:rFonts w:eastAsia="標楷體" w:hint="eastAsia"/>
          <w:sz w:val="28"/>
          <w:szCs w:val="28"/>
        </w:rPr>
        <w:t>帳面</w:t>
      </w:r>
      <w:proofErr w:type="gramEnd"/>
      <w:r w:rsidRPr="00DB670B">
        <w:rPr>
          <w:rFonts w:eastAsia="標楷體" w:hint="eastAsia"/>
          <w:sz w:val="28"/>
          <w:szCs w:val="28"/>
        </w:rPr>
        <w:t>金額，並據以決定有效利率及</w:t>
      </w:r>
      <w:r w:rsidR="004D2C1A" w:rsidRPr="00DB670B">
        <w:rPr>
          <w:rFonts w:eastAsia="標楷體" w:hint="eastAsia"/>
          <w:sz w:val="28"/>
          <w:szCs w:val="28"/>
        </w:rPr>
        <w:t>開始</w:t>
      </w:r>
      <w:r w:rsidRPr="00DB670B">
        <w:rPr>
          <w:rFonts w:eastAsia="標楷體" w:hint="eastAsia"/>
          <w:sz w:val="28"/>
          <w:szCs w:val="28"/>
        </w:rPr>
        <w:t>適用減損規定。</w:t>
      </w:r>
      <w:r w:rsidR="004D2C1A" w:rsidRPr="00DB670B">
        <w:rPr>
          <w:rFonts w:eastAsia="標楷體" w:hint="eastAsia"/>
          <w:sz w:val="28"/>
          <w:szCs w:val="28"/>
        </w:rPr>
        <w:t>重分類日分錄如下：</w:t>
      </w:r>
    </w:p>
    <w:tbl>
      <w:tblPr>
        <w:tblW w:w="5082" w:type="pct"/>
        <w:tblCellMar>
          <w:left w:w="0" w:type="dxa"/>
          <w:right w:w="0" w:type="dxa"/>
        </w:tblCellMar>
        <w:tblLook w:val="0600"/>
      </w:tblPr>
      <w:tblGrid>
        <w:gridCol w:w="5419"/>
        <w:gridCol w:w="1588"/>
        <w:gridCol w:w="1588"/>
      </w:tblGrid>
      <w:tr w:rsidR="004D2C1A" w:rsidRPr="00E570B5" w:rsidTr="00D55590">
        <w:trPr>
          <w:trHeight w:val="263"/>
        </w:trPr>
        <w:tc>
          <w:tcPr>
            <w:tcW w:w="3152" w:type="pct"/>
            <w:shd w:val="clear" w:color="auto" w:fill="auto"/>
            <w:tcMar>
              <w:top w:w="72" w:type="dxa"/>
              <w:left w:w="144" w:type="dxa"/>
              <w:bottom w:w="72" w:type="dxa"/>
              <w:right w:w="144" w:type="dxa"/>
            </w:tcMar>
            <w:hideMark/>
          </w:tcPr>
          <w:p w:rsidR="004D2C1A" w:rsidRPr="00E570B5" w:rsidRDefault="007E4A4F" w:rsidP="000D0CF7">
            <w:pPr>
              <w:spacing w:line="500" w:lineRule="exact"/>
              <w:jc w:val="both"/>
              <w:rPr>
                <w:rFonts w:eastAsia="標楷體"/>
                <w:szCs w:val="32"/>
              </w:rPr>
            </w:pPr>
            <w:r w:rsidRPr="00E570B5">
              <w:rPr>
                <w:rFonts w:eastAsia="標楷體" w:hint="eastAsia"/>
                <w:szCs w:val="32"/>
              </w:rPr>
              <w:t>透過</w:t>
            </w:r>
            <w:r>
              <w:rPr>
                <w:rFonts w:eastAsia="標楷體" w:hint="eastAsia"/>
                <w:szCs w:val="32"/>
              </w:rPr>
              <w:t>其他</w:t>
            </w:r>
            <w:r w:rsidR="00196177">
              <w:rPr>
                <w:rFonts w:eastAsia="標楷體" w:hint="eastAsia"/>
                <w:szCs w:val="32"/>
              </w:rPr>
              <w:t>綜合</w:t>
            </w:r>
            <w:r w:rsidRPr="00E570B5">
              <w:rPr>
                <w:rFonts w:eastAsia="標楷體" w:hint="eastAsia"/>
                <w:szCs w:val="32"/>
              </w:rPr>
              <w:t>損益按公允價值衡量之金融資產</w:t>
            </w:r>
            <w:proofErr w:type="gramStart"/>
            <w:r>
              <w:rPr>
                <w:rFonts w:eastAsia="標楷體"/>
                <w:szCs w:val="32"/>
              </w:rPr>
              <w:t>—</w:t>
            </w:r>
            <w:proofErr w:type="gramEnd"/>
            <w:r w:rsidRPr="00E570B5">
              <w:rPr>
                <w:rFonts w:eastAsia="標楷體" w:hint="eastAsia"/>
                <w:szCs w:val="32"/>
              </w:rPr>
              <w:t>債券</w:t>
            </w:r>
          </w:p>
        </w:tc>
        <w:tc>
          <w:tcPr>
            <w:tcW w:w="924" w:type="pct"/>
            <w:shd w:val="clear" w:color="auto" w:fill="auto"/>
            <w:tcMar>
              <w:top w:w="72" w:type="dxa"/>
              <w:left w:w="144" w:type="dxa"/>
              <w:bottom w:w="72" w:type="dxa"/>
              <w:right w:w="144" w:type="dxa"/>
            </w:tcMar>
            <w:hideMark/>
          </w:tcPr>
          <w:p w:rsidR="004D2C1A" w:rsidRPr="00E570B5" w:rsidRDefault="004D2C1A" w:rsidP="000D0CF7">
            <w:pPr>
              <w:spacing w:line="500" w:lineRule="exact"/>
              <w:jc w:val="right"/>
              <w:rPr>
                <w:rFonts w:eastAsia="標楷體"/>
                <w:szCs w:val="32"/>
              </w:rPr>
            </w:pPr>
            <w:r>
              <w:rPr>
                <w:rFonts w:eastAsia="標楷體" w:hint="eastAsia"/>
                <w:szCs w:val="32"/>
              </w:rPr>
              <w:t>49</w:t>
            </w:r>
            <w:r w:rsidRPr="0051733F">
              <w:rPr>
                <w:rFonts w:eastAsia="標楷體"/>
                <w:szCs w:val="32"/>
              </w:rPr>
              <w:t>0,000</w:t>
            </w:r>
          </w:p>
        </w:tc>
        <w:tc>
          <w:tcPr>
            <w:tcW w:w="924" w:type="pct"/>
          </w:tcPr>
          <w:p w:rsidR="004D2C1A" w:rsidRPr="0051733F" w:rsidRDefault="004D2C1A" w:rsidP="000D0CF7">
            <w:pPr>
              <w:spacing w:line="500" w:lineRule="exact"/>
              <w:jc w:val="right"/>
              <w:rPr>
                <w:rFonts w:eastAsia="標楷體"/>
                <w:szCs w:val="32"/>
              </w:rPr>
            </w:pPr>
          </w:p>
        </w:tc>
      </w:tr>
      <w:tr w:rsidR="004D2C1A" w:rsidRPr="00E570B5" w:rsidTr="00D55590">
        <w:trPr>
          <w:trHeight w:val="336"/>
        </w:trPr>
        <w:tc>
          <w:tcPr>
            <w:tcW w:w="3152" w:type="pct"/>
            <w:shd w:val="clear" w:color="auto" w:fill="auto"/>
            <w:tcMar>
              <w:top w:w="72" w:type="dxa"/>
              <w:left w:w="144" w:type="dxa"/>
              <w:bottom w:w="72" w:type="dxa"/>
              <w:right w:w="144" w:type="dxa"/>
            </w:tcMar>
          </w:tcPr>
          <w:p w:rsidR="004D2C1A" w:rsidRPr="0051733F" w:rsidRDefault="007E4A4F" w:rsidP="000D0CF7">
            <w:pPr>
              <w:spacing w:line="500" w:lineRule="exact"/>
              <w:ind w:firstLineChars="200" w:firstLine="480"/>
              <w:jc w:val="both"/>
              <w:rPr>
                <w:rFonts w:eastAsia="標楷體"/>
                <w:szCs w:val="32"/>
              </w:rPr>
            </w:pPr>
            <w:r w:rsidRPr="007E4A4F">
              <w:rPr>
                <w:rFonts w:eastAsia="標楷體" w:hint="eastAsia"/>
                <w:szCs w:val="32"/>
              </w:rPr>
              <w:t>透過損益按公允價值衡量之金融資產</w:t>
            </w:r>
            <w:proofErr w:type="gramStart"/>
            <w:r w:rsidRPr="007E4A4F">
              <w:rPr>
                <w:rFonts w:eastAsia="標楷體" w:hint="eastAsia"/>
                <w:szCs w:val="32"/>
              </w:rPr>
              <w:t>—</w:t>
            </w:r>
            <w:proofErr w:type="gramEnd"/>
            <w:r w:rsidRPr="007E4A4F">
              <w:rPr>
                <w:rFonts w:eastAsia="標楷體" w:hint="eastAsia"/>
                <w:szCs w:val="32"/>
              </w:rPr>
              <w:t>債券</w:t>
            </w:r>
          </w:p>
        </w:tc>
        <w:tc>
          <w:tcPr>
            <w:tcW w:w="924" w:type="pct"/>
            <w:shd w:val="clear" w:color="auto" w:fill="auto"/>
            <w:tcMar>
              <w:top w:w="72" w:type="dxa"/>
              <w:left w:w="144" w:type="dxa"/>
              <w:bottom w:w="72" w:type="dxa"/>
              <w:right w:w="144" w:type="dxa"/>
            </w:tcMar>
          </w:tcPr>
          <w:p w:rsidR="004D2C1A" w:rsidRPr="0051733F" w:rsidRDefault="004D2C1A" w:rsidP="000D0CF7">
            <w:pPr>
              <w:spacing w:line="500" w:lineRule="exact"/>
              <w:jc w:val="right"/>
              <w:rPr>
                <w:rFonts w:eastAsia="標楷體"/>
                <w:szCs w:val="32"/>
              </w:rPr>
            </w:pPr>
          </w:p>
        </w:tc>
        <w:tc>
          <w:tcPr>
            <w:tcW w:w="924" w:type="pct"/>
          </w:tcPr>
          <w:p w:rsidR="004D2C1A" w:rsidRPr="0051733F" w:rsidRDefault="004D2C1A" w:rsidP="000D0CF7">
            <w:pPr>
              <w:spacing w:line="500" w:lineRule="exact"/>
              <w:jc w:val="right"/>
              <w:rPr>
                <w:rFonts w:eastAsia="標楷體"/>
                <w:szCs w:val="32"/>
              </w:rPr>
            </w:pPr>
            <w:r>
              <w:rPr>
                <w:rFonts w:eastAsia="標楷體" w:hint="eastAsia"/>
                <w:szCs w:val="32"/>
              </w:rPr>
              <w:t>49</w:t>
            </w:r>
            <w:r w:rsidRPr="0051733F">
              <w:rPr>
                <w:rFonts w:eastAsia="標楷體" w:hint="eastAsia"/>
                <w:szCs w:val="32"/>
              </w:rPr>
              <w:t>0,000</w:t>
            </w:r>
          </w:p>
        </w:tc>
      </w:tr>
      <w:tr w:rsidR="004D2C1A" w:rsidRPr="00E570B5" w:rsidTr="00D55590">
        <w:trPr>
          <w:trHeight w:val="336"/>
        </w:trPr>
        <w:tc>
          <w:tcPr>
            <w:tcW w:w="3152" w:type="pct"/>
            <w:shd w:val="clear" w:color="auto" w:fill="auto"/>
            <w:tcMar>
              <w:top w:w="72" w:type="dxa"/>
              <w:left w:w="144" w:type="dxa"/>
              <w:bottom w:w="72" w:type="dxa"/>
              <w:right w:w="144" w:type="dxa"/>
            </w:tcMar>
          </w:tcPr>
          <w:p w:rsidR="004D2C1A" w:rsidRPr="00E570B5" w:rsidRDefault="004D2C1A" w:rsidP="000D0CF7">
            <w:pPr>
              <w:spacing w:line="500" w:lineRule="exact"/>
              <w:jc w:val="both"/>
              <w:rPr>
                <w:rFonts w:eastAsia="標楷體"/>
                <w:szCs w:val="32"/>
              </w:rPr>
            </w:pPr>
            <w:r>
              <w:rPr>
                <w:rFonts w:eastAsia="標楷體" w:hint="eastAsia"/>
                <w:szCs w:val="32"/>
              </w:rPr>
              <w:t>減損</w:t>
            </w:r>
            <w:r w:rsidRPr="0051733F">
              <w:rPr>
                <w:rFonts w:eastAsia="標楷體" w:hint="eastAsia"/>
                <w:szCs w:val="32"/>
              </w:rPr>
              <w:t>損失</w:t>
            </w:r>
            <w:r>
              <w:rPr>
                <w:rFonts w:eastAsia="標楷體" w:hint="eastAsia"/>
                <w:szCs w:val="32"/>
              </w:rPr>
              <w:t>（損益）</w:t>
            </w:r>
          </w:p>
        </w:tc>
        <w:tc>
          <w:tcPr>
            <w:tcW w:w="924" w:type="pct"/>
            <w:shd w:val="clear" w:color="auto" w:fill="auto"/>
            <w:tcMar>
              <w:top w:w="72" w:type="dxa"/>
              <w:left w:w="144" w:type="dxa"/>
              <w:bottom w:w="72" w:type="dxa"/>
              <w:right w:w="144" w:type="dxa"/>
            </w:tcMar>
          </w:tcPr>
          <w:p w:rsidR="004D2C1A" w:rsidRPr="00E570B5" w:rsidRDefault="004D2C1A" w:rsidP="000D0CF7">
            <w:pPr>
              <w:spacing w:line="500" w:lineRule="exact"/>
              <w:jc w:val="right"/>
              <w:rPr>
                <w:rFonts w:eastAsia="標楷體"/>
                <w:szCs w:val="32"/>
              </w:rPr>
            </w:pPr>
            <w:r>
              <w:rPr>
                <w:rFonts w:eastAsia="標楷體" w:hint="eastAsia"/>
                <w:szCs w:val="32"/>
              </w:rPr>
              <w:t>4,000</w:t>
            </w:r>
          </w:p>
        </w:tc>
        <w:tc>
          <w:tcPr>
            <w:tcW w:w="924" w:type="pct"/>
          </w:tcPr>
          <w:p w:rsidR="004D2C1A" w:rsidRPr="0051733F" w:rsidRDefault="004D2C1A" w:rsidP="000D0CF7">
            <w:pPr>
              <w:spacing w:line="500" w:lineRule="exact"/>
              <w:jc w:val="right"/>
              <w:rPr>
                <w:rFonts w:eastAsia="標楷體"/>
                <w:szCs w:val="32"/>
              </w:rPr>
            </w:pPr>
          </w:p>
        </w:tc>
      </w:tr>
      <w:tr w:rsidR="004D2C1A" w:rsidRPr="00E570B5" w:rsidTr="00D55590">
        <w:trPr>
          <w:trHeight w:val="336"/>
        </w:trPr>
        <w:tc>
          <w:tcPr>
            <w:tcW w:w="3152" w:type="pct"/>
            <w:shd w:val="clear" w:color="auto" w:fill="auto"/>
            <w:tcMar>
              <w:top w:w="72" w:type="dxa"/>
              <w:left w:w="144" w:type="dxa"/>
              <w:bottom w:w="72" w:type="dxa"/>
              <w:right w:w="144" w:type="dxa"/>
            </w:tcMar>
          </w:tcPr>
          <w:p w:rsidR="004D2C1A" w:rsidRPr="00E824D5" w:rsidRDefault="004D2C1A" w:rsidP="000D0CF7">
            <w:pPr>
              <w:spacing w:line="500" w:lineRule="exact"/>
              <w:ind w:firstLineChars="200" w:firstLine="480"/>
              <w:jc w:val="both"/>
              <w:rPr>
                <w:rFonts w:eastAsia="標楷體"/>
                <w:szCs w:val="32"/>
              </w:rPr>
            </w:pPr>
            <w:r w:rsidRPr="00E824D5">
              <w:rPr>
                <w:rFonts w:eastAsia="標楷體" w:hint="eastAsia"/>
                <w:szCs w:val="32"/>
              </w:rPr>
              <w:t>其他綜合損益</w:t>
            </w:r>
            <w:proofErr w:type="gramStart"/>
            <w:r w:rsidR="009A262E" w:rsidRPr="00AB190E">
              <w:rPr>
                <w:rFonts w:eastAsia="標楷體"/>
                <w:szCs w:val="32"/>
              </w:rPr>
              <w:t>—</w:t>
            </w:r>
            <w:proofErr w:type="gramEnd"/>
            <w:r w:rsidR="009A262E" w:rsidRPr="00AB190E">
              <w:rPr>
                <w:rFonts w:eastAsia="標楷體" w:hint="eastAsia"/>
                <w:szCs w:val="32"/>
              </w:rPr>
              <w:t>累計減損金額</w:t>
            </w:r>
          </w:p>
        </w:tc>
        <w:tc>
          <w:tcPr>
            <w:tcW w:w="924" w:type="pct"/>
            <w:shd w:val="clear" w:color="auto" w:fill="auto"/>
            <w:tcMar>
              <w:top w:w="72" w:type="dxa"/>
              <w:left w:w="144" w:type="dxa"/>
              <w:bottom w:w="72" w:type="dxa"/>
              <w:right w:w="144" w:type="dxa"/>
            </w:tcMar>
          </w:tcPr>
          <w:p w:rsidR="004D2C1A" w:rsidRPr="00E824D5" w:rsidRDefault="004D2C1A" w:rsidP="000D0CF7">
            <w:pPr>
              <w:spacing w:line="500" w:lineRule="exact"/>
              <w:jc w:val="right"/>
              <w:rPr>
                <w:rFonts w:eastAsia="標楷體"/>
                <w:szCs w:val="32"/>
              </w:rPr>
            </w:pPr>
          </w:p>
        </w:tc>
        <w:tc>
          <w:tcPr>
            <w:tcW w:w="924" w:type="pct"/>
          </w:tcPr>
          <w:p w:rsidR="004D2C1A" w:rsidRPr="00E570B5" w:rsidRDefault="004D2C1A" w:rsidP="000D0CF7">
            <w:pPr>
              <w:spacing w:line="500" w:lineRule="exact"/>
              <w:jc w:val="right"/>
              <w:rPr>
                <w:rFonts w:eastAsia="標楷體"/>
                <w:szCs w:val="32"/>
              </w:rPr>
            </w:pPr>
            <w:r w:rsidRPr="00E824D5">
              <w:rPr>
                <w:rFonts w:eastAsia="標楷體" w:hint="eastAsia"/>
                <w:szCs w:val="32"/>
              </w:rPr>
              <w:t>4,000</w:t>
            </w:r>
          </w:p>
        </w:tc>
      </w:tr>
    </w:tbl>
    <w:p w:rsidR="004D2C1A" w:rsidRPr="00DB670B" w:rsidRDefault="00901435" w:rsidP="000D0CF7">
      <w:pPr>
        <w:spacing w:line="500" w:lineRule="exact"/>
        <w:jc w:val="both"/>
        <w:rPr>
          <w:rFonts w:eastAsia="標楷體"/>
          <w:sz w:val="28"/>
          <w:szCs w:val="28"/>
        </w:rPr>
      </w:pPr>
      <w:r w:rsidRPr="00DB670B">
        <w:rPr>
          <w:rFonts w:eastAsia="標楷體" w:hint="eastAsia"/>
          <w:sz w:val="28"/>
          <w:szCs w:val="28"/>
        </w:rPr>
        <w:t>情境</w:t>
      </w:r>
      <w:r w:rsidRPr="00DB670B">
        <w:rPr>
          <w:rFonts w:eastAsia="標楷體" w:hint="eastAsia"/>
          <w:sz w:val="28"/>
          <w:szCs w:val="28"/>
        </w:rPr>
        <w:t>6</w:t>
      </w:r>
      <w:r w:rsidRPr="00DB670B">
        <w:rPr>
          <w:rFonts w:eastAsia="標楷體" w:hint="eastAsia"/>
          <w:sz w:val="28"/>
          <w:szCs w:val="28"/>
        </w:rPr>
        <w:t>：衡量種類自透過其他綜合損益按公允價值衡量重分類至透過損益按公允價值衡量</w:t>
      </w:r>
    </w:p>
    <w:p w:rsidR="00901435" w:rsidRPr="00DB670B" w:rsidRDefault="00BF40F2" w:rsidP="000D0CF7">
      <w:pPr>
        <w:spacing w:line="500" w:lineRule="exact"/>
        <w:jc w:val="both"/>
        <w:rPr>
          <w:rFonts w:eastAsia="標楷體"/>
          <w:sz w:val="28"/>
          <w:szCs w:val="28"/>
        </w:rPr>
      </w:pPr>
      <w:r w:rsidRPr="00DB670B">
        <w:rPr>
          <w:rFonts w:eastAsia="標楷體" w:hint="eastAsia"/>
          <w:sz w:val="28"/>
          <w:szCs w:val="28"/>
        </w:rPr>
        <w:t>甲銀行應於重分類日</w:t>
      </w:r>
      <w:r w:rsidR="00161889" w:rsidRPr="00DB670B">
        <w:rPr>
          <w:rFonts w:eastAsia="標楷體" w:hint="eastAsia"/>
          <w:sz w:val="28"/>
          <w:szCs w:val="28"/>
        </w:rPr>
        <w:t>將該債券組合自透過其他綜合損益按公允價值衡量重分類至透過損益按公允價值衡量，</w:t>
      </w:r>
      <w:r w:rsidR="00906165" w:rsidRPr="00DB670B">
        <w:rPr>
          <w:rFonts w:eastAsia="標楷體" w:hint="eastAsia"/>
          <w:sz w:val="28"/>
          <w:szCs w:val="28"/>
        </w:rPr>
        <w:t>並按公允價值</w:t>
      </w:r>
      <w:r w:rsidR="00906165" w:rsidRPr="00DB670B">
        <w:rPr>
          <w:rFonts w:eastAsia="標楷體" w:hint="eastAsia"/>
          <w:sz w:val="28"/>
          <w:szCs w:val="28"/>
        </w:rPr>
        <w:t>CU490,000</w:t>
      </w:r>
      <w:r w:rsidR="00906165" w:rsidRPr="00DB670B">
        <w:rPr>
          <w:rFonts w:eastAsia="標楷體" w:hint="eastAsia"/>
          <w:sz w:val="28"/>
          <w:szCs w:val="28"/>
        </w:rPr>
        <w:t>衡量</w:t>
      </w:r>
      <w:r w:rsidRPr="00DB670B">
        <w:rPr>
          <w:rFonts w:eastAsia="標楷體" w:hint="eastAsia"/>
          <w:sz w:val="28"/>
          <w:szCs w:val="28"/>
        </w:rPr>
        <w:t>，權益下之累積其他綜合損益</w:t>
      </w:r>
      <w:r w:rsidR="00906165" w:rsidRPr="00DB670B">
        <w:rPr>
          <w:rFonts w:eastAsia="標楷體" w:hint="eastAsia"/>
          <w:sz w:val="28"/>
          <w:szCs w:val="28"/>
        </w:rPr>
        <w:t>CU4,000</w:t>
      </w:r>
      <w:r w:rsidRPr="00DB670B">
        <w:rPr>
          <w:rFonts w:eastAsia="標楷體" w:hint="eastAsia"/>
          <w:sz w:val="28"/>
          <w:szCs w:val="28"/>
        </w:rPr>
        <w:t>應</w:t>
      </w:r>
      <w:r w:rsidR="00906165" w:rsidRPr="00DB670B">
        <w:rPr>
          <w:rFonts w:eastAsia="標楷體" w:hint="eastAsia"/>
          <w:sz w:val="28"/>
          <w:szCs w:val="28"/>
        </w:rPr>
        <w:t>認列為重分類損益</w:t>
      </w:r>
      <w:r w:rsidRPr="00DB670B">
        <w:rPr>
          <w:rFonts w:eastAsia="標楷體" w:hint="eastAsia"/>
          <w:sz w:val="28"/>
          <w:szCs w:val="28"/>
        </w:rPr>
        <w:t>。</w:t>
      </w:r>
    </w:p>
    <w:tbl>
      <w:tblPr>
        <w:tblW w:w="5082" w:type="pct"/>
        <w:tblCellMar>
          <w:left w:w="0" w:type="dxa"/>
          <w:right w:w="0" w:type="dxa"/>
        </w:tblCellMar>
        <w:tblLook w:val="0600"/>
      </w:tblPr>
      <w:tblGrid>
        <w:gridCol w:w="5419"/>
        <w:gridCol w:w="1588"/>
        <w:gridCol w:w="1588"/>
      </w:tblGrid>
      <w:tr w:rsidR="00BB2460" w:rsidRPr="00E570B5" w:rsidTr="00522142">
        <w:trPr>
          <w:trHeight w:val="263"/>
        </w:trPr>
        <w:tc>
          <w:tcPr>
            <w:tcW w:w="3152" w:type="pct"/>
            <w:shd w:val="clear" w:color="auto" w:fill="auto"/>
            <w:tcMar>
              <w:top w:w="72" w:type="dxa"/>
              <w:left w:w="144" w:type="dxa"/>
              <w:bottom w:w="72" w:type="dxa"/>
              <w:right w:w="144" w:type="dxa"/>
            </w:tcMar>
            <w:hideMark/>
          </w:tcPr>
          <w:p w:rsidR="00BB2460" w:rsidRPr="00E570B5" w:rsidRDefault="001E1CC6" w:rsidP="000D0CF7">
            <w:pPr>
              <w:spacing w:line="500" w:lineRule="exact"/>
              <w:jc w:val="both"/>
              <w:rPr>
                <w:rFonts w:eastAsia="標楷體"/>
                <w:szCs w:val="32"/>
              </w:rPr>
            </w:pPr>
            <w:r w:rsidRPr="00E570B5">
              <w:rPr>
                <w:rFonts w:eastAsia="標楷體" w:hint="eastAsia"/>
                <w:szCs w:val="32"/>
              </w:rPr>
              <w:t>透過損益按公允價值衡量之金融資產</w:t>
            </w:r>
            <w:proofErr w:type="gramStart"/>
            <w:r>
              <w:rPr>
                <w:rFonts w:eastAsia="標楷體"/>
                <w:szCs w:val="32"/>
              </w:rPr>
              <w:t>—</w:t>
            </w:r>
            <w:proofErr w:type="gramEnd"/>
            <w:r w:rsidRPr="00E570B5">
              <w:rPr>
                <w:rFonts w:eastAsia="標楷體" w:hint="eastAsia"/>
                <w:szCs w:val="32"/>
              </w:rPr>
              <w:t>債券</w:t>
            </w:r>
          </w:p>
        </w:tc>
        <w:tc>
          <w:tcPr>
            <w:tcW w:w="924" w:type="pct"/>
            <w:shd w:val="clear" w:color="auto" w:fill="auto"/>
            <w:tcMar>
              <w:top w:w="72" w:type="dxa"/>
              <w:left w:w="144" w:type="dxa"/>
              <w:bottom w:w="72" w:type="dxa"/>
              <w:right w:w="144" w:type="dxa"/>
            </w:tcMar>
            <w:hideMark/>
          </w:tcPr>
          <w:p w:rsidR="00BB2460" w:rsidRPr="00E570B5" w:rsidRDefault="00BB2460" w:rsidP="000D0CF7">
            <w:pPr>
              <w:spacing w:line="500" w:lineRule="exact"/>
              <w:jc w:val="right"/>
              <w:rPr>
                <w:rFonts w:eastAsia="標楷體"/>
                <w:szCs w:val="32"/>
              </w:rPr>
            </w:pPr>
            <w:r>
              <w:rPr>
                <w:rFonts w:eastAsia="標楷體" w:hint="eastAsia"/>
                <w:szCs w:val="32"/>
              </w:rPr>
              <w:t>49</w:t>
            </w:r>
            <w:r w:rsidRPr="0051733F">
              <w:rPr>
                <w:rFonts w:eastAsia="標楷體"/>
                <w:szCs w:val="32"/>
              </w:rPr>
              <w:t>0,000</w:t>
            </w:r>
          </w:p>
        </w:tc>
        <w:tc>
          <w:tcPr>
            <w:tcW w:w="924" w:type="pct"/>
          </w:tcPr>
          <w:p w:rsidR="00BB2460" w:rsidRPr="0051733F" w:rsidRDefault="00BB2460" w:rsidP="000D0CF7">
            <w:pPr>
              <w:spacing w:line="500" w:lineRule="exact"/>
              <w:jc w:val="right"/>
              <w:rPr>
                <w:rFonts w:eastAsia="標楷體"/>
                <w:szCs w:val="32"/>
              </w:rPr>
            </w:pPr>
          </w:p>
        </w:tc>
      </w:tr>
      <w:tr w:rsidR="00BB2460" w:rsidRPr="00E570B5" w:rsidTr="00522142">
        <w:trPr>
          <w:trHeight w:val="336"/>
        </w:trPr>
        <w:tc>
          <w:tcPr>
            <w:tcW w:w="3152" w:type="pct"/>
            <w:shd w:val="clear" w:color="auto" w:fill="auto"/>
            <w:tcMar>
              <w:top w:w="72" w:type="dxa"/>
              <w:left w:w="144" w:type="dxa"/>
              <w:bottom w:w="72" w:type="dxa"/>
              <w:right w:w="144" w:type="dxa"/>
            </w:tcMar>
          </w:tcPr>
          <w:p w:rsidR="001E1CC6" w:rsidRDefault="001E1CC6" w:rsidP="000D0CF7">
            <w:pPr>
              <w:spacing w:line="500" w:lineRule="exact"/>
              <w:ind w:firstLineChars="200" w:firstLine="480"/>
              <w:jc w:val="both"/>
              <w:rPr>
                <w:rFonts w:eastAsia="標楷體"/>
                <w:szCs w:val="32"/>
              </w:rPr>
            </w:pPr>
            <w:r w:rsidRPr="00E570B5">
              <w:rPr>
                <w:rFonts w:eastAsia="標楷體" w:hint="eastAsia"/>
                <w:szCs w:val="32"/>
              </w:rPr>
              <w:lastRenderedPageBreak/>
              <w:t>透過</w:t>
            </w:r>
            <w:r>
              <w:rPr>
                <w:rFonts w:eastAsia="標楷體" w:hint="eastAsia"/>
                <w:szCs w:val="32"/>
              </w:rPr>
              <w:t>其他綜合</w:t>
            </w:r>
            <w:r w:rsidRPr="00E570B5">
              <w:rPr>
                <w:rFonts w:eastAsia="標楷體" w:hint="eastAsia"/>
                <w:szCs w:val="32"/>
              </w:rPr>
              <w:t>損益按公允價值衡量之金融資</w:t>
            </w:r>
          </w:p>
          <w:p w:rsidR="00BB2460" w:rsidRPr="0051733F" w:rsidRDefault="001E1CC6" w:rsidP="000D0CF7">
            <w:pPr>
              <w:spacing w:line="500" w:lineRule="exact"/>
              <w:ind w:firstLineChars="200" w:firstLine="480"/>
              <w:jc w:val="both"/>
              <w:rPr>
                <w:rFonts w:eastAsia="標楷體"/>
                <w:szCs w:val="32"/>
              </w:rPr>
            </w:pPr>
            <w:r w:rsidRPr="00E570B5">
              <w:rPr>
                <w:rFonts w:eastAsia="標楷體" w:hint="eastAsia"/>
                <w:szCs w:val="32"/>
              </w:rPr>
              <w:t>產</w:t>
            </w:r>
            <w:proofErr w:type="gramStart"/>
            <w:r>
              <w:rPr>
                <w:rFonts w:eastAsia="標楷體"/>
                <w:szCs w:val="32"/>
              </w:rPr>
              <w:t>—</w:t>
            </w:r>
            <w:proofErr w:type="gramEnd"/>
            <w:r w:rsidRPr="00E570B5">
              <w:rPr>
                <w:rFonts w:eastAsia="標楷體" w:hint="eastAsia"/>
                <w:szCs w:val="32"/>
              </w:rPr>
              <w:t>債券</w:t>
            </w:r>
          </w:p>
        </w:tc>
        <w:tc>
          <w:tcPr>
            <w:tcW w:w="924" w:type="pct"/>
            <w:shd w:val="clear" w:color="auto" w:fill="auto"/>
            <w:tcMar>
              <w:top w:w="72" w:type="dxa"/>
              <w:left w:w="144" w:type="dxa"/>
              <w:bottom w:w="72" w:type="dxa"/>
              <w:right w:w="144" w:type="dxa"/>
            </w:tcMar>
          </w:tcPr>
          <w:p w:rsidR="00BB2460" w:rsidRPr="0051733F" w:rsidRDefault="00BB2460" w:rsidP="000D0CF7">
            <w:pPr>
              <w:spacing w:line="500" w:lineRule="exact"/>
              <w:jc w:val="right"/>
              <w:rPr>
                <w:rFonts w:eastAsia="標楷體"/>
                <w:szCs w:val="32"/>
              </w:rPr>
            </w:pPr>
          </w:p>
        </w:tc>
        <w:tc>
          <w:tcPr>
            <w:tcW w:w="924" w:type="pct"/>
          </w:tcPr>
          <w:p w:rsidR="00BB2460" w:rsidRPr="0051733F" w:rsidRDefault="00BB2460" w:rsidP="000D0CF7">
            <w:pPr>
              <w:spacing w:line="500" w:lineRule="exact"/>
              <w:jc w:val="right"/>
              <w:rPr>
                <w:rFonts w:eastAsia="標楷體"/>
                <w:szCs w:val="32"/>
              </w:rPr>
            </w:pPr>
            <w:r>
              <w:rPr>
                <w:rFonts w:eastAsia="標楷體" w:hint="eastAsia"/>
                <w:szCs w:val="32"/>
              </w:rPr>
              <w:t>49</w:t>
            </w:r>
            <w:r w:rsidRPr="0051733F">
              <w:rPr>
                <w:rFonts w:eastAsia="標楷體" w:hint="eastAsia"/>
                <w:szCs w:val="32"/>
              </w:rPr>
              <w:t>0,000</w:t>
            </w:r>
          </w:p>
        </w:tc>
      </w:tr>
      <w:tr w:rsidR="00BB2460" w:rsidRPr="00E570B5" w:rsidTr="00522142">
        <w:trPr>
          <w:trHeight w:val="336"/>
        </w:trPr>
        <w:tc>
          <w:tcPr>
            <w:tcW w:w="3152" w:type="pct"/>
            <w:shd w:val="clear" w:color="auto" w:fill="auto"/>
            <w:tcMar>
              <w:top w:w="72" w:type="dxa"/>
              <w:left w:w="144" w:type="dxa"/>
              <w:bottom w:w="72" w:type="dxa"/>
              <w:right w:w="144" w:type="dxa"/>
            </w:tcMar>
          </w:tcPr>
          <w:p w:rsidR="00BB2460" w:rsidRPr="00E570B5" w:rsidRDefault="00BB2460" w:rsidP="000D0CF7">
            <w:pPr>
              <w:spacing w:line="500" w:lineRule="exact"/>
              <w:jc w:val="both"/>
              <w:rPr>
                <w:rFonts w:eastAsia="標楷體"/>
                <w:szCs w:val="32"/>
              </w:rPr>
            </w:pPr>
            <w:r w:rsidRPr="00BB2460">
              <w:rPr>
                <w:rFonts w:eastAsia="標楷體" w:hint="eastAsia"/>
                <w:szCs w:val="32"/>
              </w:rPr>
              <w:t>重分類損失（損益）</w:t>
            </w:r>
          </w:p>
        </w:tc>
        <w:tc>
          <w:tcPr>
            <w:tcW w:w="924" w:type="pct"/>
            <w:shd w:val="clear" w:color="auto" w:fill="auto"/>
            <w:tcMar>
              <w:top w:w="72" w:type="dxa"/>
              <w:left w:w="144" w:type="dxa"/>
              <w:bottom w:w="72" w:type="dxa"/>
              <w:right w:w="144" w:type="dxa"/>
            </w:tcMar>
          </w:tcPr>
          <w:p w:rsidR="00BB2460" w:rsidRPr="00E570B5" w:rsidRDefault="00BB2460" w:rsidP="000D0CF7">
            <w:pPr>
              <w:spacing w:line="500" w:lineRule="exact"/>
              <w:jc w:val="right"/>
              <w:rPr>
                <w:rFonts w:eastAsia="標楷體"/>
                <w:szCs w:val="32"/>
              </w:rPr>
            </w:pPr>
            <w:r>
              <w:rPr>
                <w:rFonts w:eastAsia="標楷體" w:hint="eastAsia"/>
                <w:szCs w:val="32"/>
              </w:rPr>
              <w:t>4,000</w:t>
            </w:r>
          </w:p>
        </w:tc>
        <w:tc>
          <w:tcPr>
            <w:tcW w:w="924" w:type="pct"/>
          </w:tcPr>
          <w:p w:rsidR="00BB2460" w:rsidRPr="0051733F" w:rsidRDefault="00BB2460" w:rsidP="000D0CF7">
            <w:pPr>
              <w:spacing w:line="500" w:lineRule="exact"/>
              <w:jc w:val="right"/>
              <w:rPr>
                <w:rFonts w:eastAsia="標楷體"/>
                <w:szCs w:val="32"/>
              </w:rPr>
            </w:pPr>
          </w:p>
        </w:tc>
      </w:tr>
      <w:tr w:rsidR="009A262E" w:rsidRPr="00E570B5" w:rsidTr="00FC534F">
        <w:trPr>
          <w:trHeight w:val="336"/>
        </w:trPr>
        <w:tc>
          <w:tcPr>
            <w:tcW w:w="3152" w:type="pct"/>
            <w:shd w:val="clear" w:color="auto" w:fill="auto"/>
            <w:tcMar>
              <w:top w:w="72" w:type="dxa"/>
              <w:left w:w="144" w:type="dxa"/>
              <w:bottom w:w="72" w:type="dxa"/>
              <w:right w:w="144" w:type="dxa"/>
            </w:tcMar>
          </w:tcPr>
          <w:p w:rsidR="009A262E" w:rsidRPr="00AB190E" w:rsidRDefault="009A262E" w:rsidP="000D0CF7">
            <w:pPr>
              <w:spacing w:line="500" w:lineRule="exact"/>
              <w:jc w:val="both"/>
              <w:rPr>
                <w:rFonts w:eastAsia="標楷體"/>
                <w:szCs w:val="32"/>
              </w:rPr>
            </w:pPr>
            <w:r w:rsidRPr="00AB190E">
              <w:rPr>
                <w:rFonts w:eastAsia="標楷體" w:hint="eastAsia"/>
                <w:szCs w:val="32"/>
              </w:rPr>
              <w:t>其他綜合損益</w:t>
            </w:r>
            <w:proofErr w:type="gramStart"/>
            <w:r w:rsidRPr="00AB190E">
              <w:rPr>
                <w:rFonts w:eastAsia="標楷體"/>
                <w:szCs w:val="32"/>
              </w:rPr>
              <w:t>—</w:t>
            </w:r>
            <w:proofErr w:type="gramEnd"/>
            <w:r w:rsidRPr="00AB190E">
              <w:rPr>
                <w:rFonts w:eastAsia="標楷體" w:hint="eastAsia"/>
                <w:szCs w:val="32"/>
              </w:rPr>
              <w:t>累計減損金額</w:t>
            </w:r>
          </w:p>
        </w:tc>
        <w:tc>
          <w:tcPr>
            <w:tcW w:w="924" w:type="pct"/>
            <w:shd w:val="clear" w:color="auto" w:fill="auto"/>
            <w:tcMar>
              <w:top w:w="72" w:type="dxa"/>
              <w:left w:w="144" w:type="dxa"/>
              <w:bottom w:w="72" w:type="dxa"/>
              <w:right w:w="144" w:type="dxa"/>
            </w:tcMar>
          </w:tcPr>
          <w:p w:rsidR="009A262E" w:rsidRPr="00AB190E" w:rsidRDefault="009A262E" w:rsidP="000D0CF7">
            <w:pPr>
              <w:spacing w:line="500" w:lineRule="exact"/>
              <w:jc w:val="right"/>
              <w:rPr>
                <w:rFonts w:eastAsia="標楷體"/>
                <w:szCs w:val="32"/>
              </w:rPr>
            </w:pPr>
            <w:r w:rsidRPr="00AB190E">
              <w:rPr>
                <w:rFonts w:eastAsia="標楷體" w:hint="eastAsia"/>
                <w:szCs w:val="32"/>
              </w:rPr>
              <w:t>6,000</w:t>
            </w:r>
          </w:p>
        </w:tc>
        <w:tc>
          <w:tcPr>
            <w:tcW w:w="924" w:type="pct"/>
          </w:tcPr>
          <w:p w:rsidR="009A262E" w:rsidRPr="00E570B5" w:rsidRDefault="009A262E" w:rsidP="000D0CF7">
            <w:pPr>
              <w:spacing w:line="500" w:lineRule="exact"/>
              <w:jc w:val="right"/>
              <w:rPr>
                <w:rFonts w:eastAsia="標楷體"/>
                <w:szCs w:val="32"/>
              </w:rPr>
            </w:pPr>
          </w:p>
        </w:tc>
      </w:tr>
      <w:tr w:rsidR="00BB2460" w:rsidRPr="00E570B5" w:rsidTr="00522142">
        <w:trPr>
          <w:trHeight w:val="336"/>
        </w:trPr>
        <w:tc>
          <w:tcPr>
            <w:tcW w:w="3152" w:type="pct"/>
            <w:shd w:val="clear" w:color="auto" w:fill="auto"/>
            <w:tcMar>
              <w:top w:w="72" w:type="dxa"/>
              <w:left w:w="144" w:type="dxa"/>
              <w:bottom w:w="72" w:type="dxa"/>
              <w:right w:w="144" w:type="dxa"/>
            </w:tcMar>
          </w:tcPr>
          <w:p w:rsidR="00BB2460" w:rsidRPr="004B31A4" w:rsidRDefault="00BB2460" w:rsidP="000D0CF7">
            <w:pPr>
              <w:spacing w:line="500" w:lineRule="exact"/>
              <w:ind w:firstLineChars="200" w:firstLine="480"/>
              <w:jc w:val="both"/>
              <w:rPr>
                <w:rFonts w:eastAsia="標楷體"/>
                <w:szCs w:val="32"/>
              </w:rPr>
            </w:pPr>
            <w:r w:rsidRPr="004B31A4">
              <w:rPr>
                <w:rFonts w:eastAsia="標楷體" w:hint="eastAsia"/>
                <w:szCs w:val="32"/>
              </w:rPr>
              <w:t>其他綜合損益</w:t>
            </w:r>
            <w:proofErr w:type="gramStart"/>
            <w:r w:rsidR="009A262E" w:rsidRPr="00AB190E">
              <w:rPr>
                <w:rFonts w:eastAsia="標楷體"/>
                <w:szCs w:val="32"/>
              </w:rPr>
              <w:t>—</w:t>
            </w:r>
            <w:proofErr w:type="gramEnd"/>
            <w:r w:rsidR="009A262E" w:rsidRPr="00AB190E">
              <w:rPr>
                <w:rFonts w:eastAsia="標楷體" w:hint="eastAsia"/>
                <w:szCs w:val="32"/>
              </w:rPr>
              <w:t>公允價值變動</w:t>
            </w:r>
          </w:p>
        </w:tc>
        <w:tc>
          <w:tcPr>
            <w:tcW w:w="924" w:type="pct"/>
            <w:shd w:val="clear" w:color="auto" w:fill="auto"/>
            <w:tcMar>
              <w:top w:w="72" w:type="dxa"/>
              <w:left w:w="144" w:type="dxa"/>
              <w:bottom w:w="72" w:type="dxa"/>
              <w:right w:w="144" w:type="dxa"/>
            </w:tcMar>
          </w:tcPr>
          <w:p w:rsidR="00BB2460" w:rsidRPr="004B31A4" w:rsidRDefault="00BB2460" w:rsidP="000D0CF7">
            <w:pPr>
              <w:spacing w:line="500" w:lineRule="exact"/>
              <w:jc w:val="right"/>
              <w:rPr>
                <w:rFonts w:eastAsia="標楷體"/>
                <w:szCs w:val="32"/>
              </w:rPr>
            </w:pPr>
          </w:p>
        </w:tc>
        <w:tc>
          <w:tcPr>
            <w:tcW w:w="924" w:type="pct"/>
          </w:tcPr>
          <w:p w:rsidR="00BB2460" w:rsidRPr="00E570B5" w:rsidRDefault="009A262E" w:rsidP="000D0CF7">
            <w:pPr>
              <w:spacing w:line="500" w:lineRule="exact"/>
              <w:jc w:val="right"/>
              <w:rPr>
                <w:rFonts w:eastAsia="標楷體"/>
                <w:szCs w:val="32"/>
              </w:rPr>
            </w:pPr>
            <w:r>
              <w:rPr>
                <w:rFonts w:eastAsia="標楷體" w:hint="eastAsia"/>
                <w:szCs w:val="32"/>
              </w:rPr>
              <w:t>10</w:t>
            </w:r>
            <w:r w:rsidR="00BB2460" w:rsidRPr="004B31A4">
              <w:rPr>
                <w:rFonts w:eastAsia="標楷體" w:hint="eastAsia"/>
                <w:szCs w:val="32"/>
              </w:rPr>
              <w:t>,000</w:t>
            </w:r>
          </w:p>
        </w:tc>
      </w:tr>
    </w:tbl>
    <w:p w:rsidR="000948F2" w:rsidRDefault="000948F2" w:rsidP="000D0CF7">
      <w:pPr>
        <w:pStyle w:val="aff2"/>
        <w:spacing w:line="500" w:lineRule="exact"/>
        <w:ind w:left="487" w:hanging="487"/>
        <w:contextualSpacing w:val="0"/>
        <w:rPr>
          <w:rFonts w:ascii="標楷體" w:eastAsia="標楷體" w:hAnsi="標楷體" w:cstheme="minorBidi"/>
          <w:b/>
          <w:sz w:val="32"/>
          <w:szCs w:val="32"/>
        </w:rPr>
      </w:pPr>
    </w:p>
    <w:p w:rsidR="00E210B5" w:rsidRPr="00B30E1C" w:rsidRDefault="00E210B5" w:rsidP="000D0CF7">
      <w:pPr>
        <w:pStyle w:val="aff2"/>
        <w:spacing w:line="500" w:lineRule="exact"/>
        <w:ind w:left="487" w:hanging="487"/>
        <w:contextualSpacing w:val="0"/>
        <w:rPr>
          <w:rFonts w:ascii="標楷體" w:eastAsia="標楷體" w:hAnsi="標楷體" w:cstheme="minorBidi"/>
          <w:b/>
          <w:sz w:val="32"/>
          <w:szCs w:val="32"/>
        </w:rPr>
      </w:pPr>
      <w:r w:rsidRPr="00B30E1C">
        <w:rPr>
          <w:rFonts w:ascii="標楷體" w:eastAsia="標楷體" w:hAnsi="標楷體" w:cstheme="minorBidi" w:hint="eastAsia"/>
          <w:b/>
          <w:sz w:val="32"/>
          <w:szCs w:val="32"/>
        </w:rPr>
        <w:t>五、非</w:t>
      </w:r>
      <w:r w:rsidR="004079E4" w:rsidRPr="00B30E1C">
        <w:rPr>
          <w:rFonts w:ascii="標楷體" w:eastAsia="標楷體" w:hAnsi="標楷體" w:cstheme="minorBidi" w:hint="eastAsia"/>
          <w:b/>
          <w:sz w:val="32"/>
          <w:szCs w:val="32"/>
        </w:rPr>
        <w:t>屬</w:t>
      </w:r>
      <w:r w:rsidRPr="00B30E1C">
        <w:rPr>
          <w:rFonts w:ascii="標楷體" w:eastAsia="標楷體" w:hAnsi="標楷體" w:cstheme="minorBidi" w:hint="eastAsia"/>
          <w:b/>
          <w:sz w:val="32"/>
          <w:szCs w:val="32"/>
        </w:rPr>
        <w:t>金融資產重分類之情況與其會計處理</w:t>
      </w:r>
    </w:p>
    <w:p w:rsidR="00E210B5" w:rsidRPr="00DB670B" w:rsidRDefault="00E210B5" w:rsidP="000D0CF7">
      <w:pPr>
        <w:spacing w:line="500" w:lineRule="exact"/>
        <w:jc w:val="both"/>
        <w:rPr>
          <w:rFonts w:eastAsia="標楷體"/>
          <w:sz w:val="28"/>
          <w:szCs w:val="28"/>
        </w:rPr>
      </w:pPr>
      <w:r w:rsidRPr="00DB670B">
        <w:rPr>
          <w:rFonts w:eastAsia="標楷體" w:hint="eastAsia"/>
          <w:sz w:val="28"/>
          <w:szCs w:val="28"/>
        </w:rPr>
        <w:t>因</w:t>
      </w:r>
      <w:r w:rsidRPr="00DB670B">
        <w:rPr>
          <w:rFonts w:eastAsia="標楷體" w:hint="eastAsia"/>
          <w:sz w:val="28"/>
          <w:szCs w:val="28"/>
        </w:rPr>
        <w:t>IFRS 9</w:t>
      </w:r>
      <w:r w:rsidRPr="00DB670B">
        <w:rPr>
          <w:rFonts w:eastAsia="標楷體" w:hint="eastAsia"/>
          <w:sz w:val="28"/>
          <w:szCs w:val="28"/>
        </w:rPr>
        <w:t>僅允許企業於經營模式改變時重分類金融資產，下列情況並非經營模式之變動，故不得重分類金融資產：</w:t>
      </w:r>
    </w:p>
    <w:p w:rsidR="00E210B5" w:rsidRPr="00DB670B" w:rsidRDefault="00E210B5" w:rsidP="000D0CF7">
      <w:pPr>
        <w:pStyle w:val="aff2"/>
        <w:numPr>
          <w:ilvl w:val="0"/>
          <w:numId w:val="26"/>
        </w:numPr>
        <w:spacing w:line="500" w:lineRule="exact"/>
        <w:jc w:val="both"/>
        <w:rPr>
          <w:rFonts w:eastAsia="標楷體"/>
          <w:sz w:val="28"/>
          <w:szCs w:val="28"/>
        </w:rPr>
      </w:pPr>
      <w:r w:rsidRPr="00DB670B">
        <w:rPr>
          <w:rFonts w:eastAsia="標楷體" w:hint="eastAsia"/>
          <w:sz w:val="28"/>
          <w:szCs w:val="28"/>
        </w:rPr>
        <w:t>與特定金融資產有關之意圖變動（即使於市場狀況有重大變動之情況下）</w:t>
      </w:r>
      <w:r w:rsidR="00A05FE5" w:rsidRPr="00DB670B">
        <w:rPr>
          <w:rFonts w:eastAsia="標楷體" w:hint="eastAsia"/>
          <w:sz w:val="28"/>
          <w:szCs w:val="28"/>
        </w:rPr>
        <w:t>，例如保險公司因特定事件發生</w:t>
      </w:r>
      <w:r w:rsidR="00A441FD" w:rsidRPr="00DB670B">
        <w:rPr>
          <w:rFonts w:eastAsia="標楷體" w:hint="eastAsia"/>
          <w:sz w:val="28"/>
          <w:szCs w:val="28"/>
        </w:rPr>
        <w:t>而調整金融資產配置，預期將於近期內出售較多金融資產以支應流動性需求</w:t>
      </w:r>
      <w:r w:rsidR="00A955A9" w:rsidRPr="00DB670B">
        <w:rPr>
          <w:rFonts w:eastAsia="標楷體" w:hint="eastAsia"/>
          <w:sz w:val="28"/>
          <w:szCs w:val="28"/>
        </w:rPr>
        <w:t>，或原擬持有至到期之債券投資因信用風險增高而計畫出售</w:t>
      </w:r>
      <w:r w:rsidRPr="00DB670B">
        <w:rPr>
          <w:rFonts w:eastAsia="標楷體" w:hint="eastAsia"/>
          <w:sz w:val="28"/>
          <w:szCs w:val="28"/>
        </w:rPr>
        <w:t>。</w:t>
      </w:r>
    </w:p>
    <w:p w:rsidR="00E210B5" w:rsidRPr="00DB670B" w:rsidRDefault="00E210B5" w:rsidP="000D0CF7">
      <w:pPr>
        <w:pStyle w:val="aff2"/>
        <w:numPr>
          <w:ilvl w:val="0"/>
          <w:numId w:val="26"/>
        </w:numPr>
        <w:spacing w:line="500" w:lineRule="exact"/>
        <w:jc w:val="both"/>
        <w:rPr>
          <w:rFonts w:eastAsia="標楷體"/>
          <w:sz w:val="28"/>
          <w:szCs w:val="28"/>
        </w:rPr>
      </w:pPr>
      <w:r w:rsidRPr="00DB670B">
        <w:rPr>
          <w:rFonts w:eastAsia="標楷體" w:hint="eastAsia"/>
          <w:sz w:val="28"/>
          <w:szCs w:val="28"/>
        </w:rPr>
        <w:t>金融資產之特定市場暫時消失</w:t>
      </w:r>
      <w:r w:rsidR="00A441FD" w:rsidRPr="00DB670B">
        <w:rPr>
          <w:rFonts w:eastAsia="標楷體" w:hint="eastAsia"/>
          <w:sz w:val="28"/>
          <w:szCs w:val="28"/>
        </w:rPr>
        <w:t>，</w:t>
      </w:r>
      <w:r w:rsidR="005F1822" w:rsidRPr="00DB670B">
        <w:rPr>
          <w:rFonts w:eastAsia="標楷體" w:hint="eastAsia"/>
          <w:sz w:val="28"/>
          <w:szCs w:val="28"/>
        </w:rPr>
        <w:t>例</w:t>
      </w:r>
      <w:r w:rsidR="00A441FD" w:rsidRPr="00DB670B">
        <w:rPr>
          <w:rFonts w:eastAsia="標楷體" w:hint="eastAsia"/>
          <w:sz w:val="28"/>
          <w:szCs w:val="28"/>
        </w:rPr>
        <w:t>如所投資債券於公開市場中暫停交易</w:t>
      </w:r>
      <w:r w:rsidRPr="00DB670B">
        <w:rPr>
          <w:rFonts w:eastAsia="標楷體" w:hint="eastAsia"/>
          <w:sz w:val="28"/>
          <w:szCs w:val="28"/>
        </w:rPr>
        <w:t>。</w:t>
      </w:r>
    </w:p>
    <w:p w:rsidR="00E210B5" w:rsidRPr="00DB670B" w:rsidRDefault="00E210B5" w:rsidP="000D0CF7">
      <w:pPr>
        <w:pStyle w:val="aff2"/>
        <w:numPr>
          <w:ilvl w:val="0"/>
          <w:numId w:val="26"/>
        </w:numPr>
        <w:spacing w:line="500" w:lineRule="exact"/>
        <w:jc w:val="both"/>
        <w:rPr>
          <w:rFonts w:eastAsia="標楷體"/>
          <w:sz w:val="28"/>
          <w:szCs w:val="28"/>
        </w:rPr>
      </w:pPr>
      <w:r w:rsidRPr="00DB670B">
        <w:rPr>
          <w:rFonts w:eastAsia="標楷體" w:hint="eastAsia"/>
          <w:sz w:val="28"/>
          <w:szCs w:val="28"/>
        </w:rPr>
        <w:t>於企業具不同經營模式之部門間移轉金融資產</w:t>
      </w:r>
      <w:r w:rsidR="005F1822" w:rsidRPr="00DB670B">
        <w:rPr>
          <w:rFonts w:eastAsia="標楷體" w:hint="eastAsia"/>
          <w:sz w:val="28"/>
          <w:szCs w:val="28"/>
        </w:rPr>
        <w:t>，例如銀行兼營證券之自營或承銷部門（經營模式為藉由收取合約現金流量及出售金融資產達成目的）移轉金融資產予銀行投資部門（經營模式為持有金融資產以收取合約現金流量）</w:t>
      </w:r>
      <w:r w:rsidRPr="00DB670B">
        <w:rPr>
          <w:rFonts w:eastAsia="標楷體" w:hint="eastAsia"/>
          <w:sz w:val="28"/>
          <w:szCs w:val="28"/>
        </w:rPr>
        <w:t>。</w:t>
      </w:r>
    </w:p>
    <w:p w:rsidR="00115EDD" w:rsidRPr="00DB670B" w:rsidRDefault="00115EDD" w:rsidP="000D0CF7">
      <w:pPr>
        <w:pStyle w:val="aff2"/>
        <w:numPr>
          <w:ilvl w:val="0"/>
          <w:numId w:val="26"/>
        </w:numPr>
        <w:spacing w:line="500" w:lineRule="exact"/>
        <w:jc w:val="both"/>
        <w:rPr>
          <w:rFonts w:eastAsia="標楷體"/>
          <w:sz w:val="28"/>
          <w:szCs w:val="28"/>
        </w:rPr>
      </w:pPr>
      <w:r w:rsidRPr="00DB670B">
        <w:rPr>
          <w:rFonts w:eastAsia="標楷體" w:hint="eastAsia"/>
          <w:sz w:val="28"/>
          <w:szCs w:val="28"/>
        </w:rPr>
        <w:t>金融資產之合約現金流量特性於存續期間內依其原始合約條款而改變</w:t>
      </w:r>
      <w:r w:rsidR="00C23A87" w:rsidRPr="00DB670B">
        <w:rPr>
          <w:rFonts w:eastAsia="標楷體" w:hint="eastAsia"/>
          <w:sz w:val="28"/>
          <w:szCs w:val="28"/>
        </w:rPr>
        <w:t>，例如可轉換債券之轉換權逾期失效</w:t>
      </w:r>
      <w:r w:rsidRPr="00DB670B">
        <w:rPr>
          <w:rFonts w:eastAsia="標楷體" w:hint="eastAsia"/>
          <w:sz w:val="28"/>
          <w:szCs w:val="28"/>
        </w:rPr>
        <w:t>。</w:t>
      </w:r>
    </w:p>
    <w:p w:rsidR="004B00D7" w:rsidRPr="00DB670B" w:rsidRDefault="004B00D7" w:rsidP="000D0CF7">
      <w:pPr>
        <w:pStyle w:val="aff2"/>
        <w:numPr>
          <w:ilvl w:val="0"/>
          <w:numId w:val="26"/>
        </w:numPr>
        <w:spacing w:line="500" w:lineRule="exact"/>
        <w:jc w:val="both"/>
        <w:rPr>
          <w:rFonts w:eastAsia="標楷體"/>
          <w:sz w:val="28"/>
          <w:szCs w:val="28"/>
        </w:rPr>
      </w:pPr>
      <w:r w:rsidRPr="00DB670B">
        <w:rPr>
          <w:rFonts w:eastAsia="標楷體" w:hint="eastAsia"/>
          <w:sz w:val="28"/>
          <w:szCs w:val="28"/>
        </w:rPr>
        <w:t>金融資產之合約條款修改但未導致除列</w:t>
      </w:r>
      <w:r w:rsidR="00B76452" w:rsidRPr="00DB670B">
        <w:rPr>
          <w:rFonts w:eastAsia="標楷體" w:hint="eastAsia"/>
          <w:sz w:val="28"/>
          <w:szCs w:val="28"/>
        </w:rPr>
        <w:t>該金融資產</w:t>
      </w:r>
      <w:r w:rsidRPr="00DB670B">
        <w:rPr>
          <w:rFonts w:eastAsia="標楷體" w:hint="eastAsia"/>
          <w:sz w:val="28"/>
          <w:szCs w:val="28"/>
        </w:rPr>
        <w:t>。</w:t>
      </w:r>
    </w:p>
    <w:p w:rsidR="001B17B6" w:rsidRPr="00DB670B" w:rsidRDefault="001B17B6" w:rsidP="000D0CF7">
      <w:pPr>
        <w:spacing w:line="500" w:lineRule="exact"/>
        <w:jc w:val="both"/>
        <w:rPr>
          <w:rFonts w:eastAsia="標楷體"/>
          <w:sz w:val="28"/>
          <w:szCs w:val="28"/>
        </w:rPr>
      </w:pPr>
      <w:r w:rsidRPr="00DB670B">
        <w:rPr>
          <w:rFonts w:eastAsia="標楷體" w:hint="eastAsia"/>
          <w:sz w:val="28"/>
          <w:szCs w:val="28"/>
        </w:rPr>
        <w:t>在前述情況下，企業應按原始認列時決定之金融資產種類</w:t>
      </w:r>
      <w:r w:rsidR="003C17CD" w:rsidRPr="00DB670B">
        <w:rPr>
          <w:rFonts w:eastAsia="標楷體" w:hint="eastAsia"/>
          <w:sz w:val="28"/>
          <w:szCs w:val="28"/>
        </w:rPr>
        <w:t>持續</w:t>
      </w:r>
      <w:r w:rsidR="00CA49AD" w:rsidRPr="00DB670B">
        <w:rPr>
          <w:rFonts w:eastAsia="標楷體" w:hint="eastAsia"/>
          <w:sz w:val="28"/>
          <w:szCs w:val="28"/>
        </w:rPr>
        <w:t>衡量金融資產，亦無須追溯調整以前期間之會計處理</w:t>
      </w:r>
      <w:r w:rsidR="00C5101B" w:rsidRPr="00DB670B">
        <w:rPr>
          <w:rFonts w:eastAsia="標楷體" w:hint="eastAsia"/>
          <w:sz w:val="28"/>
          <w:szCs w:val="28"/>
        </w:rPr>
        <w:t>，除非企業原始認列時決定之金融資產種類錯誤</w:t>
      </w:r>
      <w:r w:rsidR="00CA49AD" w:rsidRPr="00DB670B">
        <w:rPr>
          <w:rFonts w:eastAsia="標楷體" w:hint="eastAsia"/>
          <w:sz w:val="28"/>
          <w:szCs w:val="28"/>
        </w:rPr>
        <w:t>。</w:t>
      </w:r>
    </w:p>
    <w:p w:rsidR="006F5845" w:rsidRPr="00DB670B" w:rsidRDefault="007D69FF" w:rsidP="000D0CF7">
      <w:pPr>
        <w:spacing w:line="500" w:lineRule="exact"/>
        <w:jc w:val="both"/>
        <w:rPr>
          <w:rFonts w:eastAsia="標楷體"/>
          <w:sz w:val="28"/>
          <w:szCs w:val="28"/>
        </w:rPr>
      </w:pPr>
      <w:proofErr w:type="gramStart"/>
      <w:r w:rsidRPr="00DB670B">
        <w:rPr>
          <w:rFonts w:eastAsia="標楷體" w:hint="eastAsia"/>
          <w:sz w:val="28"/>
          <w:szCs w:val="28"/>
        </w:rPr>
        <w:t>此外，</w:t>
      </w:r>
      <w:proofErr w:type="gramEnd"/>
      <w:r w:rsidR="006F5845" w:rsidRPr="00DB670B">
        <w:rPr>
          <w:rFonts w:eastAsia="標楷體" w:hint="eastAsia"/>
          <w:sz w:val="28"/>
          <w:szCs w:val="28"/>
        </w:rPr>
        <w:t>若金融資產</w:t>
      </w:r>
      <w:r w:rsidR="00C31E8A" w:rsidRPr="00DB670B">
        <w:rPr>
          <w:rFonts w:eastAsia="標楷體" w:hint="eastAsia"/>
          <w:sz w:val="28"/>
          <w:szCs w:val="28"/>
        </w:rPr>
        <w:t>因雙方協商修約或特定條款之執行（如可轉換債券</w:t>
      </w:r>
      <w:r w:rsidR="00C31E8A" w:rsidRPr="00DB670B">
        <w:rPr>
          <w:rFonts w:eastAsia="標楷體" w:hint="eastAsia"/>
          <w:sz w:val="28"/>
          <w:szCs w:val="28"/>
        </w:rPr>
        <w:lastRenderedPageBreak/>
        <w:t>執行轉換權）而符合</w:t>
      </w:r>
      <w:r w:rsidR="00C31E8A" w:rsidRPr="00DB670B">
        <w:rPr>
          <w:rFonts w:eastAsia="標楷體" w:hint="eastAsia"/>
          <w:sz w:val="28"/>
          <w:szCs w:val="28"/>
        </w:rPr>
        <w:t>IFRS 9.3.2.3</w:t>
      </w:r>
      <w:r w:rsidR="00C31E8A" w:rsidRPr="00DB670B">
        <w:rPr>
          <w:rFonts w:eastAsia="標楷體" w:hint="eastAsia"/>
          <w:sz w:val="28"/>
          <w:szCs w:val="28"/>
        </w:rPr>
        <w:t>應除列金融資產之條件，企業應除列原有金融資產並認列新金融資產，</w:t>
      </w:r>
      <w:r w:rsidR="002222C3" w:rsidRPr="00DB670B">
        <w:rPr>
          <w:rFonts w:eastAsia="標楷體" w:hint="eastAsia"/>
          <w:sz w:val="28"/>
          <w:szCs w:val="28"/>
        </w:rPr>
        <w:t>並</w:t>
      </w:r>
      <w:r w:rsidR="00C31E8A" w:rsidRPr="00DB670B">
        <w:rPr>
          <w:rFonts w:eastAsia="標楷體" w:hint="eastAsia"/>
          <w:sz w:val="28"/>
          <w:szCs w:val="28"/>
        </w:rPr>
        <w:t>重新依</w:t>
      </w:r>
      <w:r w:rsidR="00C31E8A" w:rsidRPr="00DB670B">
        <w:rPr>
          <w:rFonts w:eastAsia="標楷體" w:hint="eastAsia"/>
          <w:sz w:val="28"/>
          <w:szCs w:val="28"/>
        </w:rPr>
        <w:t>IFRS 9</w:t>
      </w:r>
      <w:r w:rsidR="00C31E8A" w:rsidRPr="00DB670B">
        <w:rPr>
          <w:rFonts w:eastAsia="標楷體" w:hint="eastAsia"/>
          <w:sz w:val="28"/>
          <w:szCs w:val="28"/>
        </w:rPr>
        <w:t>決定新金融資產之分類。此情況非屬重分類。</w:t>
      </w:r>
    </w:p>
    <w:p w:rsidR="000948F2" w:rsidRDefault="000948F2" w:rsidP="000D0CF7">
      <w:pPr>
        <w:pStyle w:val="aff2"/>
        <w:spacing w:line="500" w:lineRule="exact"/>
        <w:ind w:left="487" w:hanging="487"/>
        <w:contextualSpacing w:val="0"/>
        <w:rPr>
          <w:rFonts w:ascii="標楷體" w:eastAsia="標楷體" w:hAnsi="標楷體" w:cstheme="minorBidi"/>
          <w:b/>
          <w:sz w:val="32"/>
          <w:szCs w:val="32"/>
        </w:rPr>
      </w:pPr>
    </w:p>
    <w:p w:rsidR="007D599F" w:rsidRPr="00B30E1C" w:rsidRDefault="007D599F" w:rsidP="000D0CF7">
      <w:pPr>
        <w:pStyle w:val="aff2"/>
        <w:spacing w:line="500" w:lineRule="exact"/>
        <w:ind w:left="487" w:hanging="487"/>
        <w:contextualSpacing w:val="0"/>
        <w:rPr>
          <w:rFonts w:ascii="標楷體" w:eastAsia="標楷體" w:hAnsi="標楷體" w:cstheme="minorBidi"/>
          <w:b/>
          <w:sz w:val="32"/>
          <w:szCs w:val="32"/>
        </w:rPr>
      </w:pPr>
      <w:r w:rsidRPr="00B30E1C">
        <w:rPr>
          <w:rFonts w:ascii="標楷體" w:eastAsia="標楷體" w:hAnsi="標楷體" w:cstheme="minorBidi" w:hint="eastAsia"/>
          <w:b/>
          <w:sz w:val="32"/>
          <w:szCs w:val="32"/>
        </w:rPr>
        <w:t>六、資料來源</w:t>
      </w:r>
    </w:p>
    <w:p w:rsidR="00AF174D" w:rsidRPr="00DB670B" w:rsidRDefault="007D599F" w:rsidP="000D0CF7">
      <w:pPr>
        <w:pStyle w:val="aff2"/>
        <w:numPr>
          <w:ilvl w:val="0"/>
          <w:numId w:val="28"/>
        </w:numPr>
        <w:spacing w:line="500" w:lineRule="exact"/>
        <w:jc w:val="both"/>
        <w:rPr>
          <w:rFonts w:eastAsia="標楷體"/>
          <w:sz w:val="28"/>
          <w:szCs w:val="28"/>
        </w:rPr>
      </w:pPr>
      <w:r w:rsidRPr="00DB670B">
        <w:rPr>
          <w:rFonts w:eastAsia="標楷體" w:hint="eastAsia"/>
          <w:sz w:val="28"/>
          <w:szCs w:val="28"/>
        </w:rPr>
        <w:t>IFRS 9</w:t>
      </w:r>
      <w:r w:rsidRPr="00DB670B">
        <w:rPr>
          <w:rFonts w:eastAsia="標楷體" w:hint="eastAsia"/>
          <w:sz w:val="28"/>
          <w:szCs w:val="28"/>
        </w:rPr>
        <w:t>金融工具正體中文版</w:t>
      </w:r>
    </w:p>
    <w:p w:rsidR="007D599F" w:rsidRPr="00DB670B" w:rsidRDefault="007D599F" w:rsidP="000D0CF7">
      <w:pPr>
        <w:pStyle w:val="aff2"/>
        <w:numPr>
          <w:ilvl w:val="0"/>
          <w:numId w:val="28"/>
        </w:numPr>
        <w:spacing w:line="500" w:lineRule="exact"/>
        <w:jc w:val="both"/>
        <w:rPr>
          <w:rFonts w:eastAsia="標楷體"/>
          <w:sz w:val="28"/>
          <w:szCs w:val="28"/>
        </w:rPr>
      </w:pPr>
      <w:r w:rsidRPr="00DB670B">
        <w:rPr>
          <w:rFonts w:eastAsia="標楷體" w:hint="eastAsia"/>
          <w:sz w:val="28"/>
          <w:szCs w:val="28"/>
        </w:rPr>
        <w:t xml:space="preserve">Deloitte </w:t>
      </w:r>
      <w:proofErr w:type="spellStart"/>
      <w:r w:rsidRPr="00DB670B">
        <w:rPr>
          <w:rFonts w:eastAsia="標楷體" w:hint="eastAsia"/>
          <w:sz w:val="28"/>
          <w:szCs w:val="28"/>
        </w:rPr>
        <w:t>iGAAP</w:t>
      </w:r>
      <w:proofErr w:type="spellEnd"/>
      <w:r w:rsidRPr="00DB670B">
        <w:rPr>
          <w:rFonts w:eastAsia="標楷體" w:hint="eastAsia"/>
          <w:sz w:val="28"/>
          <w:szCs w:val="28"/>
        </w:rPr>
        <w:t xml:space="preserve"> 2016</w:t>
      </w:r>
    </w:p>
    <w:p w:rsidR="00F17138" w:rsidRDefault="00F17138" w:rsidP="000D0CF7">
      <w:pPr>
        <w:widowControl/>
        <w:spacing w:line="500" w:lineRule="exact"/>
        <w:rPr>
          <w:rFonts w:eastAsia="標楷體"/>
          <w:b/>
          <w:kern w:val="0"/>
          <w:sz w:val="28"/>
          <w:szCs w:val="32"/>
          <w:lang w:val="en-GB"/>
        </w:rPr>
      </w:pPr>
    </w:p>
    <w:sectPr w:rsidR="00F17138" w:rsidSect="00ED3676">
      <w:pgSz w:w="11906" w:h="16838" w:code="9"/>
      <w:pgMar w:top="1440" w:right="1797" w:bottom="1440"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814" w:rsidRDefault="00A67814"/>
  </w:endnote>
  <w:endnote w:type="continuationSeparator" w:id="0">
    <w:p w:rsidR="00A67814" w:rsidRDefault="00A6781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超研澤粗明">
    <w:charset w:val="88"/>
    <w:family w:val="modern"/>
    <w:pitch w:val="fixed"/>
    <w:sig w:usb0="00000001"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全真楷書">
    <w:altName w:val="Arial Unicode MS"/>
    <w:charset w:val="88"/>
    <w:family w:val="modern"/>
    <w:pitch w:val="fixed"/>
    <w:sig w:usb0="00000000" w:usb1="08080000" w:usb2="00000010" w:usb3="00000000" w:csb0="00100000" w:csb1="00000000"/>
  </w:font>
  <w:font w:name="全真中明體">
    <w:altName w:val="Arial Unicode MS"/>
    <w:charset w:val="88"/>
    <w:family w:val="modern"/>
    <w:pitch w:val="fixed"/>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50" w:rsidRDefault="00B061B7">
    <w:pPr>
      <w:pStyle w:val="ad"/>
      <w:jc w:val="center"/>
    </w:pPr>
    <w:r>
      <w:fldChar w:fldCharType="begin"/>
    </w:r>
    <w:r w:rsidR="00584A50">
      <w:instrText>PAGE   \* MERGEFORMAT</w:instrText>
    </w:r>
    <w:r>
      <w:fldChar w:fldCharType="separate"/>
    </w:r>
    <w:r w:rsidR="00D254F7" w:rsidRPr="00D254F7">
      <w:rPr>
        <w:noProof/>
        <w:lang w:val="zh-TW"/>
      </w:rPr>
      <w:t>2</w:t>
    </w:r>
    <w:r>
      <w:fldChar w:fldCharType="end"/>
    </w:r>
  </w:p>
  <w:p w:rsidR="00584A50" w:rsidRDefault="00584A5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814" w:rsidRDefault="00A67814"/>
  </w:footnote>
  <w:footnote w:type="continuationSeparator" w:id="0">
    <w:p w:rsidR="00A67814" w:rsidRDefault="00A6781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30081"/>
    <w:multiLevelType w:val="hybridMultilevel"/>
    <w:tmpl w:val="EF203A8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9D27E2"/>
    <w:multiLevelType w:val="hybridMultilevel"/>
    <w:tmpl w:val="2A80DF6C"/>
    <w:lvl w:ilvl="0" w:tplc="0409000F">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94697D"/>
    <w:multiLevelType w:val="hybridMultilevel"/>
    <w:tmpl w:val="596E4A06"/>
    <w:lvl w:ilvl="0" w:tplc="E6CA9138">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A93230A"/>
    <w:multiLevelType w:val="hybridMultilevel"/>
    <w:tmpl w:val="D05CF08E"/>
    <w:lvl w:ilvl="0" w:tplc="0152E1BE">
      <w:start w:val="1"/>
      <w:numFmt w:val="lowerLetter"/>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13E08D0"/>
    <w:multiLevelType w:val="hybridMultilevel"/>
    <w:tmpl w:val="B6FA2098"/>
    <w:lvl w:ilvl="0" w:tplc="4D5ADE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B23F3C"/>
    <w:multiLevelType w:val="hybridMultilevel"/>
    <w:tmpl w:val="2A80DF6C"/>
    <w:lvl w:ilvl="0" w:tplc="0409000F">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7A3455"/>
    <w:multiLevelType w:val="hybridMultilevel"/>
    <w:tmpl w:val="FAE82E5C"/>
    <w:lvl w:ilvl="0" w:tplc="01A21D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BA80A01"/>
    <w:multiLevelType w:val="hybridMultilevel"/>
    <w:tmpl w:val="C0E8F690"/>
    <w:lvl w:ilvl="0" w:tplc="736EA852">
      <w:start w:val="1"/>
      <w:numFmt w:val="taiwaneseCountingThousand"/>
      <w:lvlText w:val="%1、"/>
      <w:lvlJc w:val="left"/>
      <w:pPr>
        <w:ind w:left="487" w:hanging="487"/>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8">
    <w:nsid w:val="3168115F"/>
    <w:multiLevelType w:val="hybridMultilevel"/>
    <w:tmpl w:val="1FDCC166"/>
    <w:lvl w:ilvl="0" w:tplc="E6CA913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19B4726"/>
    <w:multiLevelType w:val="hybridMultilevel"/>
    <w:tmpl w:val="B694D0F4"/>
    <w:lvl w:ilvl="0" w:tplc="F3B4D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C31D6"/>
    <w:multiLevelType w:val="hybridMultilevel"/>
    <w:tmpl w:val="591284D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6A22760"/>
    <w:multiLevelType w:val="hybridMultilevel"/>
    <w:tmpl w:val="76007C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3C518F4"/>
    <w:multiLevelType w:val="hybridMultilevel"/>
    <w:tmpl w:val="21169E86"/>
    <w:lvl w:ilvl="0" w:tplc="8B4445DC">
      <w:start w:val="1"/>
      <w:numFmt w:val="bullet"/>
      <w:pStyle w:val="abgguidancebulletedlis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43A343F"/>
    <w:multiLevelType w:val="hybridMultilevel"/>
    <w:tmpl w:val="3E4074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44677521"/>
    <w:multiLevelType w:val="hybridMultilevel"/>
    <w:tmpl w:val="F6061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4227C8"/>
    <w:multiLevelType w:val="hybridMultilevel"/>
    <w:tmpl w:val="EA94E472"/>
    <w:lvl w:ilvl="0" w:tplc="EEA26AF8">
      <w:start w:val="1"/>
      <w:numFmt w:val="none"/>
      <w:lvlText w:val="一、"/>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464771"/>
    <w:multiLevelType w:val="hybridMultilevel"/>
    <w:tmpl w:val="35182A4A"/>
    <w:lvl w:ilvl="0" w:tplc="FD9048F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50D83E30"/>
    <w:multiLevelType w:val="hybridMultilevel"/>
    <w:tmpl w:val="7938D118"/>
    <w:lvl w:ilvl="0" w:tplc="A0FA434A">
      <w:start w:val="1"/>
      <w:numFmt w:val="lowerRoman"/>
      <w:lvlText w:val="(%1)"/>
      <w:lvlJc w:val="left"/>
      <w:pPr>
        <w:ind w:left="1206" w:hanging="480"/>
      </w:pPr>
      <w:rPr>
        <w:rFonts w:hint="default"/>
      </w:rPr>
    </w:lvl>
    <w:lvl w:ilvl="1" w:tplc="04090019">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18">
    <w:nsid w:val="5219415A"/>
    <w:multiLevelType w:val="hybridMultilevel"/>
    <w:tmpl w:val="C6703476"/>
    <w:lvl w:ilvl="0" w:tplc="20A25A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2350466"/>
    <w:multiLevelType w:val="hybridMultilevel"/>
    <w:tmpl w:val="B534FBF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40F10D5"/>
    <w:multiLevelType w:val="hybridMultilevel"/>
    <w:tmpl w:val="114840D0"/>
    <w:lvl w:ilvl="0" w:tplc="7B444712">
      <w:start w:val="1"/>
      <w:numFmt w:val="lowerLetter"/>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9F549B9"/>
    <w:multiLevelType w:val="hybridMultilevel"/>
    <w:tmpl w:val="0C9AB972"/>
    <w:lvl w:ilvl="0" w:tplc="04090001">
      <w:start w:val="1"/>
      <w:numFmt w:val="bullet"/>
      <w:lvlText w:val=""/>
      <w:lvlJc w:val="left"/>
      <w:pPr>
        <w:ind w:left="480" w:hanging="480"/>
      </w:pPr>
      <w:rPr>
        <w:rFonts w:ascii="Wingdings" w:hAnsi="Wingdings" w:hint="default"/>
      </w:rPr>
    </w:lvl>
    <w:lvl w:ilvl="1" w:tplc="E6CA9138">
      <w:start w:val="1"/>
      <w:numFmt w:val="lowerLetter"/>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5C9B6D83"/>
    <w:multiLevelType w:val="hybridMultilevel"/>
    <w:tmpl w:val="F0C67B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1764098"/>
    <w:multiLevelType w:val="hybridMultilevel"/>
    <w:tmpl w:val="073C09AA"/>
    <w:lvl w:ilvl="0" w:tplc="3E72EC84">
      <w:start w:val="1"/>
      <w:numFmt w:val="bullet"/>
      <w:pStyle w:val="abgbulletedlist"/>
      <w:lvlText w:val=""/>
      <w:lvlJc w:val="left"/>
      <w:pPr>
        <w:tabs>
          <w:tab w:val="num" w:pos="567"/>
        </w:tabs>
        <w:ind w:left="567" w:hanging="567"/>
      </w:pPr>
      <w:rPr>
        <w:rFonts w:ascii="Symbol" w:hAnsi="Symbol" w:hint="default"/>
        <w:color w:val="auto"/>
      </w:rPr>
    </w:lvl>
    <w:lvl w:ilvl="1" w:tplc="2F7AAFA6">
      <w:start w:val="1"/>
      <w:numFmt w:val="bullet"/>
      <w:lvlText w:val="。"/>
      <w:lvlJc w:val="left"/>
      <w:pPr>
        <w:tabs>
          <w:tab w:val="num" w:pos="1584"/>
        </w:tabs>
        <w:ind w:left="1584" w:hanging="720"/>
      </w:pPr>
      <w:rPr>
        <w:rFonts w:ascii="標楷體" w:eastAsia="標楷體" w:hAnsi="標楷體" w:hint="eastAsia"/>
        <w:sz w:val="22"/>
        <w:szCs w:val="22"/>
      </w:r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4">
    <w:nsid w:val="772A522B"/>
    <w:multiLevelType w:val="hybridMultilevel"/>
    <w:tmpl w:val="9606EC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788B4DB8"/>
    <w:multiLevelType w:val="hybridMultilevel"/>
    <w:tmpl w:val="A0E4FACA"/>
    <w:lvl w:ilvl="0" w:tplc="AA421B70">
      <w:start w:val="1"/>
      <w:numFmt w:val="bullet"/>
      <w:lvlText w:val="•"/>
      <w:lvlJc w:val="left"/>
      <w:pPr>
        <w:tabs>
          <w:tab w:val="num" w:pos="720"/>
        </w:tabs>
        <w:ind w:left="720" w:hanging="360"/>
      </w:pPr>
      <w:rPr>
        <w:rFonts w:ascii="新細明體" w:hAnsi="新細明體" w:hint="default"/>
      </w:rPr>
    </w:lvl>
    <w:lvl w:ilvl="1" w:tplc="F3A258BC" w:tentative="1">
      <w:start w:val="1"/>
      <w:numFmt w:val="bullet"/>
      <w:lvlText w:val="•"/>
      <w:lvlJc w:val="left"/>
      <w:pPr>
        <w:tabs>
          <w:tab w:val="num" w:pos="1440"/>
        </w:tabs>
        <w:ind w:left="1440" w:hanging="360"/>
      </w:pPr>
      <w:rPr>
        <w:rFonts w:ascii="新細明體" w:hAnsi="新細明體" w:hint="default"/>
      </w:rPr>
    </w:lvl>
    <w:lvl w:ilvl="2" w:tplc="B41E8B4E" w:tentative="1">
      <w:start w:val="1"/>
      <w:numFmt w:val="bullet"/>
      <w:lvlText w:val="•"/>
      <w:lvlJc w:val="left"/>
      <w:pPr>
        <w:tabs>
          <w:tab w:val="num" w:pos="2160"/>
        </w:tabs>
        <w:ind w:left="2160" w:hanging="360"/>
      </w:pPr>
      <w:rPr>
        <w:rFonts w:ascii="新細明體" w:hAnsi="新細明體" w:hint="default"/>
      </w:rPr>
    </w:lvl>
    <w:lvl w:ilvl="3" w:tplc="AF2EEA86" w:tentative="1">
      <w:start w:val="1"/>
      <w:numFmt w:val="bullet"/>
      <w:lvlText w:val="•"/>
      <w:lvlJc w:val="left"/>
      <w:pPr>
        <w:tabs>
          <w:tab w:val="num" w:pos="2880"/>
        </w:tabs>
        <w:ind w:left="2880" w:hanging="360"/>
      </w:pPr>
      <w:rPr>
        <w:rFonts w:ascii="新細明體" w:hAnsi="新細明體" w:hint="default"/>
      </w:rPr>
    </w:lvl>
    <w:lvl w:ilvl="4" w:tplc="C5C8FD9A" w:tentative="1">
      <w:start w:val="1"/>
      <w:numFmt w:val="bullet"/>
      <w:lvlText w:val="•"/>
      <w:lvlJc w:val="left"/>
      <w:pPr>
        <w:tabs>
          <w:tab w:val="num" w:pos="3600"/>
        </w:tabs>
        <w:ind w:left="3600" w:hanging="360"/>
      </w:pPr>
      <w:rPr>
        <w:rFonts w:ascii="新細明體" w:hAnsi="新細明體" w:hint="default"/>
      </w:rPr>
    </w:lvl>
    <w:lvl w:ilvl="5" w:tplc="B9CAF1E6" w:tentative="1">
      <w:start w:val="1"/>
      <w:numFmt w:val="bullet"/>
      <w:lvlText w:val="•"/>
      <w:lvlJc w:val="left"/>
      <w:pPr>
        <w:tabs>
          <w:tab w:val="num" w:pos="4320"/>
        </w:tabs>
        <w:ind w:left="4320" w:hanging="360"/>
      </w:pPr>
      <w:rPr>
        <w:rFonts w:ascii="新細明體" w:hAnsi="新細明體" w:hint="default"/>
      </w:rPr>
    </w:lvl>
    <w:lvl w:ilvl="6" w:tplc="C2D4B1C8" w:tentative="1">
      <w:start w:val="1"/>
      <w:numFmt w:val="bullet"/>
      <w:lvlText w:val="•"/>
      <w:lvlJc w:val="left"/>
      <w:pPr>
        <w:tabs>
          <w:tab w:val="num" w:pos="5040"/>
        </w:tabs>
        <w:ind w:left="5040" w:hanging="360"/>
      </w:pPr>
      <w:rPr>
        <w:rFonts w:ascii="新細明體" w:hAnsi="新細明體" w:hint="default"/>
      </w:rPr>
    </w:lvl>
    <w:lvl w:ilvl="7" w:tplc="B73062D4" w:tentative="1">
      <w:start w:val="1"/>
      <w:numFmt w:val="bullet"/>
      <w:lvlText w:val="•"/>
      <w:lvlJc w:val="left"/>
      <w:pPr>
        <w:tabs>
          <w:tab w:val="num" w:pos="5760"/>
        </w:tabs>
        <w:ind w:left="5760" w:hanging="360"/>
      </w:pPr>
      <w:rPr>
        <w:rFonts w:ascii="新細明體" w:hAnsi="新細明體" w:hint="default"/>
      </w:rPr>
    </w:lvl>
    <w:lvl w:ilvl="8" w:tplc="B810AE08" w:tentative="1">
      <w:start w:val="1"/>
      <w:numFmt w:val="bullet"/>
      <w:lvlText w:val="•"/>
      <w:lvlJc w:val="left"/>
      <w:pPr>
        <w:tabs>
          <w:tab w:val="num" w:pos="6480"/>
        </w:tabs>
        <w:ind w:left="6480" w:hanging="360"/>
      </w:pPr>
      <w:rPr>
        <w:rFonts w:ascii="新細明體" w:hAnsi="新細明體" w:hint="default"/>
      </w:rPr>
    </w:lvl>
  </w:abstractNum>
  <w:abstractNum w:abstractNumId="26">
    <w:nsid w:val="78FE075B"/>
    <w:multiLevelType w:val="hybridMultilevel"/>
    <w:tmpl w:val="AD3A12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793C3903"/>
    <w:multiLevelType w:val="hybridMultilevel"/>
    <w:tmpl w:val="596E4A06"/>
    <w:lvl w:ilvl="0" w:tplc="E6CA9138">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7E80486E"/>
    <w:multiLevelType w:val="hybridMultilevel"/>
    <w:tmpl w:val="AEF0BEDC"/>
    <w:lvl w:ilvl="0" w:tplc="85827672">
      <w:start w:val="1"/>
      <w:numFmt w:val="lowerRoman"/>
      <w:lvlText w:val="(%1)"/>
      <w:lvlJc w:val="left"/>
      <w:pPr>
        <w:ind w:left="1206" w:hanging="480"/>
      </w:pPr>
      <w:rPr>
        <w:rFonts w:hint="default"/>
        <w:lang w:val="en-GB"/>
      </w:rPr>
    </w:lvl>
    <w:lvl w:ilvl="1" w:tplc="04090019">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num w:numId="1">
    <w:abstractNumId w:val="19"/>
  </w:num>
  <w:num w:numId="2">
    <w:abstractNumId w:val="18"/>
  </w:num>
  <w:num w:numId="3">
    <w:abstractNumId w:val="26"/>
  </w:num>
  <w:num w:numId="4">
    <w:abstractNumId w:val="13"/>
  </w:num>
  <w:num w:numId="5">
    <w:abstractNumId w:val="2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7"/>
  </w:num>
  <w:num w:numId="9">
    <w:abstractNumId w:val="28"/>
  </w:num>
  <w:num w:numId="10">
    <w:abstractNumId w:val="4"/>
  </w:num>
  <w:num w:numId="11">
    <w:abstractNumId w:val="25"/>
  </w:num>
  <w:num w:numId="12">
    <w:abstractNumId w:val="9"/>
  </w:num>
  <w:num w:numId="13">
    <w:abstractNumId w:val="15"/>
  </w:num>
  <w:num w:numId="14">
    <w:abstractNumId w:val="11"/>
  </w:num>
  <w:num w:numId="15">
    <w:abstractNumId w:val="14"/>
  </w:num>
  <w:num w:numId="16">
    <w:abstractNumId w:val="6"/>
  </w:num>
  <w:num w:numId="17">
    <w:abstractNumId w:val="10"/>
  </w:num>
  <w:num w:numId="18">
    <w:abstractNumId w:val="21"/>
  </w:num>
  <w:num w:numId="19">
    <w:abstractNumId w:val="2"/>
  </w:num>
  <w:num w:numId="20">
    <w:abstractNumId w:val="27"/>
  </w:num>
  <w:num w:numId="21">
    <w:abstractNumId w:val="8"/>
  </w:num>
  <w:num w:numId="22">
    <w:abstractNumId w:val="20"/>
  </w:num>
  <w:num w:numId="23">
    <w:abstractNumId w:val="0"/>
  </w:num>
  <w:num w:numId="24">
    <w:abstractNumId w:val="22"/>
  </w:num>
  <w:num w:numId="25">
    <w:abstractNumId w:val="3"/>
  </w:num>
  <w:num w:numId="26">
    <w:abstractNumId w:val="5"/>
  </w:num>
  <w:num w:numId="27">
    <w:abstractNumId w:val="7"/>
  </w:num>
  <w:num w:numId="28">
    <w:abstractNumId w:val="1"/>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482"/>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4827"/>
    <w:rsid w:val="0000033C"/>
    <w:rsid w:val="00001211"/>
    <w:rsid w:val="0000126E"/>
    <w:rsid w:val="00003704"/>
    <w:rsid w:val="00003F50"/>
    <w:rsid w:val="00004443"/>
    <w:rsid w:val="00006D31"/>
    <w:rsid w:val="000070DE"/>
    <w:rsid w:val="000108DA"/>
    <w:rsid w:val="0001162E"/>
    <w:rsid w:val="00011BD1"/>
    <w:rsid w:val="0001203A"/>
    <w:rsid w:val="00013DAA"/>
    <w:rsid w:val="00016294"/>
    <w:rsid w:val="00017200"/>
    <w:rsid w:val="00017555"/>
    <w:rsid w:val="00020D4B"/>
    <w:rsid w:val="00021438"/>
    <w:rsid w:val="00022017"/>
    <w:rsid w:val="00022100"/>
    <w:rsid w:val="00023376"/>
    <w:rsid w:val="00023751"/>
    <w:rsid w:val="00023A91"/>
    <w:rsid w:val="000245BA"/>
    <w:rsid w:val="0002592F"/>
    <w:rsid w:val="000274F6"/>
    <w:rsid w:val="00027A34"/>
    <w:rsid w:val="00027ECF"/>
    <w:rsid w:val="00030E93"/>
    <w:rsid w:val="00031373"/>
    <w:rsid w:val="00032DE4"/>
    <w:rsid w:val="0003516B"/>
    <w:rsid w:val="00035660"/>
    <w:rsid w:val="00036CBF"/>
    <w:rsid w:val="00040BD2"/>
    <w:rsid w:val="000410E9"/>
    <w:rsid w:val="000418DD"/>
    <w:rsid w:val="00041F61"/>
    <w:rsid w:val="00041FD9"/>
    <w:rsid w:val="000424CE"/>
    <w:rsid w:val="00042A2A"/>
    <w:rsid w:val="00046457"/>
    <w:rsid w:val="00047B1F"/>
    <w:rsid w:val="00047C48"/>
    <w:rsid w:val="0005093F"/>
    <w:rsid w:val="00051FFA"/>
    <w:rsid w:val="0005215D"/>
    <w:rsid w:val="00052AF4"/>
    <w:rsid w:val="000538CE"/>
    <w:rsid w:val="00053B43"/>
    <w:rsid w:val="0005420C"/>
    <w:rsid w:val="00055315"/>
    <w:rsid w:val="000569B6"/>
    <w:rsid w:val="00056EA4"/>
    <w:rsid w:val="000575A3"/>
    <w:rsid w:val="00057766"/>
    <w:rsid w:val="00057800"/>
    <w:rsid w:val="0006122B"/>
    <w:rsid w:val="0006172D"/>
    <w:rsid w:val="00062CF4"/>
    <w:rsid w:val="00063FC9"/>
    <w:rsid w:val="000646EC"/>
    <w:rsid w:val="000647F1"/>
    <w:rsid w:val="00065B7A"/>
    <w:rsid w:val="00067D33"/>
    <w:rsid w:val="00070103"/>
    <w:rsid w:val="0007075C"/>
    <w:rsid w:val="00072392"/>
    <w:rsid w:val="00072847"/>
    <w:rsid w:val="0007344D"/>
    <w:rsid w:val="00074E8A"/>
    <w:rsid w:val="000756C1"/>
    <w:rsid w:val="00075A75"/>
    <w:rsid w:val="0007761C"/>
    <w:rsid w:val="00080A3D"/>
    <w:rsid w:val="0008103F"/>
    <w:rsid w:val="0008126B"/>
    <w:rsid w:val="00081A00"/>
    <w:rsid w:val="00081AE0"/>
    <w:rsid w:val="00083664"/>
    <w:rsid w:val="000848A5"/>
    <w:rsid w:val="00084950"/>
    <w:rsid w:val="00085008"/>
    <w:rsid w:val="00086836"/>
    <w:rsid w:val="00090B5B"/>
    <w:rsid w:val="0009308D"/>
    <w:rsid w:val="0009311A"/>
    <w:rsid w:val="000948F2"/>
    <w:rsid w:val="00094B98"/>
    <w:rsid w:val="00096201"/>
    <w:rsid w:val="00097C67"/>
    <w:rsid w:val="000A0E3E"/>
    <w:rsid w:val="000A285A"/>
    <w:rsid w:val="000A2D0B"/>
    <w:rsid w:val="000A3906"/>
    <w:rsid w:val="000A3923"/>
    <w:rsid w:val="000A513D"/>
    <w:rsid w:val="000A6C2C"/>
    <w:rsid w:val="000A6D76"/>
    <w:rsid w:val="000A7391"/>
    <w:rsid w:val="000A7CEF"/>
    <w:rsid w:val="000A7D30"/>
    <w:rsid w:val="000B0183"/>
    <w:rsid w:val="000B019A"/>
    <w:rsid w:val="000B11F3"/>
    <w:rsid w:val="000B2E30"/>
    <w:rsid w:val="000B335B"/>
    <w:rsid w:val="000B38CC"/>
    <w:rsid w:val="000B413A"/>
    <w:rsid w:val="000B53E4"/>
    <w:rsid w:val="000B7AF7"/>
    <w:rsid w:val="000C17A0"/>
    <w:rsid w:val="000C19BB"/>
    <w:rsid w:val="000C1EF8"/>
    <w:rsid w:val="000C4A39"/>
    <w:rsid w:val="000C4A41"/>
    <w:rsid w:val="000C4B4D"/>
    <w:rsid w:val="000C5BA2"/>
    <w:rsid w:val="000C5C30"/>
    <w:rsid w:val="000D0CF7"/>
    <w:rsid w:val="000D1EED"/>
    <w:rsid w:val="000D20FB"/>
    <w:rsid w:val="000D2606"/>
    <w:rsid w:val="000D3E57"/>
    <w:rsid w:val="000D5919"/>
    <w:rsid w:val="000D5A49"/>
    <w:rsid w:val="000D6D6A"/>
    <w:rsid w:val="000D6DEF"/>
    <w:rsid w:val="000D6EB1"/>
    <w:rsid w:val="000D6F43"/>
    <w:rsid w:val="000E0F83"/>
    <w:rsid w:val="000E11DF"/>
    <w:rsid w:val="000E13C4"/>
    <w:rsid w:val="000E190F"/>
    <w:rsid w:val="000E51D5"/>
    <w:rsid w:val="000E6276"/>
    <w:rsid w:val="000E6414"/>
    <w:rsid w:val="000E68C8"/>
    <w:rsid w:val="000F0873"/>
    <w:rsid w:val="000F168D"/>
    <w:rsid w:val="000F1953"/>
    <w:rsid w:val="000F3E74"/>
    <w:rsid w:val="000F5035"/>
    <w:rsid w:val="000F5292"/>
    <w:rsid w:val="000F5929"/>
    <w:rsid w:val="000F62DD"/>
    <w:rsid w:val="000F7215"/>
    <w:rsid w:val="000F7C02"/>
    <w:rsid w:val="0010096A"/>
    <w:rsid w:val="001019AA"/>
    <w:rsid w:val="00105621"/>
    <w:rsid w:val="00107F8A"/>
    <w:rsid w:val="00110C88"/>
    <w:rsid w:val="00112CA7"/>
    <w:rsid w:val="00113C07"/>
    <w:rsid w:val="00114229"/>
    <w:rsid w:val="00114661"/>
    <w:rsid w:val="00114CCD"/>
    <w:rsid w:val="00115CF7"/>
    <w:rsid w:val="00115EDD"/>
    <w:rsid w:val="001219F0"/>
    <w:rsid w:val="00122AE2"/>
    <w:rsid w:val="0012331C"/>
    <w:rsid w:val="001234E1"/>
    <w:rsid w:val="001242EB"/>
    <w:rsid w:val="00125C1E"/>
    <w:rsid w:val="00126421"/>
    <w:rsid w:val="00126A38"/>
    <w:rsid w:val="00133CF8"/>
    <w:rsid w:val="00133F2E"/>
    <w:rsid w:val="001347BB"/>
    <w:rsid w:val="00135456"/>
    <w:rsid w:val="00135519"/>
    <w:rsid w:val="001361D3"/>
    <w:rsid w:val="00136706"/>
    <w:rsid w:val="001404AA"/>
    <w:rsid w:val="001432A5"/>
    <w:rsid w:val="00143F2E"/>
    <w:rsid w:val="0014696C"/>
    <w:rsid w:val="00147EA1"/>
    <w:rsid w:val="00153CCE"/>
    <w:rsid w:val="00154EAE"/>
    <w:rsid w:val="001551C5"/>
    <w:rsid w:val="001559A7"/>
    <w:rsid w:val="00157373"/>
    <w:rsid w:val="00157EFA"/>
    <w:rsid w:val="00160264"/>
    <w:rsid w:val="001604F9"/>
    <w:rsid w:val="00160774"/>
    <w:rsid w:val="00160C87"/>
    <w:rsid w:val="00160F04"/>
    <w:rsid w:val="00161889"/>
    <w:rsid w:val="001622BC"/>
    <w:rsid w:val="001624C0"/>
    <w:rsid w:val="001654EB"/>
    <w:rsid w:val="001667BA"/>
    <w:rsid w:val="001704CF"/>
    <w:rsid w:val="0017099F"/>
    <w:rsid w:val="0017105B"/>
    <w:rsid w:val="00171EF1"/>
    <w:rsid w:val="00172942"/>
    <w:rsid w:val="00172BF6"/>
    <w:rsid w:val="001755DF"/>
    <w:rsid w:val="00176DB7"/>
    <w:rsid w:val="001805DE"/>
    <w:rsid w:val="00180A1F"/>
    <w:rsid w:val="00182FF0"/>
    <w:rsid w:val="00184649"/>
    <w:rsid w:val="00184665"/>
    <w:rsid w:val="001848D1"/>
    <w:rsid w:val="001861E0"/>
    <w:rsid w:val="00186B8B"/>
    <w:rsid w:val="00193F22"/>
    <w:rsid w:val="00194CE7"/>
    <w:rsid w:val="00196177"/>
    <w:rsid w:val="0019659A"/>
    <w:rsid w:val="0019693C"/>
    <w:rsid w:val="00196D22"/>
    <w:rsid w:val="001A1EC7"/>
    <w:rsid w:val="001A6EF6"/>
    <w:rsid w:val="001A738A"/>
    <w:rsid w:val="001A7A61"/>
    <w:rsid w:val="001A7BE7"/>
    <w:rsid w:val="001B0581"/>
    <w:rsid w:val="001B078F"/>
    <w:rsid w:val="001B17B6"/>
    <w:rsid w:val="001B1E7B"/>
    <w:rsid w:val="001B20ED"/>
    <w:rsid w:val="001B36FC"/>
    <w:rsid w:val="001B3D9F"/>
    <w:rsid w:val="001B4737"/>
    <w:rsid w:val="001B4AD7"/>
    <w:rsid w:val="001B4FFB"/>
    <w:rsid w:val="001B656E"/>
    <w:rsid w:val="001B7085"/>
    <w:rsid w:val="001C35CA"/>
    <w:rsid w:val="001C3981"/>
    <w:rsid w:val="001C3A9F"/>
    <w:rsid w:val="001C56DA"/>
    <w:rsid w:val="001C6060"/>
    <w:rsid w:val="001D1B2E"/>
    <w:rsid w:val="001D21EB"/>
    <w:rsid w:val="001D2401"/>
    <w:rsid w:val="001D253B"/>
    <w:rsid w:val="001D290F"/>
    <w:rsid w:val="001D2CFE"/>
    <w:rsid w:val="001D2E7F"/>
    <w:rsid w:val="001D366E"/>
    <w:rsid w:val="001D5787"/>
    <w:rsid w:val="001D601D"/>
    <w:rsid w:val="001D705D"/>
    <w:rsid w:val="001E1CC6"/>
    <w:rsid w:val="001E1D85"/>
    <w:rsid w:val="001E1FE0"/>
    <w:rsid w:val="001E3014"/>
    <w:rsid w:val="001E34FF"/>
    <w:rsid w:val="001E53D8"/>
    <w:rsid w:val="001E6B33"/>
    <w:rsid w:val="001E7177"/>
    <w:rsid w:val="001E7B76"/>
    <w:rsid w:val="001E7CF7"/>
    <w:rsid w:val="001F084D"/>
    <w:rsid w:val="001F08F3"/>
    <w:rsid w:val="001F2024"/>
    <w:rsid w:val="001F2DD1"/>
    <w:rsid w:val="001F4B60"/>
    <w:rsid w:val="001F620C"/>
    <w:rsid w:val="001F6375"/>
    <w:rsid w:val="001F7A0A"/>
    <w:rsid w:val="0020139C"/>
    <w:rsid w:val="00201866"/>
    <w:rsid w:val="00203566"/>
    <w:rsid w:val="00203675"/>
    <w:rsid w:val="00203AC9"/>
    <w:rsid w:val="00204B0B"/>
    <w:rsid w:val="00205D0D"/>
    <w:rsid w:val="00206CAE"/>
    <w:rsid w:val="00207F19"/>
    <w:rsid w:val="00213A7A"/>
    <w:rsid w:val="00214326"/>
    <w:rsid w:val="0021640A"/>
    <w:rsid w:val="00217AB6"/>
    <w:rsid w:val="00217D47"/>
    <w:rsid w:val="00220BE4"/>
    <w:rsid w:val="002219C1"/>
    <w:rsid w:val="002222C3"/>
    <w:rsid w:val="0022233F"/>
    <w:rsid w:val="002239B9"/>
    <w:rsid w:val="00224CFC"/>
    <w:rsid w:val="002255DB"/>
    <w:rsid w:val="00226A22"/>
    <w:rsid w:val="00227570"/>
    <w:rsid w:val="00227C3A"/>
    <w:rsid w:val="00227D48"/>
    <w:rsid w:val="00231CAB"/>
    <w:rsid w:val="00231D21"/>
    <w:rsid w:val="00231E59"/>
    <w:rsid w:val="00233F4F"/>
    <w:rsid w:val="002341F5"/>
    <w:rsid w:val="0023446A"/>
    <w:rsid w:val="00235360"/>
    <w:rsid w:val="00235D0E"/>
    <w:rsid w:val="00236BD0"/>
    <w:rsid w:val="0023711F"/>
    <w:rsid w:val="00237565"/>
    <w:rsid w:val="00242786"/>
    <w:rsid w:val="00242882"/>
    <w:rsid w:val="00245C24"/>
    <w:rsid w:val="00246C6E"/>
    <w:rsid w:val="002476DF"/>
    <w:rsid w:val="00247DD2"/>
    <w:rsid w:val="00251D33"/>
    <w:rsid w:val="00253271"/>
    <w:rsid w:val="00253FCC"/>
    <w:rsid w:val="002557F5"/>
    <w:rsid w:val="00256CE8"/>
    <w:rsid w:val="002576A7"/>
    <w:rsid w:val="00257D18"/>
    <w:rsid w:val="00261A8B"/>
    <w:rsid w:val="00262436"/>
    <w:rsid w:val="002631CC"/>
    <w:rsid w:val="00263AD4"/>
    <w:rsid w:val="00264465"/>
    <w:rsid w:val="0026447B"/>
    <w:rsid w:val="00264F05"/>
    <w:rsid w:val="00265430"/>
    <w:rsid w:val="00271247"/>
    <w:rsid w:val="0027154D"/>
    <w:rsid w:val="00272CD3"/>
    <w:rsid w:val="00272E78"/>
    <w:rsid w:val="002747DE"/>
    <w:rsid w:val="002774F6"/>
    <w:rsid w:val="0028047D"/>
    <w:rsid w:val="00281B45"/>
    <w:rsid w:val="00282CD0"/>
    <w:rsid w:val="00282F14"/>
    <w:rsid w:val="00283294"/>
    <w:rsid w:val="00284D46"/>
    <w:rsid w:val="00286607"/>
    <w:rsid w:val="00287C02"/>
    <w:rsid w:val="00291826"/>
    <w:rsid w:val="00291D3C"/>
    <w:rsid w:val="00291FA3"/>
    <w:rsid w:val="00292432"/>
    <w:rsid w:val="00292524"/>
    <w:rsid w:val="00292BDE"/>
    <w:rsid w:val="00292E75"/>
    <w:rsid w:val="002933A2"/>
    <w:rsid w:val="0029360C"/>
    <w:rsid w:val="00294053"/>
    <w:rsid w:val="00295EAB"/>
    <w:rsid w:val="0029665C"/>
    <w:rsid w:val="002974CD"/>
    <w:rsid w:val="00297FB7"/>
    <w:rsid w:val="002A16AD"/>
    <w:rsid w:val="002A3948"/>
    <w:rsid w:val="002A598D"/>
    <w:rsid w:val="002A6422"/>
    <w:rsid w:val="002A6428"/>
    <w:rsid w:val="002B007C"/>
    <w:rsid w:val="002B0F4E"/>
    <w:rsid w:val="002B3D94"/>
    <w:rsid w:val="002B3FFE"/>
    <w:rsid w:val="002B4303"/>
    <w:rsid w:val="002B4FF8"/>
    <w:rsid w:val="002B52F5"/>
    <w:rsid w:val="002C0DE5"/>
    <w:rsid w:val="002C0F20"/>
    <w:rsid w:val="002C1538"/>
    <w:rsid w:val="002C15A9"/>
    <w:rsid w:val="002C1720"/>
    <w:rsid w:val="002C3AB0"/>
    <w:rsid w:val="002C45AB"/>
    <w:rsid w:val="002C48B7"/>
    <w:rsid w:val="002C5499"/>
    <w:rsid w:val="002C56F8"/>
    <w:rsid w:val="002C63AE"/>
    <w:rsid w:val="002C67F4"/>
    <w:rsid w:val="002C74B6"/>
    <w:rsid w:val="002C777B"/>
    <w:rsid w:val="002C7DF1"/>
    <w:rsid w:val="002D00EC"/>
    <w:rsid w:val="002D05C0"/>
    <w:rsid w:val="002D09E5"/>
    <w:rsid w:val="002D14FE"/>
    <w:rsid w:val="002D17F4"/>
    <w:rsid w:val="002D671D"/>
    <w:rsid w:val="002D7F7D"/>
    <w:rsid w:val="002E20CA"/>
    <w:rsid w:val="002E52DE"/>
    <w:rsid w:val="002E5BC1"/>
    <w:rsid w:val="002E5F13"/>
    <w:rsid w:val="002E696C"/>
    <w:rsid w:val="002E69F1"/>
    <w:rsid w:val="002E71A5"/>
    <w:rsid w:val="002F0023"/>
    <w:rsid w:val="002F1221"/>
    <w:rsid w:val="002F27DF"/>
    <w:rsid w:val="002F31E1"/>
    <w:rsid w:val="002F5F9A"/>
    <w:rsid w:val="002F63ED"/>
    <w:rsid w:val="002F646E"/>
    <w:rsid w:val="002F654A"/>
    <w:rsid w:val="002F6B26"/>
    <w:rsid w:val="002F7903"/>
    <w:rsid w:val="003008CE"/>
    <w:rsid w:val="00300B58"/>
    <w:rsid w:val="0030288F"/>
    <w:rsid w:val="00302FDB"/>
    <w:rsid w:val="0030351D"/>
    <w:rsid w:val="003041D9"/>
    <w:rsid w:val="00304857"/>
    <w:rsid w:val="003059D2"/>
    <w:rsid w:val="003074D3"/>
    <w:rsid w:val="003110D6"/>
    <w:rsid w:val="00313440"/>
    <w:rsid w:val="003137AB"/>
    <w:rsid w:val="00314BE0"/>
    <w:rsid w:val="00315834"/>
    <w:rsid w:val="003162FC"/>
    <w:rsid w:val="00316A5E"/>
    <w:rsid w:val="00316EC9"/>
    <w:rsid w:val="003207A9"/>
    <w:rsid w:val="00323D34"/>
    <w:rsid w:val="0033025D"/>
    <w:rsid w:val="00330DDC"/>
    <w:rsid w:val="003314CA"/>
    <w:rsid w:val="0033237D"/>
    <w:rsid w:val="0033412A"/>
    <w:rsid w:val="003344A3"/>
    <w:rsid w:val="003345B7"/>
    <w:rsid w:val="00334B49"/>
    <w:rsid w:val="00334BDD"/>
    <w:rsid w:val="00334FB5"/>
    <w:rsid w:val="0033589C"/>
    <w:rsid w:val="00336129"/>
    <w:rsid w:val="00336144"/>
    <w:rsid w:val="00336479"/>
    <w:rsid w:val="0033648A"/>
    <w:rsid w:val="00341784"/>
    <w:rsid w:val="00342D5C"/>
    <w:rsid w:val="00344430"/>
    <w:rsid w:val="00344B4E"/>
    <w:rsid w:val="003458CE"/>
    <w:rsid w:val="00345B81"/>
    <w:rsid w:val="00346398"/>
    <w:rsid w:val="00346E20"/>
    <w:rsid w:val="00352372"/>
    <w:rsid w:val="00353A47"/>
    <w:rsid w:val="003547A1"/>
    <w:rsid w:val="00354931"/>
    <w:rsid w:val="003554AE"/>
    <w:rsid w:val="003556F6"/>
    <w:rsid w:val="00361715"/>
    <w:rsid w:val="00365680"/>
    <w:rsid w:val="00365E9E"/>
    <w:rsid w:val="0036622E"/>
    <w:rsid w:val="003665B1"/>
    <w:rsid w:val="00367467"/>
    <w:rsid w:val="00370D43"/>
    <w:rsid w:val="00371099"/>
    <w:rsid w:val="003710A6"/>
    <w:rsid w:val="00371136"/>
    <w:rsid w:val="00372021"/>
    <w:rsid w:val="00372B07"/>
    <w:rsid w:val="00372ED6"/>
    <w:rsid w:val="0037351A"/>
    <w:rsid w:val="003743F5"/>
    <w:rsid w:val="00374BBC"/>
    <w:rsid w:val="003750B9"/>
    <w:rsid w:val="00377D9E"/>
    <w:rsid w:val="00381243"/>
    <w:rsid w:val="00382203"/>
    <w:rsid w:val="0038253E"/>
    <w:rsid w:val="00382A1D"/>
    <w:rsid w:val="003838F1"/>
    <w:rsid w:val="00384A88"/>
    <w:rsid w:val="00384E50"/>
    <w:rsid w:val="00385841"/>
    <w:rsid w:val="0038668C"/>
    <w:rsid w:val="00386D4D"/>
    <w:rsid w:val="003879AB"/>
    <w:rsid w:val="00390C4B"/>
    <w:rsid w:val="0039116A"/>
    <w:rsid w:val="0039190C"/>
    <w:rsid w:val="003919F9"/>
    <w:rsid w:val="00392761"/>
    <w:rsid w:val="003930D2"/>
    <w:rsid w:val="003930EC"/>
    <w:rsid w:val="003932AD"/>
    <w:rsid w:val="00393F67"/>
    <w:rsid w:val="00395156"/>
    <w:rsid w:val="00395891"/>
    <w:rsid w:val="00395C57"/>
    <w:rsid w:val="003963A8"/>
    <w:rsid w:val="003A000F"/>
    <w:rsid w:val="003A10AB"/>
    <w:rsid w:val="003A1C3C"/>
    <w:rsid w:val="003A2804"/>
    <w:rsid w:val="003A438C"/>
    <w:rsid w:val="003A4A8C"/>
    <w:rsid w:val="003A4DB6"/>
    <w:rsid w:val="003A70BC"/>
    <w:rsid w:val="003B0608"/>
    <w:rsid w:val="003B0A07"/>
    <w:rsid w:val="003B0D18"/>
    <w:rsid w:val="003B26C6"/>
    <w:rsid w:val="003B2ED3"/>
    <w:rsid w:val="003B4D8B"/>
    <w:rsid w:val="003B5250"/>
    <w:rsid w:val="003B53C1"/>
    <w:rsid w:val="003B7BA4"/>
    <w:rsid w:val="003C0F46"/>
    <w:rsid w:val="003C17CD"/>
    <w:rsid w:val="003C215E"/>
    <w:rsid w:val="003C3BF5"/>
    <w:rsid w:val="003C42CC"/>
    <w:rsid w:val="003C714F"/>
    <w:rsid w:val="003C7315"/>
    <w:rsid w:val="003D0254"/>
    <w:rsid w:val="003D225C"/>
    <w:rsid w:val="003D2BFE"/>
    <w:rsid w:val="003D3939"/>
    <w:rsid w:val="003D3BF5"/>
    <w:rsid w:val="003D4664"/>
    <w:rsid w:val="003D4BCD"/>
    <w:rsid w:val="003D4FEB"/>
    <w:rsid w:val="003D662B"/>
    <w:rsid w:val="003E1888"/>
    <w:rsid w:val="003E384D"/>
    <w:rsid w:val="003E48C4"/>
    <w:rsid w:val="003E5790"/>
    <w:rsid w:val="003E63F5"/>
    <w:rsid w:val="003F0CAC"/>
    <w:rsid w:val="003F1348"/>
    <w:rsid w:val="003F13B8"/>
    <w:rsid w:val="003F3930"/>
    <w:rsid w:val="003F3DA1"/>
    <w:rsid w:val="003F578F"/>
    <w:rsid w:val="003F6623"/>
    <w:rsid w:val="003F6A0B"/>
    <w:rsid w:val="003F6C31"/>
    <w:rsid w:val="003F6DEF"/>
    <w:rsid w:val="003F6DF8"/>
    <w:rsid w:val="003F78B1"/>
    <w:rsid w:val="00401EEA"/>
    <w:rsid w:val="00402705"/>
    <w:rsid w:val="004033A2"/>
    <w:rsid w:val="00404C02"/>
    <w:rsid w:val="00404C03"/>
    <w:rsid w:val="00405C04"/>
    <w:rsid w:val="00405C3A"/>
    <w:rsid w:val="0040661A"/>
    <w:rsid w:val="00406C47"/>
    <w:rsid w:val="004079E4"/>
    <w:rsid w:val="00407F09"/>
    <w:rsid w:val="0041114B"/>
    <w:rsid w:val="00411454"/>
    <w:rsid w:val="00412619"/>
    <w:rsid w:val="0041290A"/>
    <w:rsid w:val="00412D12"/>
    <w:rsid w:val="00412E38"/>
    <w:rsid w:val="0041336F"/>
    <w:rsid w:val="00414776"/>
    <w:rsid w:val="00415941"/>
    <w:rsid w:val="00415C3E"/>
    <w:rsid w:val="004164A5"/>
    <w:rsid w:val="00416B95"/>
    <w:rsid w:val="00420045"/>
    <w:rsid w:val="00420738"/>
    <w:rsid w:val="00420974"/>
    <w:rsid w:val="004213ED"/>
    <w:rsid w:val="004230FB"/>
    <w:rsid w:val="00423E4F"/>
    <w:rsid w:val="0042561D"/>
    <w:rsid w:val="00425E11"/>
    <w:rsid w:val="00425F46"/>
    <w:rsid w:val="00426CCA"/>
    <w:rsid w:val="00426ED6"/>
    <w:rsid w:val="00430954"/>
    <w:rsid w:val="004314EB"/>
    <w:rsid w:val="004321F4"/>
    <w:rsid w:val="00433B4E"/>
    <w:rsid w:val="00433ED3"/>
    <w:rsid w:val="00434587"/>
    <w:rsid w:val="004357F0"/>
    <w:rsid w:val="004364B9"/>
    <w:rsid w:val="004367C0"/>
    <w:rsid w:val="00437F99"/>
    <w:rsid w:val="00440DD9"/>
    <w:rsid w:val="00442172"/>
    <w:rsid w:val="00442F95"/>
    <w:rsid w:val="00443A26"/>
    <w:rsid w:val="00443E64"/>
    <w:rsid w:val="00445510"/>
    <w:rsid w:val="0044693A"/>
    <w:rsid w:val="00446B52"/>
    <w:rsid w:val="00451128"/>
    <w:rsid w:val="004520C8"/>
    <w:rsid w:val="004526C3"/>
    <w:rsid w:val="00454417"/>
    <w:rsid w:val="00455901"/>
    <w:rsid w:val="00455ADE"/>
    <w:rsid w:val="004560E6"/>
    <w:rsid w:val="00457AAB"/>
    <w:rsid w:val="00460DF2"/>
    <w:rsid w:val="004617FB"/>
    <w:rsid w:val="0046344A"/>
    <w:rsid w:val="00470EF4"/>
    <w:rsid w:val="0047424A"/>
    <w:rsid w:val="00474681"/>
    <w:rsid w:val="0047691A"/>
    <w:rsid w:val="00476D48"/>
    <w:rsid w:val="0047706E"/>
    <w:rsid w:val="00477508"/>
    <w:rsid w:val="00477B4F"/>
    <w:rsid w:val="004847DA"/>
    <w:rsid w:val="00485F17"/>
    <w:rsid w:val="00487702"/>
    <w:rsid w:val="00487B7C"/>
    <w:rsid w:val="00492E87"/>
    <w:rsid w:val="004931DE"/>
    <w:rsid w:val="00493E6F"/>
    <w:rsid w:val="0049692C"/>
    <w:rsid w:val="004A1412"/>
    <w:rsid w:val="004A22B0"/>
    <w:rsid w:val="004A24DE"/>
    <w:rsid w:val="004A3442"/>
    <w:rsid w:val="004A3FBC"/>
    <w:rsid w:val="004A5670"/>
    <w:rsid w:val="004A6010"/>
    <w:rsid w:val="004A6DD1"/>
    <w:rsid w:val="004B00D7"/>
    <w:rsid w:val="004B0E41"/>
    <w:rsid w:val="004B15C8"/>
    <w:rsid w:val="004B2097"/>
    <w:rsid w:val="004B2C3B"/>
    <w:rsid w:val="004B31A4"/>
    <w:rsid w:val="004B3FD7"/>
    <w:rsid w:val="004B4069"/>
    <w:rsid w:val="004B518E"/>
    <w:rsid w:val="004B5B56"/>
    <w:rsid w:val="004B5CE1"/>
    <w:rsid w:val="004B70A4"/>
    <w:rsid w:val="004B7496"/>
    <w:rsid w:val="004B7853"/>
    <w:rsid w:val="004C02B2"/>
    <w:rsid w:val="004C09B6"/>
    <w:rsid w:val="004C1B16"/>
    <w:rsid w:val="004C2C2D"/>
    <w:rsid w:val="004C4B53"/>
    <w:rsid w:val="004C5533"/>
    <w:rsid w:val="004C5A0B"/>
    <w:rsid w:val="004C618B"/>
    <w:rsid w:val="004C716A"/>
    <w:rsid w:val="004D17F4"/>
    <w:rsid w:val="004D2371"/>
    <w:rsid w:val="004D23AF"/>
    <w:rsid w:val="004D2AF1"/>
    <w:rsid w:val="004D2C1A"/>
    <w:rsid w:val="004D300E"/>
    <w:rsid w:val="004D312A"/>
    <w:rsid w:val="004D3835"/>
    <w:rsid w:val="004D49C8"/>
    <w:rsid w:val="004D4FC1"/>
    <w:rsid w:val="004D6ADB"/>
    <w:rsid w:val="004D78AA"/>
    <w:rsid w:val="004D7B5B"/>
    <w:rsid w:val="004D7C8E"/>
    <w:rsid w:val="004D7D3D"/>
    <w:rsid w:val="004E0ED9"/>
    <w:rsid w:val="004E1E2E"/>
    <w:rsid w:val="004E3B04"/>
    <w:rsid w:val="004E4F49"/>
    <w:rsid w:val="004E5639"/>
    <w:rsid w:val="004E6BF0"/>
    <w:rsid w:val="004E7ED9"/>
    <w:rsid w:val="004F0692"/>
    <w:rsid w:val="004F0741"/>
    <w:rsid w:val="004F084E"/>
    <w:rsid w:val="004F24F1"/>
    <w:rsid w:val="004F3472"/>
    <w:rsid w:val="004F4B1A"/>
    <w:rsid w:val="004F4D3B"/>
    <w:rsid w:val="004F6830"/>
    <w:rsid w:val="004F7D43"/>
    <w:rsid w:val="005001F0"/>
    <w:rsid w:val="00501556"/>
    <w:rsid w:val="00501829"/>
    <w:rsid w:val="0050353D"/>
    <w:rsid w:val="005052BD"/>
    <w:rsid w:val="005060EE"/>
    <w:rsid w:val="0050689F"/>
    <w:rsid w:val="005073BD"/>
    <w:rsid w:val="00507BA5"/>
    <w:rsid w:val="00511A45"/>
    <w:rsid w:val="0051471A"/>
    <w:rsid w:val="005164B8"/>
    <w:rsid w:val="005169A6"/>
    <w:rsid w:val="005171FC"/>
    <w:rsid w:val="0051733F"/>
    <w:rsid w:val="00517F03"/>
    <w:rsid w:val="005213F2"/>
    <w:rsid w:val="00521C1A"/>
    <w:rsid w:val="00523AC2"/>
    <w:rsid w:val="0052440E"/>
    <w:rsid w:val="005252A0"/>
    <w:rsid w:val="005259D5"/>
    <w:rsid w:val="005262EC"/>
    <w:rsid w:val="00530047"/>
    <w:rsid w:val="00531D7B"/>
    <w:rsid w:val="00532DCE"/>
    <w:rsid w:val="00534ACA"/>
    <w:rsid w:val="005373C0"/>
    <w:rsid w:val="00537CEC"/>
    <w:rsid w:val="00540256"/>
    <w:rsid w:val="00540A99"/>
    <w:rsid w:val="005414BA"/>
    <w:rsid w:val="00541B5C"/>
    <w:rsid w:val="005427D4"/>
    <w:rsid w:val="00542809"/>
    <w:rsid w:val="00542FF1"/>
    <w:rsid w:val="00544035"/>
    <w:rsid w:val="0054486E"/>
    <w:rsid w:val="00545A11"/>
    <w:rsid w:val="00547D82"/>
    <w:rsid w:val="005516D9"/>
    <w:rsid w:val="00554A9C"/>
    <w:rsid w:val="00555480"/>
    <w:rsid w:val="00555AE2"/>
    <w:rsid w:val="00557A35"/>
    <w:rsid w:val="00560C9D"/>
    <w:rsid w:val="00560EA0"/>
    <w:rsid w:val="00561A75"/>
    <w:rsid w:val="005625C5"/>
    <w:rsid w:val="005646C3"/>
    <w:rsid w:val="005665D9"/>
    <w:rsid w:val="00567F18"/>
    <w:rsid w:val="005704EA"/>
    <w:rsid w:val="00570AE3"/>
    <w:rsid w:val="00570B71"/>
    <w:rsid w:val="00572A6D"/>
    <w:rsid w:val="00573FF4"/>
    <w:rsid w:val="00574E2C"/>
    <w:rsid w:val="005753CE"/>
    <w:rsid w:val="00575C25"/>
    <w:rsid w:val="0057602D"/>
    <w:rsid w:val="00576345"/>
    <w:rsid w:val="00576377"/>
    <w:rsid w:val="00577E0D"/>
    <w:rsid w:val="005803B4"/>
    <w:rsid w:val="005809CA"/>
    <w:rsid w:val="00582B39"/>
    <w:rsid w:val="005836FD"/>
    <w:rsid w:val="00583C80"/>
    <w:rsid w:val="00584790"/>
    <w:rsid w:val="00584A50"/>
    <w:rsid w:val="0058572C"/>
    <w:rsid w:val="00586CAA"/>
    <w:rsid w:val="00587661"/>
    <w:rsid w:val="005911DE"/>
    <w:rsid w:val="00591CCB"/>
    <w:rsid w:val="00593A39"/>
    <w:rsid w:val="00595150"/>
    <w:rsid w:val="0059633E"/>
    <w:rsid w:val="0059642E"/>
    <w:rsid w:val="00596497"/>
    <w:rsid w:val="005965C7"/>
    <w:rsid w:val="00596EAC"/>
    <w:rsid w:val="0059774A"/>
    <w:rsid w:val="00597959"/>
    <w:rsid w:val="00597D63"/>
    <w:rsid w:val="005A081C"/>
    <w:rsid w:val="005A10FF"/>
    <w:rsid w:val="005A11AC"/>
    <w:rsid w:val="005A3784"/>
    <w:rsid w:val="005A3C1A"/>
    <w:rsid w:val="005A452C"/>
    <w:rsid w:val="005A7B34"/>
    <w:rsid w:val="005A7F4F"/>
    <w:rsid w:val="005B0814"/>
    <w:rsid w:val="005B0D30"/>
    <w:rsid w:val="005B0E09"/>
    <w:rsid w:val="005B2628"/>
    <w:rsid w:val="005B32E8"/>
    <w:rsid w:val="005B4C1C"/>
    <w:rsid w:val="005B4E42"/>
    <w:rsid w:val="005B6360"/>
    <w:rsid w:val="005B669A"/>
    <w:rsid w:val="005B6D9B"/>
    <w:rsid w:val="005B7A6E"/>
    <w:rsid w:val="005B7BDB"/>
    <w:rsid w:val="005B7D3D"/>
    <w:rsid w:val="005C0875"/>
    <w:rsid w:val="005C08B9"/>
    <w:rsid w:val="005C0910"/>
    <w:rsid w:val="005C421C"/>
    <w:rsid w:val="005C4989"/>
    <w:rsid w:val="005C5CC7"/>
    <w:rsid w:val="005D227B"/>
    <w:rsid w:val="005D2A3A"/>
    <w:rsid w:val="005D3B44"/>
    <w:rsid w:val="005D456F"/>
    <w:rsid w:val="005D4857"/>
    <w:rsid w:val="005D6C61"/>
    <w:rsid w:val="005D7DAA"/>
    <w:rsid w:val="005E0521"/>
    <w:rsid w:val="005E114F"/>
    <w:rsid w:val="005E3070"/>
    <w:rsid w:val="005E3AA5"/>
    <w:rsid w:val="005E414C"/>
    <w:rsid w:val="005E5CA3"/>
    <w:rsid w:val="005E7C30"/>
    <w:rsid w:val="005F1650"/>
    <w:rsid w:val="005F1822"/>
    <w:rsid w:val="005F197E"/>
    <w:rsid w:val="005F38C9"/>
    <w:rsid w:val="005F3AD0"/>
    <w:rsid w:val="005F4076"/>
    <w:rsid w:val="005F4529"/>
    <w:rsid w:val="005F4FE6"/>
    <w:rsid w:val="005F52F0"/>
    <w:rsid w:val="005F64FC"/>
    <w:rsid w:val="0060107E"/>
    <w:rsid w:val="006020C6"/>
    <w:rsid w:val="00604BBF"/>
    <w:rsid w:val="00604F27"/>
    <w:rsid w:val="006071DF"/>
    <w:rsid w:val="00607563"/>
    <w:rsid w:val="00607A69"/>
    <w:rsid w:val="00607ED1"/>
    <w:rsid w:val="006109D3"/>
    <w:rsid w:val="00610DE8"/>
    <w:rsid w:val="00611DAE"/>
    <w:rsid w:val="00611F65"/>
    <w:rsid w:val="00612F90"/>
    <w:rsid w:val="00613992"/>
    <w:rsid w:val="00613B39"/>
    <w:rsid w:val="00613F5F"/>
    <w:rsid w:val="00615F37"/>
    <w:rsid w:val="0061613A"/>
    <w:rsid w:val="006206B2"/>
    <w:rsid w:val="006229A2"/>
    <w:rsid w:val="00622A2D"/>
    <w:rsid w:val="00622B03"/>
    <w:rsid w:val="00624339"/>
    <w:rsid w:val="0062605B"/>
    <w:rsid w:val="006264A2"/>
    <w:rsid w:val="006279B3"/>
    <w:rsid w:val="00630D73"/>
    <w:rsid w:val="0063681A"/>
    <w:rsid w:val="00636B0C"/>
    <w:rsid w:val="00637CE0"/>
    <w:rsid w:val="00637D76"/>
    <w:rsid w:val="00640792"/>
    <w:rsid w:val="00641DA4"/>
    <w:rsid w:val="006424EA"/>
    <w:rsid w:val="00642C29"/>
    <w:rsid w:val="006513D6"/>
    <w:rsid w:val="006515BF"/>
    <w:rsid w:val="00651B9D"/>
    <w:rsid w:val="00655A51"/>
    <w:rsid w:val="00656796"/>
    <w:rsid w:val="00656A37"/>
    <w:rsid w:val="00656C3D"/>
    <w:rsid w:val="00657A5E"/>
    <w:rsid w:val="0066015C"/>
    <w:rsid w:val="00661CB7"/>
    <w:rsid w:val="00661F16"/>
    <w:rsid w:val="00662A0A"/>
    <w:rsid w:val="00663134"/>
    <w:rsid w:val="00664F43"/>
    <w:rsid w:val="0066571A"/>
    <w:rsid w:val="006667B7"/>
    <w:rsid w:val="006705E0"/>
    <w:rsid w:val="006732A8"/>
    <w:rsid w:val="00673749"/>
    <w:rsid w:val="00674FB1"/>
    <w:rsid w:val="00675BC1"/>
    <w:rsid w:val="00680908"/>
    <w:rsid w:val="006809ED"/>
    <w:rsid w:val="00684C2F"/>
    <w:rsid w:val="00686253"/>
    <w:rsid w:val="006871AB"/>
    <w:rsid w:val="00687748"/>
    <w:rsid w:val="006878C9"/>
    <w:rsid w:val="00687A7E"/>
    <w:rsid w:val="00687B0C"/>
    <w:rsid w:val="00687C5B"/>
    <w:rsid w:val="00691077"/>
    <w:rsid w:val="006918B6"/>
    <w:rsid w:val="00692468"/>
    <w:rsid w:val="006939F7"/>
    <w:rsid w:val="00694068"/>
    <w:rsid w:val="0069466D"/>
    <w:rsid w:val="006950A6"/>
    <w:rsid w:val="00696CD7"/>
    <w:rsid w:val="006974C5"/>
    <w:rsid w:val="00697DAF"/>
    <w:rsid w:val="006A1CE2"/>
    <w:rsid w:val="006A1E4C"/>
    <w:rsid w:val="006A36C8"/>
    <w:rsid w:val="006A446C"/>
    <w:rsid w:val="006A4D7F"/>
    <w:rsid w:val="006A5722"/>
    <w:rsid w:val="006A5FFA"/>
    <w:rsid w:val="006A6DF9"/>
    <w:rsid w:val="006B0346"/>
    <w:rsid w:val="006B0ACB"/>
    <w:rsid w:val="006B214B"/>
    <w:rsid w:val="006B2273"/>
    <w:rsid w:val="006B25EE"/>
    <w:rsid w:val="006B2B2E"/>
    <w:rsid w:val="006B2DDD"/>
    <w:rsid w:val="006B3487"/>
    <w:rsid w:val="006B4186"/>
    <w:rsid w:val="006B7AF6"/>
    <w:rsid w:val="006C1296"/>
    <w:rsid w:val="006C1303"/>
    <w:rsid w:val="006C6C11"/>
    <w:rsid w:val="006C7407"/>
    <w:rsid w:val="006D4781"/>
    <w:rsid w:val="006D480F"/>
    <w:rsid w:val="006D4F33"/>
    <w:rsid w:val="006D5AE8"/>
    <w:rsid w:val="006D60F8"/>
    <w:rsid w:val="006E0550"/>
    <w:rsid w:val="006E0FFD"/>
    <w:rsid w:val="006E2734"/>
    <w:rsid w:val="006E3229"/>
    <w:rsid w:val="006E35CF"/>
    <w:rsid w:val="006E3A98"/>
    <w:rsid w:val="006E4269"/>
    <w:rsid w:val="006E4958"/>
    <w:rsid w:val="006E525E"/>
    <w:rsid w:val="006E54F3"/>
    <w:rsid w:val="006E6EF5"/>
    <w:rsid w:val="006E6F2B"/>
    <w:rsid w:val="006E7DFF"/>
    <w:rsid w:val="006F1E49"/>
    <w:rsid w:val="006F2AFA"/>
    <w:rsid w:val="006F520F"/>
    <w:rsid w:val="006F5845"/>
    <w:rsid w:val="006F65DF"/>
    <w:rsid w:val="006F7014"/>
    <w:rsid w:val="006F70B3"/>
    <w:rsid w:val="006F7212"/>
    <w:rsid w:val="006F7814"/>
    <w:rsid w:val="007003C7"/>
    <w:rsid w:val="00701DFE"/>
    <w:rsid w:val="0070354A"/>
    <w:rsid w:val="007045BC"/>
    <w:rsid w:val="00704978"/>
    <w:rsid w:val="00705178"/>
    <w:rsid w:val="00705AC8"/>
    <w:rsid w:val="00705F16"/>
    <w:rsid w:val="00706B28"/>
    <w:rsid w:val="007073B2"/>
    <w:rsid w:val="0071036D"/>
    <w:rsid w:val="00711C87"/>
    <w:rsid w:val="00712226"/>
    <w:rsid w:val="00712C18"/>
    <w:rsid w:val="0071325C"/>
    <w:rsid w:val="00715D5A"/>
    <w:rsid w:val="0071627E"/>
    <w:rsid w:val="0071642C"/>
    <w:rsid w:val="00717053"/>
    <w:rsid w:val="00717310"/>
    <w:rsid w:val="00722086"/>
    <w:rsid w:val="007230F8"/>
    <w:rsid w:val="00723391"/>
    <w:rsid w:val="00723FC9"/>
    <w:rsid w:val="00726E9B"/>
    <w:rsid w:val="00730008"/>
    <w:rsid w:val="00730085"/>
    <w:rsid w:val="00730AD4"/>
    <w:rsid w:val="007320F5"/>
    <w:rsid w:val="00733EF9"/>
    <w:rsid w:val="007340F3"/>
    <w:rsid w:val="007350C4"/>
    <w:rsid w:val="00735CB6"/>
    <w:rsid w:val="00737452"/>
    <w:rsid w:val="007406C8"/>
    <w:rsid w:val="00743876"/>
    <w:rsid w:val="00745511"/>
    <w:rsid w:val="00746732"/>
    <w:rsid w:val="00747183"/>
    <w:rsid w:val="0075129C"/>
    <w:rsid w:val="007512E0"/>
    <w:rsid w:val="00752C64"/>
    <w:rsid w:val="0075380A"/>
    <w:rsid w:val="00753D1F"/>
    <w:rsid w:val="00754849"/>
    <w:rsid w:val="00760EC4"/>
    <w:rsid w:val="00761515"/>
    <w:rsid w:val="00761BF8"/>
    <w:rsid w:val="00762B35"/>
    <w:rsid w:val="00765A62"/>
    <w:rsid w:val="0076641B"/>
    <w:rsid w:val="007667DF"/>
    <w:rsid w:val="007668DC"/>
    <w:rsid w:val="00766B17"/>
    <w:rsid w:val="00767DE0"/>
    <w:rsid w:val="007704CF"/>
    <w:rsid w:val="00770519"/>
    <w:rsid w:val="00770527"/>
    <w:rsid w:val="007705BC"/>
    <w:rsid w:val="007709BA"/>
    <w:rsid w:val="00771934"/>
    <w:rsid w:val="00771B4C"/>
    <w:rsid w:val="00771CB6"/>
    <w:rsid w:val="00772051"/>
    <w:rsid w:val="0077334F"/>
    <w:rsid w:val="00775495"/>
    <w:rsid w:val="00780A85"/>
    <w:rsid w:val="00784D0F"/>
    <w:rsid w:val="00784ED0"/>
    <w:rsid w:val="0078599F"/>
    <w:rsid w:val="007859BB"/>
    <w:rsid w:val="00785A3B"/>
    <w:rsid w:val="00785FAC"/>
    <w:rsid w:val="00786C85"/>
    <w:rsid w:val="007874C2"/>
    <w:rsid w:val="00790FC5"/>
    <w:rsid w:val="0079213B"/>
    <w:rsid w:val="0079358E"/>
    <w:rsid w:val="007936D9"/>
    <w:rsid w:val="007954C1"/>
    <w:rsid w:val="007975ED"/>
    <w:rsid w:val="00797D1B"/>
    <w:rsid w:val="007A1EBF"/>
    <w:rsid w:val="007A43E6"/>
    <w:rsid w:val="007A4CDB"/>
    <w:rsid w:val="007A5756"/>
    <w:rsid w:val="007A64E0"/>
    <w:rsid w:val="007A65C3"/>
    <w:rsid w:val="007A7904"/>
    <w:rsid w:val="007B002A"/>
    <w:rsid w:val="007B0F0D"/>
    <w:rsid w:val="007B1655"/>
    <w:rsid w:val="007B1B82"/>
    <w:rsid w:val="007B2009"/>
    <w:rsid w:val="007B27F3"/>
    <w:rsid w:val="007B2F14"/>
    <w:rsid w:val="007B4475"/>
    <w:rsid w:val="007B48AB"/>
    <w:rsid w:val="007B62E6"/>
    <w:rsid w:val="007B6E82"/>
    <w:rsid w:val="007B7869"/>
    <w:rsid w:val="007B78E2"/>
    <w:rsid w:val="007B7FB6"/>
    <w:rsid w:val="007C121D"/>
    <w:rsid w:val="007C1803"/>
    <w:rsid w:val="007C1841"/>
    <w:rsid w:val="007C2048"/>
    <w:rsid w:val="007C3932"/>
    <w:rsid w:val="007C5700"/>
    <w:rsid w:val="007C5A78"/>
    <w:rsid w:val="007C688B"/>
    <w:rsid w:val="007C7CCE"/>
    <w:rsid w:val="007D0DA1"/>
    <w:rsid w:val="007D0FBF"/>
    <w:rsid w:val="007D15E0"/>
    <w:rsid w:val="007D1C6F"/>
    <w:rsid w:val="007D2CA4"/>
    <w:rsid w:val="007D3318"/>
    <w:rsid w:val="007D398F"/>
    <w:rsid w:val="007D404E"/>
    <w:rsid w:val="007D5717"/>
    <w:rsid w:val="007D599F"/>
    <w:rsid w:val="007D62A7"/>
    <w:rsid w:val="007D69FF"/>
    <w:rsid w:val="007D6CBE"/>
    <w:rsid w:val="007E0627"/>
    <w:rsid w:val="007E15A5"/>
    <w:rsid w:val="007E325F"/>
    <w:rsid w:val="007E3B20"/>
    <w:rsid w:val="007E4A4F"/>
    <w:rsid w:val="007E5155"/>
    <w:rsid w:val="007E52AE"/>
    <w:rsid w:val="007E54A3"/>
    <w:rsid w:val="007E6AB8"/>
    <w:rsid w:val="007E7065"/>
    <w:rsid w:val="007F085A"/>
    <w:rsid w:val="007F1CC4"/>
    <w:rsid w:val="007F2B0C"/>
    <w:rsid w:val="007F4655"/>
    <w:rsid w:val="007F57D2"/>
    <w:rsid w:val="007F6191"/>
    <w:rsid w:val="007F6F20"/>
    <w:rsid w:val="007F7FD5"/>
    <w:rsid w:val="00800444"/>
    <w:rsid w:val="00802CE8"/>
    <w:rsid w:val="008038DA"/>
    <w:rsid w:val="0080454D"/>
    <w:rsid w:val="00805DD7"/>
    <w:rsid w:val="00810B57"/>
    <w:rsid w:val="0081131C"/>
    <w:rsid w:val="00811C41"/>
    <w:rsid w:val="00812735"/>
    <w:rsid w:val="0081356C"/>
    <w:rsid w:val="0081469B"/>
    <w:rsid w:val="00814B61"/>
    <w:rsid w:val="008152B7"/>
    <w:rsid w:val="00815E24"/>
    <w:rsid w:val="0081607F"/>
    <w:rsid w:val="008163FA"/>
    <w:rsid w:val="0081666F"/>
    <w:rsid w:val="00816933"/>
    <w:rsid w:val="00817234"/>
    <w:rsid w:val="0081723B"/>
    <w:rsid w:val="00817781"/>
    <w:rsid w:val="00822410"/>
    <w:rsid w:val="008228E9"/>
    <w:rsid w:val="00823142"/>
    <w:rsid w:val="00824C78"/>
    <w:rsid w:val="00824E59"/>
    <w:rsid w:val="008272A0"/>
    <w:rsid w:val="0083066A"/>
    <w:rsid w:val="00831A35"/>
    <w:rsid w:val="00832392"/>
    <w:rsid w:val="00834389"/>
    <w:rsid w:val="00834827"/>
    <w:rsid w:val="008354A3"/>
    <w:rsid w:val="008364A0"/>
    <w:rsid w:val="00837528"/>
    <w:rsid w:val="008376E2"/>
    <w:rsid w:val="00837BD6"/>
    <w:rsid w:val="008434C8"/>
    <w:rsid w:val="00843720"/>
    <w:rsid w:val="00844070"/>
    <w:rsid w:val="008441F4"/>
    <w:rsid w:val="008458CB"/>
    <w:rsid w:val="0084604F"/>
    <w:rsid w:val="008470B5"/>
    <w:rsid w:val="008478B1"/>
    <w:rsid w:val="00851A4C"/>
    <w:rsid w:val="00852B38"/>
    <w:rsid w:val="0085420E"/>
    <w:rsid w:val="0085553E"/>
    <w:rsid w:val="00855B08"/>
    <w:rsid w:val="00856EF1"/>
    <w:rsid w:val="0085739F"/>
    <w:rsid w:val="008579F6"/>
    <w:rsid w:val="00857E63"/>
    <w:rsid w:val="008609A0"/>
    <w:rsid w:val="00861C7F"/>
    <w:rsid w:val="00865736"/>
    <w:rsid w:val="0086601F"/>
    <w:rsid w:val="008705A6"/>
    <w:rsid w:val="00871979"/>
    <w:rsid w:val="00872DF9"/>
    <w:rsid w:val="00872EA0"/>
    <w:rsid w:val="008735E9"/>
    <w:rsid w:val="00873892"/>
    <w:rsid w:val="008762CC"/>
    <w:rsid w:val="00876839"/>
    <w:rsid w:val="00876972"/>
    <w:rsid w:val="00882187"/>
    <w:rsid w:val="008821C8"/>
    <w:rsid w:val="00884912"/>
    <w:rsid w:val="00885284"/>
    <w:rsid w:val="00887181"/>
    <w:rsid w:val="0088763D"/>
    <w:rsid w:val="0089015D"/>
    <w:rsid w:val="00891084"/>
    <w:rsid w:val="008919E2"/>
    <w:rsid w:val="008929EB"/>
    <w:rsid w:val="00894D11"/>
    <w:rsid w:val="00895DE1"/>
    <w:rsid w:val="00895F7A"/>
    <w:rsid w:val="008965E8"/>
    <w:rsid w:val="008967CD"/>
    <w:rsid w:val="008A08C1"/>
    <w:rsid w:val="008A1671"/>
    <w:rsid w:val="008A1BBE"/>
    <w:rsid w:val="008A25DC"/>
    <w:rsid w:val="008A4223"/>
    <w:rsid w:val="008A58C2"/>
    <w:rsid w:val="008A69BF"/>
    <w:rsid w:val="008A6B66"/>
    <w:rsid w:val="008A6D9D"/>
    <w:rsid w:val="008B04D6"/>
    <w:rsid w:val="008B0FBF"/>
    <w:rsid w:val="008B1017"/>
    <w:rsid w:val="008B3264"/>
    <w:rsid w:val="008B3464"/>
    <w:rsid w:val="008B38D2"/>
    <w:rsid w:val="008B40B7"/>
    <w:rsid w:val="008B4560"/>
    <w:rsid w:val="008B5084"/>
    <w:rsid w:val="008B5477"/>
    <w:rsid w:val="008B6012"/>
    <w:rsid w:val="008B6D32"/>
    <w:rsid w:val="008C03FB"/>
    <w:rsid w:val="008C085B"/>
    <w:rsid w:val="008C1D4E"/>
    <w:rsid w:val="008C23C3"/>
    <w:rsid w:val="008C2BAF"/>
    <w:rsid w:val="008C2EFA"/>
    <w:rsid w:val="008C2F3A"/>
    <w:rsid w:val="008C3002"/>
    <w:rsid w:val="008C383F"/>
    <w:rsid w:val="008C3AD0"/>
    <w:rsid w:val="008C587C"/>
    <w:rsid w:val="008C7114"/>
    <w:rsid w:val="008C7AA8"/>
    <w:rsid w:val="008C7E33"/>
    <w:rsid w:val="008D1D5A"/>
    <w:rsid w:val="008D3510"/>
    <w:rsid w:val="008D45D9"/>
    <w:rsid w:val="008D491B"/>
    <w:rsid w:val="008D4977"/>
    <w:rsid w:val="008D574A"/>
    <w:rsid w:val="008D57BE"/>
    <w:rsid w:val="008D6F19"/>
    <w:rsid w:val="008D72A2"/>
    <w:rsid w:val="008E1193"/>
    <w:rsid w:val="008E277A"/>
    <w:rsid w:val="008E3D3E"/>
    <w:rsid w:val="008E4685"/>
    <w:rsid w:val="008E47D1"/>
    <w:rsid w:val="008E5302"/>
    <w:rsid w:val="008E56F1"/>
    <w:rsid w:val="008E5E62"/>
    <w:rsid w:val="008E711B"/>
    <w:rsid w:val="008E7EB7"/>
    <w:rsid w:val="008F41C0"/>
    <w:rsid w:val="008F590D"/>
    <w:rsid w:val="008F5A69"/>
    <w:rsid w:val="008F71D8"/>
    <w:rsid w:val="00901435"/>
    <w:rsid w:val="00901D29"/>
    <w:rsid w:val="009059F3"/>
    <w:rsid w:val="00906129"/>
    <w:rsid w:val="00906165"/>
    <w:rsid w:val="00906419"/>
    <w:rsid w:val="00907A3B"/>
    <w:rsid w:val="009105A9"/>
    <w:rsid w:val="00910996"/>
    <w:rsid w:val="00913455"/>
    <w:rsid w:val="009139AD"/>
    <w:rsid w:val="00913ADF"/>
    <w:rsid w:val="00915042"/>
    <w:rsid w:val="00916265"/>
    <w:rsid w:val="00920443"/>
    <w:rsid w:val="00920E71"/>
    <w:rsid w:val="00921B13"/>
    <w:rsid w:val="00923279"/>
    <w:rsid w:val="00923C46"/>
    <w:rsid w:val="00925E6A"/>
    <w:rsid w:val="0092738F"/>
    <w:rsid w:val="009275A4"/>
    <w:rsid w:val="009275E8"/>
    <w:rsid w:val="00927967"/>
    <w:rsid w:val="009300ED"/>
    <w:rsid w:val="00930796"/>
    <w:rsid w:val="00932359"/>
    <w:rsid w:val="00933817"/>
    <w:rsid w:val="009338A3"/>
    <w:rsid w:val="00933DC6"/>
    <w:rsid w:val="009355D9"/>
    <w:rsid w:val="009356CE"/>
    <w:rsid w:val="00936542"/>
    <w:rsid w:val="00937689"/>
    <w:rsid w:val="009405A5"/>
    <w:rsid w:val="009410DC"/>
    <w:rsid w:val="00941520"/>
    <w:rsid w:val="00942295"/>
    <w:rsid w:val="00943969"/>
    <w:rsid w:val="009458BF"/>
    <w:rsid w:val="00945C9A"/>
    <w:rsid w:val="009461F9"/>
    <w:rsid w:val="0094692B"/>
    <w:rsid w:val="0095026B"/>
    <w:rsid w:val="00952767"/>
    <w:rsid w:val="00955B0C"/>
    <w:rsid w:val="00955DEA"/>
    <w:rsid w:val="00957CE0"/>
    <w:rsid w:val="00960205"/>
    <w:rsid w:val="0096031F"/>
    <w:rsid w:val="00962D81"/>
    <w:rsid w:val="0096405A"/>
    <w:rsid w:val="00964E75"/>
    <w:rsid w:val="0096522A"/>
    <w:rsid w:val="00965488"/>
    <w:rsid w:val="00965831"/>
    <w:rsid w:val="00965B12"/>
    <w:rsid w:val="009662DF"/>
    <w:rsid w:val="00966FA3"/>
    <w:rsid w:val="0096794E"/>
    <w:rsid w:val="00967EEE"/>
    <w:rsid w:val="009701F8"/>
    <w:rsid w:val="00972181"/>
    <w:rsid w:val="009737CC"/>
    <w:rsid w:val="0097386E"/>
    <w:rsid w:val="009738C6"/>
    <w:rsid w:val="00973B1E"/>
    <w:rsid w:val="00973C46"/>
    <w:rsid w:val="00974C2E"/>
    <w:rsid w:val="00974CCD"/>
    <w:rsid w:val="009753D6"/>
    <w:rsid w:val="009765C7"/>
    <w:rsid w:val="009770C3"/>
    <w:rsid w:val="009778E7"/>
    <w:rsid w:val="009800B0"/>
    <w:rsid w:val="009818D8"/>
    <w:rsid w:val="00982A7B"/>
    <w:rsid w:val="00984A6E"/>
    <w:rsid w:val="0098578F"/>
    <w:rsid w:val="00986549"/>
    <w:rsid w:val="0098710E"/>
    <w:rsid w:val="009879E6"/>
    <w:rsid w:val="00987AD5"/>
    <w:rsid w:val="00990406"/>
    <w:rsid w:val="0099075A"/>
    <w:rsid w:val="00990D09"/>
    <w:rsid w:val="00990E71"/>
    <w:rsid w:val="009928A1"/>
    <w:rsid w:val="00993D3C"/>
    <w:rsid w:val="00994171"/>
    <w:rsid w:val="00995ABE"/>
    <w:rsid w:val="00995FA8"/>
    <w:rsid w:val="00997597"/>
    <w:rsid w:val="00997C48"/>
    <w:rsid w:val="009A0BBD"/>
    <w:rsid w:val="009A262E"/>
    <w:rsid w:val="009A2CA0"/>
    <w:rsid w:val="009A4B16"/>
    <w:rsid w:val="009A4D84"/>
    <w:rsid w:val="009A51C2"/>
    <w:rsid w:val="009A521A"/>
    <w:rsid w:val="009A5860"/>
    <w:rsid w:val="009A736A"/>
    <w:rsid w:val="009A7655"/>
    <w:rsid w:val="009A767D"/>
    <w:rsid w:val="009B02EC"/>
    <w:rsid w:val="009B3330"/>
    <w:rsid w:val="009B4037"/>
    <w:rsid w:val="009B41A9"/>
    <w:rsid w:val="009B5448"/>
    <w:rsid w:val="009B6B8D"/>
    <w:rsid w:val="009B6DB1"/>
    <w:rsid w:val="009C0033"/>
    <w:rsid w:val="009C0117"/>
    <w:rsid w:val="009C672A"/>
    <w:rsid w:val="009C6862"/>
    <w:rsid w:val="009C709D"/>
    <w:rsid w:val="009C724C"/>
    <w:rsid w:val="009D0018"/>
    <w:rsid w:val="009D0124"/>
    <w:rsid w:val="009D25B4"/>
    <w:rsid w:val="009D2A63"/>
    <w:rsid w:val="009D3085"/>
    <w:rsid w:val="009D39BC"/>
    <w:rsid w:val="009D3F5C"/>
    <w:rsid w:val="009D41F0"/>
    <w:rsid w:val="009D4EDB"/>
    <w:rsid w:val="009D56B2"/>
    <w:rsid w:val="009D691D"/>
    <w:rsid w:val="009E23B3"/>
    <w:rsid w:val="009E2787"/>
    <w:rsid w:val="009E3340"/>
    <w:rsid w:val="009E337C"/>
    <w:rsid w:val="009E3874"/>
    <w:rsid w:val="009E3F92"/>
    <w:rsid w:val="009E5909"/>
    <w:rsid w:val="009E5D2F"/>
    <w:rsid w:val="009E64FB"/>
    <w:rsid w:val="009E6F95"/>
    <w:rsid w:val="009E71AB"/>
    <w:rsid w:val="009E7544"/>
    <w:rsid w:val="009F165A"/>
    <w:rsid w:val="009F1A3F"/>
    <w:rsid w:val="009F3A63"/>
    <w:rsid w:val="009F4BB8"/>
    <w:rsid w:val="009F5568"/>
    <w:rsid w:val="009F5888"/>
    <w:rsid w:val="009F709F"/>
    <w:rsid w:val="009F7723"/>
    <w:rsid w:val="009F7758"/>
    <w:rsid w:val="009F78D6"/>
    <w:rsid w:val="00A0023F"/>
    <w:rsid w:val="00A008EB"/>
    <w:rsid w:val="00A01BEF"/>
    <w:rsid w:val="00A01EE0"/>
    <w:rsid w:val="00A026C2"/>
    <w:rsid w:val="00A02DEF"/>
    <w:rsid w:val="00A0370A"/>
    <w:rsid w:val="00A038D3"/>
    <w:rsid w:val="00A05005"/>
    <w:rsid w:val="00A05FE5"/>
    <w:rsid w:val="00A069F5"/>
    <w:rsid w:val="00A0745C"/>
    <w:rsid w:val="00A07D0D"/>
    <w:rsid w:val="00A07FF8"/>
    <w:rsid w:val="00A10398"/>
    <w:rsid w:val="00A10BA6"/>
    <w:rsid w:val="00A11592"/>
    <w:rsid w:val="00A1161F"/>
    <w:rsid w:val="00A11C32"/>
    <w:rsid w:val="00A13B14"/>
    <w:rsid w:val="00A143A3"/>
    <w:rsid w:val="00A16631"/>
    <w:rsid w:val="00A17992"/>
    <w:rsid w:val="00A21DDF"/>
    <w:rsid w:val="00A224C6"/>
    <w:rsid w:val="00A230EB"/>
    <w:rsid w:val="00A23261"/>
    <w:rsid w:val="00A233E0"/>
    <w:rsid w:val="00A23A5C"/>
    <w:rsid w:val="00A241CE"/>
    <w:rsid w:val="00A24D54"/>
    <w:rsid w:val="00A263B1"/>
    <w:rsid w:val="00A26A85"/>
    <w:rsid w:val="00A30C12"/>
    <w:rsid w:val="00A30E6D"/>
    <w:rsid w:val="00A3185A"/>
    <w:rsid w:val="00A322C7"/>
    <w:rsid w:val="00A32C47"/>
    <w:rsid w:val="00A32C70"/>
    <w:rsid w:val="00A35B21"/>
    <w:rsid w:val="00A36EA2"/>
    <w:rsid w:val="00A37ADD"/>
    <w:rsid w:val="00A37C60"/>
    <w:rsid w:val="00A441FD"/>
    <w:rsid w:val="00A4556E"/>
    <w:rsid w:val="00A46FD5"/>
    <w:rsid w:val="00A47449"/>
    <w:rsid w:val="00A47A90"/>
    <w:rsid w:val="00A47EB9"/>
    <w:rsid w:val="00A5094C"/>
    <w:rsid w:val="00A50FF9"/>
    <w:rsid w:val="00A5148C"/>
    <w:rsid w:val="00A51E98"/>
    <w:rsid w:val="00A52415"/>
    <w:rsid w:val="00A5269D"/>
    <w:rsid w:val="00A529F5"/>
    <w:rsid w:val="00A547D6"/>
    <w:rsid w:val="00A54FF3"/>
    <w:rsid w:val="00A552A2"/>
    <w:rsid w:val="00A55BAE"/>
    <w:rsid w:val="00A56596"/>
    <w:rsid w:val="00A566F8"/>
    <w:rsid w:val="00A57D31"/>
    <w:rsid w:val="00A60706"/>
    <w:rsid w:val="00A613A9"/>
    <w:rsid w:val="00A61B29"/>
    <w:rsid w:val="00A631C8"/>
    <w:rsid w:val="00A6349B"/>
    <w:rsid w:val="00A63C50"/>
    <w:rsid w:val="00A63D90"/>
    <w:rsid w:val="00A667F5"/>
    <w:rsid w:val="00A66FA2"/>
    <w:rsid w:val="00A67814"/>
    <w:rsid w:val="00A67EF1"/>
    <w:rsid w:val="00A7019F"/>
    <w:rsid w:val="00A7147F"/>
    <w:rsid w:val="00A728ED"/>
    <w:rsid w:val="00A72AC0"/>
    <w:rsid w:val="00A7354A"/>
    <w:rsid w:val="00A74F18"/>
    <w:rsid w:val="00A75911"/>
    <w:rsid w:val="00A75DCF"/>
    <w:rsid w:val="00A7790B"/>
    <w:rsid w:val="00A77DFC"/>
    <w:rsid w:val="00A80779"/>
    <w:rsid w:val="00A811C9"/>
    <w:rsid w:val="00A81E43"/>
    <w:rsid w:val="00A82531"/>
    <w:rsid w:val="00A82905"/>
    <w:rsid w:val="00A8325C"/>
    <w:rsid w:val="00A838C5"/>
    <w:rsid w:val="00A83D78"/>
    <w:rsid w:val="00A8446C"/>
    <w:rsid w:val="00A84E3F"/>
    <w:rsid w:val="00A864A0"/>
    <w:rsid w:val="00A86AAE"/>
    <w:rsid w:val="00A90AFC"/>
    <w:rsid w:val="00A9164F"/>
    <w:rsid w:val="00A919B9"/>
    <w:rsid w:val="00A91BBF"/>
    <w:rsid w:val="00A92AFD"/>
    <w:rsid w:val="00A93415"/>
    <w:rsid w:val="00A93C35"/>
    <w:rsid w:val="00A93DE8"/>
    <w:rsid w:val="00A94172"/>
    <w:rsid w:val="00A94B5B"/>
    <w:rsid w:val="00A95449"/>
    <w:rsid w:val="00A955A9"/>
    <w:rsid w:val="00A964CC"/>
    <w:rsid w:val="00A96B12"/>
    <w:rsid w:val="00A978D5"/>
    <w:rsid w:val="00AA0347"/>
    <w:rsid w:val="00AA0632"/>
    <w:rsid w:val="00AA0B36"/>
    <w:rsid w:val="00AA3974"/>
    <w:rsid w:val="00AA5B1A"/>
    <w:rsid w:val="00AA74A2"/>
    <w:rsid w:val="00AA76BF"/>
    <w:rsid w:val="00AA7D1C"/>
    <w:rsid w:val="00AB0162"/>
    <w:rsid w:val="00AB190E"/>
    <w:rsid w:val="00AB1BF9"/>
    <w:rsid w:val="00AB212B"/>
    <w:rsid w:val="00AB2184"/>
    <w:rsid w:val="00AB2359"/>
    <w:rsid w:val="00AB2C40"/>
    <w:rsid w:val="00AB4842"/>
    <w:rsid w:val="00AB4E76"/>
    <w:rsid w:val="00AB5626"/>
    <w:rsid w:val="00AB67B2"/>
    <w:rsid w:val="00AB7559"/>
    <w:rsid w:val="00AC032D"/>
    <w:rsid w:val="00AC0910"/>
    <w:rsid w:val="00AC48CA"/>
    <w:rsid w:val="00AC61D8"/>
    <w:rsid w:val="00AC7823"/>
    <w:rsid w:val="00AC7CFF"/>
    <w:rsid w:val="00AD0493"/>
    <w:rsid w:val="00AD11D7"/>
    <w:rsid w:val="00AD2876"/>
    <w:rsid w:val="00AD6F3E"/>
    <w:rsid w:val="00AE010E"/>
    <w:rsid w:val="00AE1830"/>
    <w:rsid w:val="00AE28E1"/>
    <w:rsid w:val="00AE46B3"/>
    <w:rsid w:val="00AE5023"/>
    <w:rsid w:val="00AE5348"/>
    <w:rsid w:val="00AE53FF"/>
    <w:rsid w:val="00AE5FD1"/>
    <w:rsid w:val="00AE6C88"/>
    <w:rsid w:val="00AF09A3"/>
    <w:rsid w:val="00AF174D"/>
    <w:rsid w:val="00AF4315"/>
    <w:rsid w:val="00AF46C8"/>
    <w:rsid w:val="00AF4EBB"/>
    <w:rsid w:val="00AF526D"/>
    <w:rsid w:val="00AF61FC"/>
    <w:rsid w:val="00AF7D79"/>
    <w:rsid w:val="00AF7E71"/>
    <w:rsid w:val="00B02432"/>
    <w:rsid w:val="00B03CEA"/>
    <w:rsid w:val="00B04265"/>
    <w:rsid w:val="00B045FF"/>
    <w:rsid w:val="00B04D89"/>
    <w:rsid w:val="00B04E5C"/>
    <w:rsid w:val="00B061B7"/>
    <w:rsid w:val="00B11992"/>
    <w:rsid w:val="00B119BC"/>
    <w:rsid w:val="00B11B71"/>
    <w:rsid w:val="00B16993"/>
    <w:rsid w:val="00B20215"/>
    <w:rsid w:val="00B20334"/>
    <w:rsid w:val="00B2204E"/>
    <w:rsid w:val="00B22322"/>
    <w:rsid w:val="00B2404B"/>
    <w:rsid w:val="00B24D84"/>
    <w:rsid w:val="00B261BE"/>
    <w:rsid w:val="00B26DC2"/>
    <w:rsid w:val="00B27BDF"/>
    <w:rsid w:val="00B30862"/>
    <w:rsid w:val="00B30BA9"/>
    <w:rsid w:val="00B30E1C"/>
    <w:rsid w:val="00B3397C"/>
    <w:rsid w:val="00B35505"/>
    <w:rsid w:val="00B35FF8"/>
    <w:rsid w:val="00B3660D"/>
    <w:rsid w:val="00B3666B"/>
    <w:rsid w:val="00B409BD"/>
    <w:rsid w:val="00B423AF"/>
    <w:rsid w:val="00B443AA"/>
    <w:rsid w:val="00B4641C"/>
    <w:rsid w:val="00B515F5"/>
    <w:rsid w:val="00B52D42"/>
    <w:rsid w:val="00B53FB5"/>
    <w:rsid w:val="00B544D7"/>
    <w:rsid w:val="00B547AF"/>
    <w:rsid w:val="00B54962"/>
    <w:rsid w:val="00B54DD2"/>
    <w:rsid w:val="00B55A7F"/>
    <w:rsid w:val="00B55E4B"/>
    <w:rsid w:val="00B56709"/>
    <w:rsid w:val="00B5677D"/>
    <w:rsid w:val="00B56F22"/>
    <w:rsid w:val="00B601C4"/>
    <w:rsid w:val="00B601EC"/>
    <w:rsid w:val="00B6070A"/>
    <w:rsid w:val="00B60FF2"/>
    <w:rsid w:val="00B610D2"/>
    <w:rsid w:val="00B643AE"/>
    <w:rsid w:val="00B64B3A"/>
    <w:rsid w:val="00B66454"/>
    <w:rsid w:val="00B66D7D"/>
    <w:rsid w:val="00B67AA5"/>
    <w:rsid w:val="00B67FD2"/>
    <w:rsid w:val="00B715A6"/>
    <w:rsid w:val="00B72D41"/>
    <w:rsid w:val="00B72EB9"/>
    <w:rsid w:val="00B73670"/>
    <w:rsid w:val="00B74B14"/>
    <w:rsid w:val="00B7579E"/>
    <w:rsid w:val="00B76452"/>
    <w:rsid w:val="00B77042"/>
    <w:rsid w:val="00B80B8C"/>
    <w:rsid w:val="00B80FE1"/>
    <w:rsid w:val="00B82328"/>
    <w:rsid w:val="00B83BD0"/>
    <w:rsid w:val="00B84C4B"/>
    <w:rsid w:val="00B87A11"/>
    <w:rsid w:val="00B908CF"/>
    <w:rsid w:val="00B90C12"/>
    <w:rsid w:val="00B9148A"/>
    <w:rsid w:val="00B91835"/>
    <w:rsid w:val="00B91E57"/>
    <w:rsid w:val="00B926B0"/>
    <w:rsid w:val="00B92EC6"/>
    <w:rsid w:val="00B93CB4"/>
    <w:rsid w:val="00B93E85"/>
    <w:rsid w:val="00B94DB1"/>
    <w:rsid w:val="00B94DDD"/>
    <w:rsid w:val="00B962D6"/>
    <w:rsid w:val="00B96FCC"/>
    <w:rsid w:val="00B9704B"/>
    <w:rsid w:val="00BA06D1"/>
    <w:rsid w:val="00BA199C"/>
    <w:rsid w:val="00BA1A92"/>
    <w:rsid w:val="00BA1B95"/>
    <w:rsid w:val="00BA297C"/>
    <w:rsid w:val="00BA44EB"/>
    <w:rsid w:val="00BA53CA"/>
    <w:rsid w:val="00BA59E1"/>
    <w:rsid w:val="00BA6769"/>
    <w:rsid w:val="00BA6F81"/>
    <w:rsid w:val="00BA7148"/>
    <w:rsid w:val="00BA718E"/>
    <w:rsid w:val="00BA7957"/>
    <w:rsid w:val="00BA7C05"/>
    <w:rsid w:val="00BA7DD6"/>
    <w:rsid w:val="00BB2460"/>
    <w:rsid w:val="00BB3979"/>
    <w:rsid w:val="00BB4B3E"/>
    <w:rsid w:val="00BB4F04"/>
    <w:rsid w:val="00BB71D7"/>
    <w:rsid w:val="00BC18AE"/>
    <w:rsid w:val="00BC19F6"/>
    <w:rsid w:val="00BC1D4E"/>
    <w:rsid w:val="00BC3E65"/>
    <w:rsid w:val="00BC41D8"/>
    <w:rsid w:val="00BC59C3"/>
    <w:rsid w:val="00BC6271"/>
    <w:rsid w:val="00BC76D5"/>
    <w:rsid w:val="00BD1993"/>
    <w:rsid w:val="00BD397B"/>
    <w:rsid w:val="00BD5C5D"/>
    <w:rsid w:val="00BD7CE8"/>
    <w:rsid w:val="00BE0C11"/>
    <w:rsid w:val="00BE16F9"/>
    <w:rsid w:val="00BE1703"/>
    <w:rsid w:val="00BE31B1"/>
    <w:rsid w:val="00BE3D6C"/>
    <w:rsid w:val="00BE4670"/>
    <w:rsid w:val="00BE50B8"/>
    <w:rsid w:val="00BE5988"/>
    <w:rsid w:val="00BE5E90"/>
    <w:rsid w:val="00BE6176"/>
    <w:rsid w:val="00BE64F5"/>
    <w:rsid w:val="00BE66ED"/>
    <w:rsid w:val="00BF40F2"/>
    <w:rsid w:val="00BF66EC"/>
    <w:rsid w:val="00BF67C4"/>
    <w:rsid w:val="00BF7C09"/>
    <w:rsid w:val="00BF7CC5"/>
    <w:rsid w:val="00BF7F66"/>
    <w:rsid w:val="00C0409C"/>
    <w:rsid w:val="00C04D5B"/>
    <w:rsid w:val="00C062D8"/>
    <w:rsid w:val="00C0674D"/>
    <w:rsid w:val="00C0694A"/>
    <w:rsid w:val="00C0752C"/>
    <w:rsid w:val="00C11172"/>
    <w:rsid w:val="00C11846"/>
    <w:rsid w:val="00C13102"/>
    <w:rsid w:val="00C15AED"/>
    <w:rsid w:val="00C168B3"/>
    <w:rsid w:val="00C16B06"/>
    <w:rsid w:val="00C171E2"/>
    <w:rsid w:val="00C2013A"/>
    <w:rsid w:val="00C234BC"/>
    <w:rsid w:val="00C2364D"/>
    <w:rsid w:val="00C23806"/>
    <w:rsid w:val="00C23A87"/>
    <w:rsid w:val="00C24466"/>
    <w:rsid w:val="00C26029"/>
    <w:rsid w:val="00C2614E"/>
    <w:rsid w:val="00C26396"/>
    <w:rsid w:val="00C27B48"/>
    <w:rsid w:val="00C31B96"/>
    <w:rsid w:val="00C31E8A"/>
    <w:rsid w:val="00C321BB"/>
    <w:rsid w:val="00C32EB8"/>
    <w:rsid w:val="00C330E9"/>
    <w:rsid w:val="00C349FA"/>
    <w:rsid w:val="00C3532E"/>
    <w:rsid w:val="00C35A4D"/>
    <w:rsid w:val="00C35AF9"/>
    <w:rsid w:val="00C35E28"/>
    <w:rsid w:val="00C361B9"/>
    <w:rsid w:val="00C36FD1"/>
    <w:rsid w:val="00C37775"/>
    <w:rsid w:val="00C37863"/>
    <w:rsid w:val="00C37CBD"/>
    <w:rsid w:val="00C41D2E"/>
    <w:rsid w:val="00C41EEC"/>
    <w:rsid w:val="00C446CD"/>
    <w:rsid w:val="00C456B1"/>
    <w:rsid w:val="00C46B98"/>
    <w:rsid w:val="00C46FBE"/>
    <w:rsid w:val="00C47293"/>
    <w:rsid w:val="00C47629"/>
    <w:rsid w:val="00C476DD"/>
    <w:rsid w:val="00C5101B"/>
    <w:rsid w:val="00C510FC"/>
    <w:rsid w:val="00C526EA"/>
    <w:rsid w:val="00C55016"/>
    <w:rsid w:val="00C55E7F"/>
    <w:rsid w:val="00C56E54"/>
    <w:rsid w:val="00C607D5"/>
    <w:rsid w:val="00C613BA"/>
    <w:rsid w:val="00C64D75"/>
    <w:rsid w:val="00C658A6"/>
    <w:rsid w:val="00C66A82"/>
    <w:rsid w:val="00C75198"/>
    <w:rsid w:val="00C755F6"/>
    <w:rsid w:val="00C76C4B"/>
    <w:rsid w:val="00C7704C"/>
    <w:rsid w:val="00C775E7"/>
    <w:rsid w:val="00C778FD"/>
    <w:rsid w:val="00C80AEB"/>
    <w:rsid w:val="00C8132B"/>
    <w:rsid w:val="00C82F12"/>
    <w:rsid w:val="00C833B1"/>
    <w:rsid w:val="00C85D75"/>
    <w:rsid w:val="00C85E82"/>
    <w:rsid w:val="00C86C2D"/>
    <w:rsid w:val="00C8720C"/>
    <w:rsid w:val="00C87D81"/>
    <w:rsid w:val="00C903E0"/>
    <w:rsid w:val="00C90759"/>
    <w:rsid w:val="00C91A92"/>
    <w:rsid w:val="00C92943"/>
    <w:rsid w:val="00C92A12"/>
    <w:rsid w:val="00C95B1D"/>
    <w:rsid w:val="00C96267"/>
    <w:rsid w:val="00C9691B"/>
    <w:rsid w:val="00CA1407"/>
    <w:rsid w:val="00CA1B68"/>
    <w:rsid w:val="00CA4111"/>
    <w:rsid w:val="00CA49AD"/>
    <w:rsid w:val="00CA4FDA"/>
    <w:rsid w:val="00CA54F6"/>
    <w:rsid w:val="00CA5DC1"/>
    <w:rsid w:val="00CA5EB4"/>
    <w:rsid w:val="00CA6978"/>
    <w:rsid w:val="00CB0C12"/>
    <w:rsid w:val="00CB352E"/>
    <w:rsid w:val="00CB4B04"/>
    <w:rsid w:val="00CB595D"/>
    <w:rsid w:val="00CB6648"/>
    <w:rsid w:val="00CB6764"/>
    <w:rsid w:val="00CB6AF2"/>
    <w:rsid w:val="00CB6CCD"/>
    <w:rsid w:val="00CC01AF"/>
    <w:rsid w:val="00CC0329"/>
    <w:rsid w:val="00CC1D9D"/>
    <w:rsid w:val="00CC1E2D"/>
    <w:rsid w:val="00CC212C"/>
    <w:rsid w:val="00CC2D4A"/>
    <w:rsid w:val="00CC38FE"/>
    <w:rsid w:val="00CC3A35"/>
    <w:rsid w:val="00CC4330"/>
    <w:rsid w:val="00CC53EA"/>
    <w:rsid w:val="00CD006C"/>
    <w:rsid w:val="00CD04B5"/>
    <w:rsid w:val="00CD1437"/>
    <w:rsid w:val="00CD1BC7"/>
    <w:rsid w:val="00CD2E81"/>
    <w:rsid w:val="00CD3CE8"/>
    <w:rsid w:val="00CD5BE4"/>
    <w:rsid w:val="00CD6ABD"/>
    <w:rsid w:val="00CD71D1"/>
    <w:rsid w:val="00CE0063"/>
    <w:rsid w:val="00CE04EB"/>
    <w:rsid w:val="00CE08D8"/>
    <w:rsid w:val="00CE1002"/>
    <w:rsid w:val="00CE125C"/>
    <w:rsid w:val="00CE2305"/>
    <w:rsid w:val="00CE2A1E"/>
    <w:rsid w:val="00CE51EC"/>
    <w:rsid w:val="00CE6380"/>
    <w:rsid w:val="00CE6E67"/>
    <w:rsid w:val="00CE7C52"/>
    <w:rsid w:val="00CE7EDB"/>
    <w:rsid w:val="00CF1F21"/>
    <w:rsid w:val="00CF50EF"/>
    <w:rsid w:val="00CF52EA"/>
    <w:rsid w:val="00CF55B0"/>
    <w:rsid w:val="00CF7931"/>
    <w:rsid w:val="00D00BB5"/>
    <w:rsid w:val="00D01056"/>
    <w:rsid w:val="00D0219F"/>
    <w:rsid w:val="00D03096"/>
    <w:rsid w:val="00D0383E"/>
    <w:rsid w:val="00D051C8"/>
    <w:rsid w:val="00D05763"/>
    <w:rsid w:val="00D11CEB"/>
    <w:rsid w:val="00D12C4F"/>
    <w:rsid w:val="00D12F6F"/>
    <w:rsid w:val="00D13187"/>
    <w:rsid w:val="00D137E3"/>
    <w:rsid w:val="00D13E00"/>
    <w:rsid w:val="00D13E2C"/>
    <w:rsid w:val="00D1511A"/>
    <w:rsid w:val="00D20738"/>
    <w:rsid w:val="00D21FCE"/>
    <w:rsid w:val="00D23570"/>
    <w:rsid w:val="00D25471"/>
    <w:rsid w:val="00D254F7"/>
    <w:rsid w:val="00D25725"/>
    <w:rsid w:val="00D27FD1"/>
    <w:rsid w:val="00D326C0"/>
    <w:rsid w:val="00D32BFE"/>
    <w:rsid w:val="00D333A1"/>
    <w:rsid w:val="00D3476A"/>
    <w:rsid w:val="00D34E93"/>
    <w:rsid w:val="00D35E76"/>
    <w:rsid w:val="00D360D2"/>
    <w:rsid w:val="00D3704C"/>
    <w:rsid w:val="00D41293"/>
    <w:rsid w:val="00D417FB"/>
    <w:rsid w:val="00D41DF2"/>
    <w:rsid w:val="00D41FF9"/>
    <w:rsid w:val="00D4231C"/>
    <w:rsid w:val="00D42628"/>
    <w:rsid w:val="00D42847"/>
    <w:rsid w:val="00D42C97"/>
    <w:rsid w:val="00D43CF2"/>
    <w:rsid w:val="00D45E7E"/>
    <w:rsid w:val="00D464C0"/>
    <w:rsid w:val="00D47B1B"/>
    <w:rsid w:val="00D50825"/>
    <w:rsid w:val="00D5127D"/>
    <w:rsid w:val="00D515F2"/>
    <w:rsid w:val="00D51722"/>
    <w:rsid w:val="00D5188D"/>
    <w:rsid w:val="00D541D6"/>
    <w:rsid w:val="00D54996"/>
    <w:rsid w:val="00D5606D"/>
    <w:rsid w:val="00D566B6"/>
    <w:rsid w:val="00D57C55"/>
    <w:rsid w:val="00D60A72"/>
    <w:rsid w:val="00D616C5"/>
    <w:rsid w:val="00D61F1F"/>
    <w:rsid w:val="00D62032"/>
    <w:rsid w:val="00D626DA"/>
    <w:rsid w:val="00D6336F"/>
    <w:rsid w:val="00D639A9"/>
    <w:rsid w:val="00D6407B"/>
    <w:rsid w:val="00D6528A"/>
    <w:rsid w:val="00D65BD5"/>
    <w:rsid w:val="00D6798F"/>
    <w:rsid w:val="00D703FC"/>
    <w:rsid w:val="00D70FA1"/>
    <w:rsid w:val="00D71083"/>
    <w:rsid w:val="00D72841"/>
    <w:rsid w:val="00D72950"/>
    <w:rsid w:val="00D739C6"/>
    <w:rsid w:val="00D74B9A"/>
    <w:rsid w:val="00D75E51"/>
    <w:rsid w:val="00D764D1"/>
    <w:rsid w:val="00D76D4D"/>
    <w:rsid w:val="00D77624"/>
    <w:rsid w:val="00D777FE"/>
    <w:rsid w:val="00D7793D"/>
    <w:rsid w:val="00D77DF3"/>
    <w:rsid w:val="00D80194"/>
    <w:rsid w:val="00D81057"/>
    <w:rsid w:val="00D81FEB"/>
    <w:rsid w:val="00D82A9D"/>
    <w:rsid w:val="00D82CF7"/>
    <w:rsid w:val="00D82F97"/>
    <w:rsid w:val="00D841A4"/>
    <w:rsid w:val="00D8480B"/>
    <w:rsid w:val="00D8482E"/>
    <w:rsid w:val="00D85856"/>
    <w:rsid w:val="00D86748"/>
    <w:rsid w:val="00D8675A"/>
    <w:rsid w:val="00D86AE6"/>
    <w:rsid w:val="00D87753"/>
    <w:rsid w:val="00D87AFE"/>
    <w:rsid w:val="00D87E56"/>
    <w:rsid w:val="00D87E88"/>
    <w:rsid w:val="00D90876"/>
    <w:rsid w:val="00D90B3A"/>
    <w:rsid w:val="00D91AB7"/>
    <w:rsid w:val="00D93BF7"/>
    <w:rsid w:val="00D940EC"/>
    <w:rsid w:val="00D94CB8"/>
    <w:rsid w:val="00D960BE"/>
    <w:rsid w:val="00D9640B"/>
    <w:rsid w:val="00D97774"/>
    <w:rsid w:val="00DA0EBE"/>
    <w:rsid w:val="00DA1D18"/>
    <w:rsid w:val="00DA4613"/>
    <w:rsid w:val="00DA4CF1"/>
    <w:rsid w:val="00DA7411"/>
    <w:rsid w:val="00DA7A91"/>
    <w:rsid w:val="00DA7E6F"/>
    <w:rsid w:val="00DB03E8"/>
    <w:rsid w:val="00DB338D"/>
    <w:rsid w:val="00DB366F"/>
    <w:rsid w:val="00DB4A32"/>
    <w:rsid w:val="00DB56DA"/>
    <w:rsid w:val="00DB670B"/>
    <w:rsid w:val="00DB7EAC"/>
    <w:rsid w:val="00DB7F47"/>
    <w:rsid w:val="00DC7442"/>
    <w:rsid w:val="00DC7C1C"/>
    <w:rsid w:val="00DD15FE"/>
    <w:rsid w:val="00DD1AEF"/>
    <w:rsid w:val="00DD2DB5"/>
    <w:rsid w:val="00DD3E4E"/>
    <w:rsid w:val="00DD4F2E"/>
    <w:rsid w:val="00DD7006"/>
    <w:rsid w:val="00DD7549"/>
    <w:rsid w:val="00DD7A9D"/>
    <w:rsid w:val="00DE0030"/>
    <w:rsid w:val="00DE237D"/>
    <w:rsid w:val="00DE267D"/>
    <w:rsid w:val="00DE2E9C"/>
    <w:rsid w:val="00DE2F4F"/>
    <w:rsid w:val="00DE3457"/>
    <w:rsid w:val="00DE534A"/>
    <w:rsid w:val="00DE5A48"/>
    <w:rsid w:val="00DE5E02"/>
    <w:rsid w:val="00DE618B"/>
    <w:rsid w:val="00DE7F6C"/>
    <w:rsid w:val="00DF159F"/>
    <w:rsid w:val="00DF17CD"/>
    <w:rsid w:val="00DF1BE4"/>
    <w:rsid w:val="00DF213F"/>
    <w:rsid w:val="00DF296B"/>
    <w:rsid w:val="00DF3218"/>
    <w:rsid w:val="00DF3F9C"/>
    <w:rsid w:val="00DF530D"/>
    <w:rsid w:val="00DF6CEC"/>
    <w:rsid w:val="00DF7F26"/>
    <w:rsid w:val="00E00E52"/>
    <w:rsid w:val="00E01383"/>
    <w:rsid w:val="00E01FF3"/>
    <w:rsid w:val="00E02D07"/>
    <w:rsid w:val="00E02EA6"/>
    <w:rsid w:val="00E03C8D"/>
    <w:rsid w:val="00E05F87"/>
    <w:rsid w:val="00E063EF"/>
    <w:rsid w:val="00E0672D"/>
    <w:rsid w:val="00E0691A"/>
    <w:rsid w:val="00E06E1F"/>
    <w:rsid w:val="00E07EC9"/>
    <w:rsid w:val="00E111DA"/>
    <w:rsid w:val="00E11EDB"/>
    <w:rsid w:val="00E12869"/>
    <w:rsid w:val="00E131C3"/>
    <w:rsid w:val="00E151F0"/>
    <w:rsid w:val="00E15462"/>
    <w:rsid w:val="00E177B2"/>
    <w:rsid w:val="00E20E62"/>
    <w:rsid w:val="00E210B5"/>
    <w:rsid w:val="00E232CA"/>
    <w:rsid w:val="00E23CAB"/>
    <w:rsid w:val="00E23F89"/>
    <w:rsid w:val="00E24969"/>
    <w:rsid w:val="00E25739"/>
    <w:rsid w:val="00E26053"/>
    <w:rsid w:val="00E2627C"/>
    <w:rsid w:val="00E30868"/>
    <w:rsid w:val="00E33D67"/>
    <w:rsid w:val="00E347FC"/>
    <w:rsid w:val="00E35FDD"/>
    <w:rsid w:val="00E40616"/>
    <w:rsid w:val="00E42745"/>
    <w:rsid w:val="00E43277"/>
    <w:rsid w:val="00E43ADB"/>
    <w:rsid w:val="00E440B9"/>
    <w:rsid w:val="00E4419B"/>
    <w:rsid w:val="00E44FE8"/>
    <w:rsid w:val="00E45382"/>
    <w:rsid w:val="00E459F7"/>
    <w:rsid w:val="00E46487"/>
    <w:rsid w:val="00E46DC0"/>
    <w:rsid w:val="00E514F7"/>
    <w:rsid w:val="00E51B65"/>
    <w:rsid w:val="00E5232D"/>
    <w:rsid w:val="00E53519"/>
    <w:rsid w:val="00E5469A"/>
    <w:rsid w:val="00E548C8"/>
    <w:rsid w:val="00E54FAE"/>
    <w:rsid w:val="00E55810"/>
    <w:rsid w:val="00E55B1B"/>
    <w:rsid w:val="00E55B97"/>
    <w:rsid w:val="00E560B1"/>
    <w:rsid w:val="00E570B5"/>
    <w:rsid w:val="00E57E0A"/>
    <w:rsid w:val="00E6076B"/>
    <w:rsid w:val="00E60BCB"/>
    <w:rsid w:val="00E62110"/>
    <w:rsid w:val="00E62CB6"/>
    <w:rsid w:val="00E633EB"/>
    <w:rsid w:val="00E64119"/>
    <w:rsid w:val="00E64251"/>
    <w:rsid w:val="00E64945"/>
    <w:rsid w:val="00E70A5C"/>
    <w:rsid w:val="00E73A09"/>
    <w:rsid w:val="00E75F05"/>
    <w:rsid w:val="00E760C5"/>
    <w:rsid w:val="00E76184"/>
    <w:rsid w:val="00E76929"/>
    <w:rsid w:val="00E77720"/>
    <w:rsid w:val="00E81399"/>
    <w:rsid w:val="00E824D5"/>
    <w:rsid w:val="00E83542"/>
    <w:rsid w:val="00E84A95"/>
    <w:rsid w:val="00E8514B"/>
    <w:rsid w:val="00E86D26"/>
    <w:rsid w:val="00E903AC"/>
    <w:rsid w:val="00E907E8"/>
    <w:rsid w:val="00E93686"/>
    <w:rsid w:val="00E93806"/>
    <w:rsid w:val="00E943A3"/>
    <w:rsid w:val="00E945A0"/>
    <w:rsid w:val="00E953F4"/>
    <w:rsid w:val="00E9617D"/>
    <w:rsid w:val="00E96ED0"/>
    <w:rsid w:val="00E974CD"/>
    <w:rsid w:val="00E97674"/>
    <w:rsid w:val="00E976A3"/>
    <w:rsid w:val="00EA1845"/>
    <w:rsid w:val="00EA2311"/>
    <w:rsid w:val="00EA2B53"/>
    <w:rsid w:val="00EA595C"/>
    <w:rsid w:val="00EA6D20"/>
    <w:rsid w:val="00EA76AC"/>
    <w:rsid w:val="00EA7AD8"/>
    <w:rsid w:val="00EB08FF"/>
    <w:rsid w:val="00EB0FD7"/>
    <w:rsid w:val="00EB14B8"/>
    <w:rsid w:val="00EB1785"/>
    <w:rsid w:val="00EB1EB1"/>
    <w:rsid w:val="00EB2A16"/>
    <w:rsid w:val="00EB49DB"/>
    <w:rsid w:val="00EB4A40"/>
    <w:rsid w:val="00EB5095"/>
    <w:rsid w:val="00EB55CB"/>
    <w:rsid w:val="00EB5FFB"/>
    <w:rsid w:val="00EB67C0"/>
    <w:rsid w:val="00EB7C0F"/>
    <w:rsid w:val="00EC16EB"/>
    <w:rsid w:val="00EC2DE6"/>
    <w:rsid w:val="00EC52A9"/>
    <w:rsid w:val="00EC540C"/>
    <w:rsid w:val="00EC592D"/>
    <w:rsid w:val="00EC59AA"/>
    <w:rsid w:val="00ED0A45"/>
    <w:rsid w:val="00ED0AD0"/>
    <w:rsid w:val="00ED3676"/>
    <w:rsid w:val="00ED4144"/>
    <w:rsid w:val="00ED4F37"/>
    <w:rsid w:val="00ED5F05"/>
    <w:rsid w:val="00ED6C48"/>
    <w:rsid w:val="00ED7744"/>
    <w:rsid w:val="00EE005A"/>
    <w:rsid w:val="00EE04E6"/>
    <w:rsid w:val="00EE0F7A"/>
    <w:rsid w:val="00EE171B"/>
    <w:rsid w:val="00EE3064"/>
    <w:rsid w:val="00EE6A64"/>
    <w:rsid w:val="00EF0725"/>
    <w:rsid w:val="00EF2CD4"/>
    <w:rsid w:val="00EF461C"/>
    <w:rsid w:val="00EF61A4"/>
    <w:rsid w:val="00EF6C98"/>
    <w:rsid w:val="00EF7CAC"/>
    <w:rsid w:val="00F01BB3"/>
    <w:rsid w:val="00F0210E"/>
    <w:rsid w:val="00F02826"/>
    <w:rsid w:val="00F02F5A"/>
    <w:rsid w:val="00F03A36"/>
    <w:rsid w:val="00F050D6"/>
    <w:rsid w:val="00F07F16"/>
    <w:rsid w:val="00F105E2"/>
    <w:rsid w:val="00F107DB"/>
    <w:rsid w:val="00F11FA7"/>
    <w:rsid w:val="00F132CA"/>
    <w:rsid w:val="00F13659"/>
    <w:rsid w:val="00F13805"/>
    <w:rsid w:val="00F13C74"/>
    <w:rsid w:val="00F16364"/>
    <w:rsid w:val="00F17138"/>
    <w:rsid w:val="00F17222"/>
    <w:rsid w:val="00F202ED"/>
    <w:rsid w:val="00F20EEA"/>
    <w:rsid w:val="00F21342"/>
    <w:rsid w:val="00F21B0F"/>
    <w:rsid w:val="00F21DE4"/>
    <w:rsid w:val="00F22344"/>
    <w:rsid w:val="00F23FB2"/>
    <w:rsid w:val="00F2469F"/>
    <w:rsid w:val="00F259DB"/>
    <w:rsid w:val="00F26A0A"/>
    <w:rsid w:val="00F26AED"/>
    <w:rsid w:val="00F26DFE"/>
    <w:rsid w:val="00F275D2"/>
    <w:rsid w:val="00F3225E"/>
    <w:rsid w:val="00F328E6"/>
    <w:rsid w:val="00F32DC3"/>
    <w:rsid w:val="00F3395F"/>
    <w:rsid w:val="00F33C9C"/>
    <w:rsid w:val="00F35189"/>
    <w:rsid w:val="00F35F70"/>
    <w:rsid w:val="00F400CF"/>
    <w:rsid w:val="00F428B1"/>
    <w:rsid w:val="00F42AFF"/>
    <w:rsid w:val="00F42C4B"/>
    <w:rsid w:val="00F43417"/>
    <w:rsid w:val="00F43639"/>
    <w:rsid w:val="00F43919"/>
    <w:rsid w:val="00F43CFD"/>
    <w:rsid w:val="00F43D1D"/>
    <w:rsid w:val="00F45B1B"/>
    <w:rsid w:val="00F46510"/>
    <w:rsid w:val="00F47AA2"/>
    <w:rsid w:val="00F50E00"/>
    <w:rsid w:val="00F548B6"/>
    <w:rsid w:val="00F55423"/>
    <w:rsid w:val="00F56C78"/>
    <w:rsid w:val="00F56E2B"/>
    <w:rsid w:val="00F570DF"/>
    <w:rsid w:val="00F577D5"/>
    <w:rsid w:val="00F60D2B"/>
    <w:rsid w:val="00F61904"/>
    <w:rsid w:val="00F62718"/>
    <w:rsid w:val="00F63EFA"/>
    <w:rsid w:val="00F64BB5"/>
    <w:rsid w:val="00F64C53"/>
    <w:rsid w:val="00F65B58"/>
    <w:rsid w:val="00F71263"/>
    <w:rsid w:val="00F7153E"/>
    <w:rsid w:val="00F74A38"/>
    <w:rsid w:val="00F75361"/>
    <w:rsid w:val="00F76BF2"/>
    <w:rsid w:val="00F77A8F"/>
    <w:rsid w:val="00F80A34"/>
    <w:rsid w:val="00F80CBC"/>
    <w:rsid w:val="00F8280E"/>
    <w:rsid w:val="00F83844"/>
    <w:rsid w:val="00F854FD"/>
    <w:rsid w:val="00F85CDC"/>
    <w:rsid w:val="00F860D7"/>
    <w:rsid w:val="00F863ED"/>
    <w:rsid w:val="00F867FF"/>
    <w:rsid w:val="00F879A4"/>
    <w:rsid w:val="00F9288E"/>
    <w:rsid w:val="00F933AE"/>
    <w:rsid w:val="00F9433D"/>
    <w:rsid w:val="00F94948"/>
    <w:rsid w:val="00F95005"/>
    <w:rsid w:val="00F9511A"/>
    <w:rsid w:val="00FA0AC5"/>
    <w:rsid w:val="00FA246A"/>
    <w:rsid w:val="00FA2E6B"/>
    <w:rsid w:val="00FA3EE8"/>
    <w:rsid w:val="00FA408D"/>
    <w:rsid w:val="00FA4E48"/>
    <w:rsid w:val="00FA4F62"/>
    <w:rsid w:val="00FA7273"/>
    <w:rsid w:val="00FA745C"/>
    <w:rsid w:val="00FB38F5"/>
    <w:rsid w:val="00FB4DED"/>
    <w:rsid w:val="00FB5687"/>
    <w:rsid w:val="00FB65A0"/>
    <w:rsid w:val="00FC0608"/>
    <w:rsid w:val="00FC0D16"/>
    <w:rsid w:val="00FC2808"/>
    <w:rsid w:val="00FC45C5"/>
    <w:rsid w:val="00FC477A"/>
    <w:rsid w:val="00FC5A8D"/>
    <w:rsid w:val="00FC5EF0"/>
    <w:rsid w:val="00FC6545"/>
    <w:rsid w:val="00FC6C2C"/>
    <w:rsid w:val="00FD101E"/>
    <w:rsid w:val="00FD45FF"/>
    <w:rsid w:val="00FD4F81"/>
    <w:rsid w:val="00FD528E"/>
    <w:rsid w:val="00FD5647"/>
    <w:rsid w:val="00FD5F8E"/>
    <w:rsid w:val="00FE1B32"/>
    <w:rsid w:val="00FE49F0"/>
    <w:rsid w:val="00FE4B97"/>
    <w:rsid w:val="00FE5096"/>
    <w:rsid w:val="00FE559D"/>
    <w:rsid w:val="00FE55AE"/>
    <w:rsid w:val="00FE640A"/>
    <w:rsid w:val="00FE753F"/>
    <w:rsid w:val="00FF196C"/>
    <w:rsid w:val="00FF25FD"/>
    <w:rsid w:val="00FF7E4B"/>
    <w:rsid w:val="00FF7F2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62E"/>
    <w:pPr>
      <w:widowControl w:val="0"/>
    </w:pPr>
    <w:rPr>
      <w:kern w:val="2"/>
      <w:sz w:val="24"/>
      <w:szCs w:val="24"/>
      <w:lang w:eastAsia="zh-TW"/>
    </w:rPr>
  </w:style>
  <w:style w:type="paragraph" w:styleId="1">
    <w:name w:val="heading 1"/>
    <w:basedOn w:val="a"/>
    <w:next w:val="a"/>
    <w:link w:val="10"/>
    <w:uiPriority w:val="9"/>
    <w:qFormat/>
    <w:rsid w:val="00A84E3F"/>
    <w:pPr>
      <w:pBdr>
        <w:bottom w:val="single" w:sz="12" w:space="1" w:color="365F91"/>
      </w:pBdr>
      <w:spacing w:before="600" w:after="80"/>
      <w:outlineLvl w:val="0"/>
    </w:pPr>
    <w:rPr>
      <w:rFonts w:ascii="Cambria" w:hAnsi="Cambria"/>
      <w:b/>
      <w:bCs/>
      <w:color w:val="365F91"/>
      <w:kern w:val="0"/>
    </w:rPr>
  </w:style>
  <w:style w:type="paragraph" w:styleId="2">
    <w:name w:val="heading 2"/>
    <w:basedOn w:val="a"/>
    <w:next w:val="a"/>
    <w:link w:val="20"/>
    <w:uiPriority w:val="9"/>
    <w:qFormat/>
    <w:rsid w:val="00A84E3F"/>
    <w:pPr>
      <w:pBdr>
        <w:bottom w:val="single" w:sz="8" w:space="1" w:color="4F81BD"/>
      </w:pBdr>
      <w:spacing w:before="200" w:after="80"/>
      <w:outlineLvl w:val="1"/>
    </w:pPr>
    <w:rPr>
      <w:rFonts w:ascii="Cambria" w:hAnsi="Cambria"/>
      <w:color w:val="365F91"/>
      <w:kern w:val="0"/>
    </w:rPr>
  </w:style>
  <w:style w:type="paragraph" w:styleId="3">
    <w:name w:val="heading 3"/>
    <w:basedOn w:val="a"/>
    <w:next w:val="a"/>
    <w:link w:val="30"/>
    <w:uiPriority w:val="9"/>
    <w:qFormat/>
    <w:rsid w:val="00A84E3F"/>
    <w:pPr>
      <w:pBdr>
        <w:bottom w:val="single" w:sz="4" w:space="1" w:color="95B3D7"/>
      </w:pBdr>
      <w:spacing w:before="200" w:after="80"/>
      <w:outlineLvl w:val="2"/>
    </w:pPr>
    <w:rPr>
      <w:rFonts w:ascii="Cambria" w:hAnsi="Cambria"/>
      <w:color w:val="4F81BD"/>
      <w:kern w:val="0"/>
    </w:rPr>
  </w:style>
  <w:style w:type="paragraph" w:styleId="4">
    <w:name w:val="heading 4"/>
    <w:basedOn w:val="a"/>
    <w:next w:val="a"/>
    <w:link w:val="40"/>
    <w:uiPriority w:val="9"/>
    <w:qFormat/>
    <w:rsid w:val="00A84E3F"/>
    <w:pPr>
      <w:pBdr>
        <w:bottom w:val="single" w:sz="4" w:space="2" w:color="B8CCE4"/>
      </w:pBdr>
      <w:spacing w:before="200" w:after="80"/>
      <w:outlineLvl w:val="3"/>
    </w:pPr>
    <w:rPr>
      <w:rFonts w:ascii="Cambria" w:hAnsi="Cambria"/>
      <w:i/>
      <w:iCs/>
      <w:color w:val="4F81BD"/>
      <w:kern w:val="0"/>
    </w:rPr>
  </w:style>
  <w:style w:type="paragraph" w:styleId="5">
    <w:name w:val="heading 5"/>
    <w:basedOn w:val="a"/>
    <w:next w:val="a"/>
    <w:link w:val="50"/>
    <w:uiPriority w:val="9"/>
    <w:qFormat/>
    <w:rsid w:val="00A84E3F"/>
    <w:pPr>
      <w:spacing w:before="200" w:after="80"/>
      <w:outlineLvl w:val="4"/>
    </w:pPr>
    <w:rPr>
      <w:rFonts w:ascii="Cambria" w:hAnsi="Cambria"/>
      <w:color w:val="4F81BD"/>
      <w:kern w:val="0"/>
      <w:sz w:val="20"/>
      <w:szCs w:val="20"/>
    </w:rPr>
  </w:style>
  <w:style w:type="paragraph" w:styleId="6">
    <w:name w:val="heading 6"/>
    <w:basedOn w:val="a"/>
    <w:next w:val="a"/>
    <w:link w:val="60"/>
    <w:uiPriority w:val="9"/>
    <w:qFormat/>
    <w:rsid w:val="00A84E3F"/>
    <w:pPr>
      <w:spacing w:before="280" w:after="100"/>
      <w:outlineLvl w:val="5"/>
    </w:pPr>
    <w:rPr>
      <w:rFonts w:ascii="Cambria" w:hAnsi="Cambria"/>
      <w:i/>
      <w:iCs/>
      <w:color w:val="4F81BD"/>
      <w:kern w:val="0"/>
      <w:sz w:val="20"/>
      <w:szCs w:val="20"/>
    </w:rPr>
  </w:style>
  <w:style w:type="paragraph" w:styleId="7">
    <w:name w:val="heading 7"/>
    <w:basedOn w:val="a"/>
    <w:next w:val="a"/>
    <w:link w:val="70"/>
    <w:uiPriority w:val="9"/>
    <w:qFormat/>
    <w:rsid w:val="00A84E3F"/>
    <w:pPr>
      <w:spacing w:before="320" w:after="100"/>
      <w:outlineLvl w:val="6"/>
    </w:pPr>
    <w:rPr>
      <w:rFonts w:ascii="Cambria" w:hAnsi="Cambria"/>
      <w:b/>
      <w:bCs/>
      <w:color w:val="9BBB59"/>
      <w:kern w:val="0"/>
      <w:sz w:val="20"/>
      <w:szCs w:val="20"/>
    </w:rPr>
  </w:style>
  <w:style w:type="paragraph" w:styleId="8">
    <w:name w:val="heading 8"/>
    <w:basedOn w:val="a"/>
    <w:next w:val="a"/>
    <w:link w:val="80"/>
    <w:uiPriority w:val="9"/>
    <w:qFormat/>
    <w:rsid w:val="00A84E3F"/>
    <w:pPr>
      <w:spacing w:before="320" w:after="100"/>
      <w:outlineLvl w:val="7"/>
    </w:pPr>
    <w:rPr>
      <w:rFonts w:ascii="Cambria" w:hAnsi="Cambria"/>
      <w:b/>
      <w:bCs/>
      <w:i/>
      <w:iCs/>
      <w:color w:val="9BBB59"/>
      <w:kern w:val="0"/>
      <w:sz w:val="20"/>
      <w:szCs w:val="20"/>
    </w:rPr>
  </w:style>
  <w:style w:type="paragraph" w:styleId="9">
    <w:name w:val="heading 9"/>
    <w:basedOn w:val="a"/>
    <w:next w:val="a"/>
    <w:link w:val="90"/>
    <w:uiPriority w:val="9"/>
    <w:qFormat/>
    <w:rsid w:val="00A84E3F"/>
    <w:pPr>
      <w:spacing w:before="320" w:after="100"/>
      <w:outlineLvl w:val="8"/>
    </w:pPr>
    <w:rPr>
      <w:rFonts w:ascii="Cambria" w:hAnsi="Cambria"/>
      <w:i/>
      <w:iCs/>
      <w:color w:val="9BBB59"/>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標題10級"/>
    <w:rsid w:val="0096031F"/>
    <w:rPr>
      <w:rFonts w:ascii="新細明體" w:hAnsi="新細明體"/>
      <w:i/>
      <w:iCs/>
      <w:kern w:val="2"/>
      <w:u w:val="double"/>
      <w:lang w:eastAsia="zh-TW"/>
    </w:rPr>
  </w:style>
  <w:style w:type="paragraph" w:customStyle="1" w:styleId="a3">
    <w:name w:val="公報名稱"/>
    <w:basedOn w:val="a"/>
    <w:rsid w:val="0096031F"/>
    <w:pPr>
      <w:autoSpaceDE w:val="0"/>
      <w:autoSpaceDN w:val="0"/>
      <w:adjustRightInd w:val="0"/>
      <w:spacing w:beforeLines="30" w:afterLines="30"/>
      <w:jc w:val="center"/>
    </w:pPr>
    <w:rPr>
      <w:rFonts w:ascii="超研澤粗明"/>
      <w:sz w:val="44"/>
      <w:szCs w:val="44"/>
    </w:rPr>
  </w:style>
  <w:style w:type="paragraph" w:customStyle="1" w:styleId="a4">
    <w:name w:val="表中標"/>
    <w:basedOn w:val="a"/>
    <w:rsid w:val="005E414C"/>
    <w:pPr>
      <w:kinsoku w:val="0"/>
      <w:overflowPunct w:val="0"/>
      <w:autoSpaceDE w:val="0"/>
      <w:autoSpaceDN w:val="0"/>
      <w:adjustRightInd w:val="0"/>
      <w:spacing w:line="360" w:lineRule="auto"/>
      <w:jc w:val="center"/>
    </w:pPr>
    <w:rPr>
      <w:rFonts w:ascii="全真粗黑體" w:eastAsia="全真粗黑體"/>
      <w:sz w:val="21"/>
    </w:rPr>
  </w:style>
  <w:style w:type="paragraph" w:styleId="a5">
    <w:name w:val="Date"/>
    <w:basedOn w:val="a"/>
    <w:next w:val="a"/>
    <w:rsid w:val="005E414C"/>
    <w:pPr>
      <w:adjustRightInd w:val="0"/>
      <w:jc w:val="right"/>
    </w:pPr>
    <w:rPr>
      <w:rFonts w:eastAsia="全真楷書"/>
      <w:sz w:val="21"/>
    </w:rPr>
  </w:style>
  <w:style w:type="paragraph" w:styleId="a6">
    <w:name w:val="header"/>
    <w:basedOn w:val="a"/>
    <w:link w:val="a7"/>
    <w:uiPriority w:val="99"/>
    <w:rsid w:val="0096522A"/>
    <w:pPr>
      <w:tabs>
        <w:tab w:val="center" w:pos="4153"/>
        <w:tab w:val="right" w:pos="8306"/>
      </w:tabs>
      <w:adjustRightInd w:val="0"/>
      <w:snapToGrid w:val="0"/>
      <w:jc w:val="both"/>
    </w:pPr>
    <w:rPr>
      <w:rFonts w:eastAsia="全真楷書"/>
      <w:sz w:val="20"/>
      <w:szCs w:val="20"/>
    </w:rPr>
  </w:style>
  <w:style w:type="paragraph" w:styleId="a8">
    <w:name w:val="footnote text"/>
    <w:basedOn w:val="a"/>
    <w:link w:val="a9"/>
    <w:uiPriority w:val="99"/>
    <w:semiHidden/>
    <w:rsid w:val="00DE5E02"/>
    <w:pPr>
      <w:snapToGrid w:val="0"/>
    </w:pPr>
    <w:rPr>
      <w:sz w:val="20"/>
      <w:szCs w:val="20"/>
    </w:rPr>
  </w:style>
  <w:style w:type="character" w:styleId="aa">
    <w:name w:val="footnote reference"/>
    <w:rsid w:val="00DE5E02"/>
    <w:rPr>
      <w:vertAlign w:val="superscript"/>
    </w:rPr>
  </w:style>
  <w:style w:type="paragraph" w:styleId="ab">
    <w:name w:val="Balloon Text"/>
    <w:basedOn w:val="a"/>
    <w:link w:val="ac"/>
    <w:uiPriority w:val="99"/>
    <w:semiHidden/>
    <w:unhideWhenUsed/>
    <w:rsid w:val="00531D7B"/>
    <w:rPr>
      <w:rFonts w:ascii="Cambria" w:hAnsi="Cambria"/>
      <w:sz w:val="18"/>
      <w:szCs w:val="18"/>
    </w:rPr>
  </w:style>
  <w:style w:type="character" w:customStyle="1" w:styleId="ac">
    <w:name w:val="註解方塊文字 字元"/>
    <w:link w:val="ab"/>
    <w:uiPriority w:val="99"/>
    <w:semiHidden/>
    <w:rsid w:val="00531D7B"/>
    <w:rPr>
      <w:rFonts w:ascii="Cambria" w:eastAsia="新細明體" w:hAnsi="Cambria" w:cs="Times New Roman"/>
      <w:kern w:val="2"/>
      <w:sz w:val="18"/>
      <w:szCs w:val="18"/>
    </w:rPr>
  </w:style>
  <w:style w:type="paragraph" w:styleId="ad">
    <w:name w:val="footer"/>
    <w:basedOn w:val="a"/>
    <w:link w:val="ae"/>
    <w:uiPriority w:val="99"/>
    <w:unhideWhenUsed/>
    <w:rsid w:val="00531D7B"/>
    <w:pPr>
      <w:tabs>
        <w:tab w:val="center" w:pos="4153"/>
        <w:tab w:val="right" w:pos="8306"/>
      </w:tabs>
      <w:snapToGrid w:val="0"/>
    </w:pPr>
    <w:rPr>
      <w:sz w:val="20"/>
      <w:szCs w:val="20"/>
    </w:rPr>
  </w:style>
  <w:style w:type="character" w:customStyle="1" w:styleId="ae">
    <w:name w:val="頁尾 字元"/>
    <w:link w:val="ad"/>
    <w:uiPriority w:val="99"/>
    <w:rsid w:val="00531D7B"/>
    <w:rPr>
      <w:kern w:val="2"/>
    </w:rPr>
  </w:style>
  <w:style w:type="paragraph" w:customStyle="1" w:styleId="101">
    <w:name w:val="10粗黑"/>
    <w:basedOn w:val="a"/>
    <w:rsid w:val="00206CAE"/>
    <w:pPr>
      <w:autoSpaceDE w:val="0"/>
      <w:autoSpaceDN w:val="0"/>
      <w:adjustRightInd w:val="0"/>
      <w:spacing w:line="360" w:lineRule="auto"/>
      <w:jc w:val="both"/>
    </w:pPr>
    <w:rPr>
      <w:rFonts w:ascii="全真粗黑體" w:eastAsia="全真粗黑體"/>
      <w:sz w:val="21"/>
    </w:rPr>
  </w:style>
  <w:style w:type="paragraph" w:customStyle="1" w:styleId="07">
    <w:name w:val="緊表文0.7"/>
    <w:basedOn w:val="a"/>
    <w:rsid w:val="00206CAE"/>
    <w:pPr>
      <w:autoSpaceDE w:val="0"/>
      <w:autoSpaceDN w:val="0"/>
      <w:snapToGrid w:val="0"/>
      <w:jc w:val="both"/>
    </w:pPr>
    <w:rPr>
      <w:rFonts w:eastAsia="全真中明體"/>
      <w:spacing w:val="-4"/>
      <w:w w:val="95"/>
      <w:sz w:val="21"/>
    </w:rPr>
  </w:style>
  <w:style w:type="paragraph" w:customStyle="1" w:styleId="af">
    <w:name w:val="數字文"/>
    <w:basedOn w:val="a"/>
    <w:rsid w:val="00206CAE"/>
    <w:pPr>
      <w:kinsoku w:val="0"/>
      <w:overflowPunct w:val="0"/>
      <w:autoSpaceDE w:val="0"/>
      <w:autoSpaceDN w:val="0"/>
      <w:adjustRightInd w:val="0"/>
    </w:pPr>
    <w:rPr>
      <w:rFonts w:ascii="全真楷書" w:eastAsia="全真中明體"/>
      <w:sz w:val="21"/>
    </w:rPr>
  </w:style>
  <w:style w:type="table" w:styleId="af0">
    <w:name w:val="Table Grid"/>
    <w:basedOn w:val="a1"/>
    <w:uiPriority w:val="59"/>
    <w:rsid w:val="006020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annotation reference"/>
    <w:uiPriority w:val="99"/>
    <w:semiHidden/>
    <w:unhideWhenUsed/>
    <w:rsid w:val="008F71D8"/>
    <w:rPr>
      <w:sz w:val="18"/>
      <w:szCs w:val="18"/>
    </w:rPr>
  </w:style>
  <w:style w:type="paragraph" w:styleId="af2">
    <w:name w:val="annotation text"/>
    <w:basedOn w:val="a"/>
    <w:link w:val="af3"/>
    <w:uiPriority w:val="99"/>
    <w:unhideWhenUsed/>
    <w:rsid w:val="008F71D8"/>
  </w:style>
  <w:style w:type="character" w:customStyle="1" w:styleId="af3">
    <w:name w:val="註解文字 字元"/>
    <w:link w:val="af2"/>
    <w:uiPriority w:val="99"/>
    <w:rsid w:val="008F71D8"/>
    <w:rPr>
      <w:kern w:val="2"/>
      <w:sz w:val="24"/>
      <w:szCs w:val="24"/>
    </w:rPr>
  </w:style>
  <w:style w:type="paragraph" w:styleId="af4">
    <w:name w:val="annotation subject"/>
    <w:basedOn w:val="af2"/>
    <w:next w:val="af2"/>
    <w:link w:val="af5"/>
    <w:uiPriority w:val="99"/>
    <w:semiHidden/>
    <w:unhideWhenUsed/>
    <w:rsid w:val="008F71D8"/>
    <w:rPr>
      <w:b/>
      <w:bCs/>
    </w:rPr>
  </w:style>
  <w:style w:type="character" w:customStyle="1" w:styleId="af5">
    <w:name w:val="註解主旨 字元"/>
    <w:link w:val="af4"/>
    <w:uiPriority w:val="99"/>
    <w:semiHidden/>
    <w:rsid w:val="008F71D8"/>
    <w:rPr>
      <w:b/>
      <w:bCs/>
      <w:kern w:val="2"/>
      <w:sz w:val="24"/>
      <w:szCs w:val="24"/>
    </w:rPr>
  </w:style>
  <w:style w:type="paragraph" w:styleId="af6">
    <w:name w:val="Revision"/>
    <w:hidden/>
    <w:uiPriority w:val="99"/>
    <w:semiHidden/>
    <w:rsid w:val="00F9511A"/>
    <w:rPr>
      <w:kern w:val="2"/>
      <w:sz w:val="24"/>
      <w:szCs w:val="24"/>
      <w:lang w:eastAsia="zh-TW"/>
    </w:rPr>
  </w:style>
  <w:style w:type="paragraph" w:customStyle="1" w:styleId="abgguidanceexample">
    <w:name w:val="abg_guidance_example"/>
    <w:basedOn w:val="a"/>
    <w:link w:val="abgguidanceexampleChar"/>
    <w:rsid w:val="00CE6E67"/>
    <w:pPr>
      <w:shd w:val="clear" w:color="auto" w:fill="99CCFF"/>
      <w:tabs>
        <w:tab w:val="left" w:pos="567"/>
        <w:tab w:val="left" w:pos="1134"/>
        <w:tab w:val="left" w:pos="1701"/>
      </w:tabs>
      <w:spacing w:before="60" w:after="120"/>
    </w:pPr>
    <w:rPr>
      <w:kern w:val="0"/>
      <w:sz w:val="22"/>
      <w:szCs w:val="20"/>
      <w:lang w:val="en-GB" w:eastAsia="en-US"/>
    </w:rPr>
  </w:style>
  <w:style w:type="character" w:customStyle="1" w:styleId="abgguidanceexampleChar">
    <w:name w:val="abg_guidance_example Char"/>
    <w:link w:val="abgguidanceexample"/>
    <w:rsid w:val="00CE6E67"/>
    <w:rPr>
      <w:sz w:val="22"/>
      <w:shd w:val="clear" w:color="auto" w:fill="99CCFF"/>
      <w:lang w:val="en-GB" w:eastAsia="en-US"/>
    </w:rPr>
  </w:style>
  <w:style w:type="paragraph" w:styleId="af7">
    <w:name w:val="Intense Quote"/>
    <w:basedOn w:val="a"/>
    <w:next w:val="a"/>
    <w:link w:val="af8"/>
    <w:uiPriority w:val="30"/>
    <w:qFormat/>
    <w:rsid w:val="00CC1E2D"/>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kern w:val="0"/>
      <w:lang w:val="en-AU" w:eastAsia="en-US"/>
    </w:rPr>
  </w:style>
  <w:style w:type="character" w:customStyle="1" w:styleId="af8">
    <w:name w:val="鮮明引文 字元"/>
    <w:link w:val="af7"/>
    <w:uiPriority w:val="30"/>
    <w:rsid w:val="00CC1E2D"/>
    <w:rPr>
      <w:rFonts w:ascii="Cambria" w:hAnsi="Cambria"/>
      <w:i/>
      <w:iCs/>
      <w:color w:val="FFFFFF"/>
      <w:sz w:val="24"/>
      <w:szCs w:val="24"/>
      <w:shd w:val="clear" w:color="auto" w:fill="4F81BD"/>
      <w:lang w:val="en-AU" w:eastAsia="en-US"/>
    </w:rPr>
  </w:style>
  <w:style w:type="paragraph" w:customStyle="1" w:styleId="abgguidanceexampleheading">
    <w:name w:val="abg_guidance_example_heading"/>
    <w:basedOn w:val="abgguidanceexample"/>
    <w:rsid w:val="00BA1A92"/>
    <w:rPr>
      <w:b/>
      <w:szCs w:val="22"/>
    </w:rPr>
  </w:style>
  <w:style w:type="paragraph" w:customStyle="1" w:styleId="abgbulletedlist">
    <w:name w:val="abg_bulleted_list"/>
    <w:basedOn w:val="a"/>
    <w:rsid w:val="0047424A"/>
    <w:pPr>
      <w:numPr>
        <w:numId w:val="5"/>
      </w:numPr>
      <w:tabs>
        <w:tab w:val="left" w:pos="1134"/>
        <w:tab w:val="left" w:pos="1701"/>
      </w:tabs>
      <w:spacing w:before="60" w:after="120"/>
    </w:pPr>
    <w:rPr>
      <w:kern w:val="0"/>
      <w:sz w:val="22"/>
      <w:szCs w:val="20"/>
      <w:lang w:val="en-GB" w:eastAsia="en-US"/>
    </w:rPr>
  </w:style>
  <w:style w:type="character" w:customStyle="1" w:styleId="abgbold">
    <w:name w:val="abg_bold"/>
    <w:rsid w:val="00395C57"/>
    <w:rPr>
      <w:b/>
      <w:bCs/>
    </w:rPr>
  </w:style>
  <w:style w:type="character" w:customStyle="1" w:styleId="10">
    <w:name w:val="標題 1 字元"/>
    <w:link w:val="1"/>
    <w:uiPriority w:val="9"/>
    <w:rsid w:val="00A84E3F"/>
    <w:rPr>
      <w:rFonts w:ascii="Cambria" w:hAnsi="Cambria"/>
      <w:b/>
      <w:bCs/>
      <w:color w:val="365F91"/>
      <w:sz w:val="24"/>
      <w:szCs w:val="24"/>
    </w:rPr>
  </w:style>
  <w:style w:type="character" w:customStyle="1" w:styleId="20">
    <w:name w:val="標題 2 字元"/>
    <w:link w:val="2"/>
    <w:uiPriority w:val="9"/>
    <w:rsid w:val="00A84E3F"/>
    <w:rPr>
      <w:rFonts w:ascii="Cambria" w:hAnsi="Cambria"/>
      <w:color w:val="365F91"/>
      <w:sz w:val="24"/>
      <w:szCs w:val="24"/>
    </w:rPr>
  </w:style>
  <w:style w:type="character" w:customStyle="1" w:styleId="30">
    <w:name w:val="標題 3 字元"/>
    <w:link w:val="3"/>
    <w:uiPriority w:val="9"/>
    <w:rsid w:val="00A84E3F"/>
    <w:rPr>
      <w:rFonts w:ascii="Cambria" w:hAnsi="Cambria"/>
      <w:color w:val="4F81BD"/>
      <w:sz w:val="24"/>
      <w:szCs w:val="24"/>
    </w:rPr>
  </w:style>
  <w:style w:type="character" w:customStyle="1" w:styleId="40">
    <w:name w:val="標題 4 字元"/>
    <w:link w:val="4"/>
    <w:uiPriority w:val="9"/>
    <w:rsid w:val="00A84E3F"/>
    <w:rPr>
      <w:rFonts w:ascii="Cambria" w:hAnsi="Cambria"/>
      <w:i/>
      <w:iCs/>
      <w:color w:val="4F81BD"/>
      <w:sz w:val="24"/>
      <w:szCs w:val="24"/>
    </w:rPr>
  </w:style>
  <w:style w:type="character" w:customStyle="1" w:styleId="50">
    <w:name w:val="標題 5 字元"/>
    <w:link w:val="5"/>
    <w:uiPriority w:val="9"/>
    <w:rsid w:val="00A84E3F"/>
    <w:rPr>
      <w:rFonts w:ascii="Cambria" w:hAnsi="Cambria"/>
      <w:color w:val="4F81BD"/>
    </w:rPr>
  </w:style>
  <w:style w:type="character" w:customStyle="1" w:styleId="60">
    <w:name w:val="標題 6 字元"/>
    <w:link w:val="6"/>
    <w:uiPriority w:val="9"/>
    <w:rsid w:val="00A84E3F"/>
    <w:rPr>
      <w:rFonts w:ascii="Cambria" w:hAnsi="Cambria"/>
      <w:i/>
      <w:iCs/>
      <w:color w:val="4F81BD"/>
    </w:rPr>
  </w:style>
  <w:style w:type="character" w:customStyle="1" w:styleId="70">
    <w:name w:val="標題 7 字元"/>
    <w:link w:val="7"/>
    <w:uiPriority w:val="9"/>
    <w:rsid w:val="00A84E3F"/>
    <w:rPr>
      <w:rFonts w:ascii="Cambria" w:hAnsi="Cambria"/>
      <w:b/>
      <w:bCs/>
      <w:color w:val="9BBB59"/>
    </w:rPr>
  </w:style>
  <w:style w:type="character" w:customStyle="1" w:styleId="80">
    <w:name w:val="標題 8 字元"/>
    <w:link w:val="8"/>
    <w:uiPriority w:val="9"/>
    <w:rsid w:val="00A84E3F"/>
    <w:rPr>
      <w:rFonts w:ascii="Cambria" w:hAnsi="Cambria"/>
      <w:b/>
      <w:bCs/>
      <w:i/>
      <w:iCs/>
      <w:color w:val="9BBB59"/>
    </w:rPr>
  </w:style>
  <w:style w:type="character" w:customStyle="1" w:styleId="90">
    <w:name w:val="標題 9 字元"/>
    <w:link w:val="9"/>
    <w:uiPriority w:val="9"/>
    <w:rsid w:val="00A84E3F"/>
    <w:rPr>
      <w:rFonts w:ascii="Cambria" w:hAnsi="Cambria"/>
      <w:i/>
      <w:iCs/>
      <w:color w:val="9BBB59"/>
    </w:rPr>
  </w:style>
  <w:style w:type="paragraph" w:styleId="af9">
    <w:name w:val="caption"/>
    <w:basedOn w:val="a"/>
    <w:next w:val="a"/>
    <w:uiPriority w:val="35"/>
    <w:qFormat/>
    <w:rsid w:val="00A84E3F"/>
    <w:rPr>
      <w:b/>
      <w:bCs/>
      <w:sz w:val="18"/>
      <w:szCs w:val="18"/>
    </w:rPr>
  </w:style>
  <w:style w:type="paragraph" w:styleId="afa">
    <w:name w:val="Title"/>
    <w:basedOn w:val="a"/>
    <w:next w:val="a"/>
    <w:link w:val="afb"/>
    <w:uiPriority w:val="10"/>
    <w:qFormat/>
    <w:rsid w:val="00A84E3F"/>
    <w:pPr>
      <w:pBdr>
        <w:top w:val="single" w:sz="8" w:space="10" w:color="A7BFDE"/>
        <w:bottom w:val="single" w:sz="24" w:space="15" w:color="9BBB59"/>
      </w:pBdr>
      <w:jc w:val="center"/>
    </w:pPr>
    <w:rPr>
      <w:rFonts w:ascii="Cambria" w:hAnsi="Cambria"/>
      <w:i/>
      <w:iCs/>
      <w:color w:val="243F60"/>
      <w:kern w:val="0"/>
      <w:sz w:val="60"/>
      <w:szCs w:val="60"/>
    </w:rPr>
  </w:style>
  <w:style w:type="character" w:customStyle="1" w:styleId="afb">
    <w:name w:val="標題 字元"/>
    <w:link w:val="afa"/>
    <w:uiPriority w:val="10"/>
    <w:rsid w:val="00A84E3F"/>
    <w:rPr>
      <w:rFonts w:ascii="Cambria" w:hAnsi="Cambria"/>
      <w:i/>
      <w:iCs/>
      <w:color w:val="243F60"/>
      <w:sz w:val="60"/>
      <w:szCs w:val="60"/>
    </w:rPr>
  </w:style>
  <w:style w:type="paragraph" w:styleId="afc">
    <w:name w:val="Subtitle"/>
    <w:basedOn w:val="a"/>
    <w:next w:val="a"/>
    <w:link w:val="afd"/>
    <w:uiPriority w:val="11"/>
    <w:qFormat/>
    <w:rsid w:val="00A84E3F"/>
    <w:pPr>
      <w:spacing w:before="200" w:after="900"/>
      <w:jc w:val="right"/>
    </w:pPr>
    <w:rPr>
      <w:rFonts w:ascii="Calibri" w:hAnsi="Calibri"/>
      <w:i/>
      <w:iCs/>
      <w:kern w:val="0"/>
    </w:rPr>
  </w:style>
  <w:style w:type="character" w:customStyle="1" w:styleId="afd">
    <w:name w:val="副標題 字元"/>
    <w:link w:val="afc"/>
    <w:uiPriority w:val="11"/>
    <w:rsid w:val="00A84E3F"/>
    <w:rPr>
      <w:rFonts w:ascii="Calibri" w:hAnsi="Calibri"/>
      <w:i/>
      <w:iCs/>
      <w:sz w:val="24"/>
      <w:szCs w:val="24"/>
    </w:rPr>
  </w:style>
  <w:style w:type="character" w:styleId="afe">
    <w:name w:val="Strong"/>
    <w:uiPriority w:val="22"/>
    <w:qFormat/>
    <w:rsid w:val="00A84E3F"/>
    <w:rPr>
      <w:b/>
      <w:bCs/>
      <w:spacing w:val="0"/>
    </w:rPr>
  </w:style>
  <w:style w:type="character" w:styleId="aff">
    <w:name w:val="Emphasis"/>
    <w:uiPriority w:val="20"/>
    <w:qFormat/>
    <w:rsid w:val="00A84E3F"/>
    <w:rPr>
      <w:b/>
      <w:bCs/>
      <w:i/>
      <w:iCs/>
      <w:color w:val="5A5A5A"/>
    </w:rPr>
  </w:style>
  <w:style w:type="paragraph" w:styleId="aff0">
    <w:name w:val="No Spacing"/>
    <w:basedOn w:val="a"/>
    <w:link w:val="aff1"/>
    <w:uiPriority w:val="1"/>
    <w:qFormat/>
    <w:rsid w:val="00A84E3F"/>
  </w:style>
  <w:style w:type="character" w:customStyle="1" w:styleId="aff1">
    <w:name w:val="無間距 字元"/>
    <w:link w:val="aff0"/>
    <w:uiPriority w:val="1"/>
    <w:rsid w:val="00A84E3F"/>
    <w:rPr>
      <w:kern w:val="2"/>
      <w:sz w:val="24"/>
      <w:szCs w:val="24"/>
    </w:rPr>
  </w:style>
  <w:style w:type="paragraph" w:styleId="aff2">
    <w:name w:val="List Paragraph"/>
    <w:basedOn w:val="a"/>
    <w:uiPriority w:val="34"/>
    <w:qFormat/>
    <w:rsid w:val="00A84E3F"/>
    <w:pPr>
      <w:ind w:left="720"/>
      <w:contextualSpacing/>
    </w:pPr>
  </w:style>
  <w:style w:type="paragraph" w:styleId="aff3">
    <w:name w:val="Quote"/>
    <w:basedOn w:val="a"/>
    <w:next w:val="a"/>
    <w:link w:val="aff4"/>
    <w:uiPriority w:val="29"/>
    <w:qFormat/>
    <w:rsid w:val="00A84E3F"/>
    <w:rPr>
      <w:rFonts w:ascii="Cambria" w:hAnsi="Cambria"/>
      <w:i/>
      <w:iCs/>
      <w:color w:val="5A5A5A"/>
      <w:kern w:val="0"/>
      <w:sz w:val="20"/>
      <w:szCs w:val="20"/>
    </w:rPr>
  </w:style>
  <w:style w:type="character" w:customStyle="1" w:styleId="aff4">
    <w:name w:val="引文 字元"/>
    <w:link w:val="aff3"/>
    <w:uiPriority w:val="29"/>
    <w:rsid w:val="00A84E3F"/>
    <w:rPr>
      <w:rFonts w:ascii="Cambria" w:hAnsi="Cambria"/>
      <w:i/>
      <w:iCs/>
      <w:color w:val="5A5A5A"/>
    </w:rPr>
  </w:style>
  <w:style w:type="character" w:styleId="aff5">
    <w:name w:val="Subtle Emphasis"/>
    <w:uiPriority w:val="19"/>
    <w:qFormat/>
    <w:rsid w:val="00A84E3F"/>
    <w:rPr>
      <w:i/>
      <w:iCs/>
      <w:color w:val="5A5A5A"/>
    </w:rPr>
  </w:style>
  <w:style w:type="character" w:styleId="aff6">
    <w:name w:val="Intense Emphasis"/>
    <w:uiPriority w:val="21"/>
    <w:qFormat/>
    <w:rsid w:val="00A84E3F"/>
    <w:rPr>
      <w:b/>
      <w:bCs/>
      <w:i/>
      <w:iCs/>
      <w:color w:val="4F81BD"/>
      <w:sz w:val="22"/>
      <w:szCs w:val="22"/>
    </w:rPr>
  </w:style>
  <w:style w:type="character" w:styleId="aff7">
    <w:name w:val="Subtle Reference"/>
    <w:uiPriority w:val="31"/>
    <w:qFormat/>
    <w:rsid w:val="00A84E3F"/>
    <w:rPr>
      <w:color w:val="auto"/>
      <w:u w:val="single" w:color="9BBB59"/>
    </w:rPr>
  </w:style>
  <w:style w:type="character" w:styleId="aff8">
    <w:name w:val="Intense Reference"/>
    <w:uiPriority w:val="32"/>
    <w:qFormat/>
    <w:rsid w:val="00A84E3F"/>
    <w:rPr>
      <w:b/>
      <w:bCs/>
      <w:color w:val="76923C"/>
      <w:u w:val="single" w:color="9BBB59"/>
    </w:rPr>
  </w:style>
  <w:style w:type="character" w:styleId="aff9">
    <w:name w:val="Book Title"/>
    <w:uiPriority w:val="33"/>
    <w:qFormat/>
    <w:rsid w:val="00A84E3F"/>
    <w:rPr>
      <w:rFonts w:ascii="Cambria" w:eastAsia="新細明體" w:hAnsi="Cambria" w:cs="Times New Roman"/>
      <w:b/>
      <w:bCs/>
      <w:i/>
      <w:iCs/>
      <w:color w:val="auto"/>
    </w:rPr>
  </w:style>
  <w:style w:type="paragraph" w:styleId="affa">
    <w:name w:val="TOC Heading"/>
    <w:basedOn w:val="1"/>
    <w:next w:val="a"/>
    <w:uiPriority w:val="39"/>
    <w:qFormat/>
    <w:rsid w:val="00A84E3F"/>
    <w:pPr>
      <w:outlineLvl w:val="9"/>
    </w:pPr>
  </w:style>
  <w:style w:type="character" w:customStyle="1" w:styleId="a7">
    <w:name w:val="頁首 字元"/>
    <w:link w:val="a6"/>
    <w:uiPriority w:val="99"/>
    <w:rsid w:val="00A84E3F"/>
    <w:rPr>
      <w:rFonts w:eastAsia="全真楷書"/>
      <w:kern w:val="2"/>
    </w:rPr>
  </w:style>
  <w:style w:type="character" w:customStyle="1" w:styleId="11">
    <w:name w:val="頁首 字元1"/>
    <w:uiPriority w:val="99"/>
    <w:semiHidden/>
    <w:rsid w:val="00A84E3F"/>
    <w:rPr>
      <w:kern w:val="2"/>
    </w:rPr>
  </w:style>
  <w:style w:type="character" w:customStyle="1" w:styleId="12">
    <w:name w:val="註解文字 字元1"/>
    <w:uiPriority w:val="99"/>
    <w:semiHidden/>
    <w:rsid w:val="00A84E3F"/>
    <w:rPr>
      <w:kern w:val="2"/>
      <w:sz w:val="24"/>
      <w:szCs w:val="22"/>
    </w:rPr>
  </w:style>
  <w:style w:type="character" w:customStyle="1" w:styleId="13">
    <w:name w:val="註解主旨 字元1"/>
    <w:uiPriority w:val="99"/>
    <w:semiHidden/>
    <w:rsid w:val="00A84E3F"/>
    <w:rPr>
      <w:b/>
      <w:bCs/>
      <w:kern w:val="2"/>
      <w:sz w:val="24"/>
      <w:szCs w:val="22"/>
    </w:rPr>
  </w:style>
  <w:style w:type="character" w:customStyle="1" w:styleId="14">
    <w:name w:val="註解方塊文字 字元1"/>
    <w:uiPriority w:val="99"/>
    <w:semiHidden/>
    <w:rsid w:val="00A84E3F"/>
    <w:rPr>
      <w:rFonts w:ascii="Cambria" w:eastAsia="新細明體" w:hAnsi="Cambria" w:cs="Times New Roman"/>
      <w:kern w:val="2"/>
      <w:sz w:val="18"/>
      <w:szCs w:val="18"/>
    </w:rPr>
  </w:style>
  <w:style w:type="paragraph" w:styleId="affb">
    <w:name w:val="Note Heading"/>
    <w:basedOn w:val="a"/>
    <w:next w:val="a"/>
    <w:link w:val="affc"/>
    <w:uiPriority w:val="99"/>
    <w:unhideWhenUsed/>
    <w:rsid w:val="00A84E3F"/>
    <w:pPr>
      <w:jc w:val="center"/>
    </w:pPr>
    <w:rPr>
      <w:rFonts w:eastAsia="標楷體" w:hAnsi="標楷體"/>
      <w:b/>
      <w:bCs/>
      <w:kern w:val="0"/>
      <w:sz w:val="40"/>
      <w:szCs w:val="40"/>
      <w:lang w:val="en-GB"/>
    </w:rPr>
  </w:style>
  <w:style w:type="character" w:customStyle="1" w:styleId="affc">
    <w:name w:val="註釋標題 字元"/>
    <w:link w:val="affb"/>
    <w:uiPriority w:val="99"/>
    <w:rsid w:val="00A84E3F"/>
    <w:rPr>
      <w:rFonts w:eastAsia="標楷體" w:hAnsi="標楷體"/>
      <w:b/>
      <w:bCs/>
      <w:sz w:val="40"/>
      <w:szCs w:val="40"/>
      <w:lang w:val="en-GB"/>
    </w:rPr>
  </w:style>
  <w:style w:type="paragraph" w:styleId="affd">
    <w:name w:val="Closing"/>
    <w:basedOn w:val="a"/>
    <w:link w:val="affe"/>
    <w:uiPriority w:val="99"/>
    <w:unhideWhenUsed/>
    <w:rsid w:val="00A84E3F"/>
    <w:pPr>
      <w:ind w:leftChars="1800" w:left="100"/>
    </w:pPr>
    <w:rPr>
      <w:rFonts w:eastAsia="標楷體" w:hAnsi="標楷體"/>
      <w:b/>
      <w:bCs/>
      <w:kern w:val="0"/>
      <w:sz w:val="40"/>
      <w:szCs w:val="40"/>
      <w:lang w:val="en-GB"/>
    </w:rPr>
  </w:style>
  <w:style w:type="character" w:customStyle="1" w:styleId="affe">
    <w:name w:val="結語 字元"/>
    <w:link w:val="affd"/>
    <w:uiPriority w:val="99"/>
    <w:rsid w:val="00A84E3F"/>
    <w:rPr>
      <w:rFonts w:eastAsia="標楷體" w:hAnsi="標楷體"/>
      <w:b/>
      <w:bCs/>
      <w:sz w:val="40"/>
      <w:szCs w:val="40"/>
      <w:lang w:val="en-GB"/>
    </w:rPr>
  </w:style>
  <w:style w:type="character" w:customStyle="1" w:styleId="a9">
    <w:name w:val="註腳文字 字元"/>
    <w:link w:val="a8"/>
    <w:uiPriority w:val="99"/>
    <w:semiHidden/>
    <w:rsid w:val="00A84E3F"/>
    <w:rPr>
      <w:kern w:val="2"/>
    </w:rPr>
  </w:style>
  <w:style w:type="character" w:customStyle="1" w:styleId="afff">
    <w:name w:val="章節附註文字 字元"/>
    <w:link w:val="afff0"/>
    <w:uiPriority w:val="99"/>
    <w:semiHidden/>
    <w:rsid w:val="00A84E3F"/>
    <w:rPr>
      <w:kern w:val="2"/>
      <w:sz w:val="24"/>
      <w:szCs w:val="24"/>
    </w:rPr>
  </w:style>
  <w:style w:type="paragraph" w:styleId="afff0">
    <w:name w:val="endnote text"/>
    <w:basedOn w:val="a"/>
    <w:link w:val="afff"/>
    <w:uiPriority w:val="99"/>
    <w:semiHidden/>
    <w:unhideWhenUsed/>
    <w:rsid w:val="00A84E3F"/>
    <w:pPr>
      <w:snapToGrid w:val="0"/>
    </w:pPr>
  </w:style>
  <w:style w:type="character" w:customStyle="1" w:styleId="15">
    <w:name w:val="章節附註文字 字元1"/>
    <w:uiPriority w:val="99"/>
    <w:semiHidden/>
    <w:rsid w:val="00A84E3F"/>
    <w:rPr>
      <w:kern w:val="2"/>
      <w:sz w:val="24"/>
      <w:szCs w:val="24"/>
    </w:rPr>
  </w:style>
  <w:style w:type="paragraph" w:styleId="Web">
    <w:name w:val="Normal (Web)"/>
    <w:basedOn w:val="a"/>
    <w:uiPriority w:val="99"/>
    <w:unhideWhenUsed/>
    <w:rsid w:val="00A84E3F"/>
    <w:pPr>
      <w:widowControl/>
      <w:spacing w:before="100" w:beforeAutospacing="1" w:after="100" w:afterAutospacing="1"/>
    </w:pPr>
    <w:rPr>
      <w:rFonts w:ascii="新細明體" w:hAnsi="新細明體" w:cs="新細明體"/>
      <w:kern w:val="0"/>
    </w:rPr>
  </w:style>
  <w:style w:type="paragraph" w:customStyle="1" w:styleId="DTTGuidanceQuestionAnswerExhibit">
    <w:name w:val="DTT Guidance Question/Answer/Exhibit"/>
    <w:uiPriority w:val="99"/>
    <w:rsid w:val="00A84E3F"/>
    <w:pPr>
      <w:widowControl w:val="0"/>
      <w:autoSpaceDE w:val="0"/>
      <w:autoSpaceDN w:val="0"/>
      <w:adjustRightInd w:val="0"/>
      <w:spacing w:before="120" w:after="60"/>
    </w:pPr>
    <w:rPr>
      <w:rFonts w:ascii="Tahoma" w:hAnsi="Tahoma" w:cs="Tahoma"/>
      <w:i/>
      <w:iCs/>
      <w:color w:val="800000"/>
      <w:sz w:val="22"/>
      <w:szCs w:val="22"/>
      <w:lang w:eastAsia="zh-TW"/>
    </w:rPr>
  </w:style>
  <w:style w:type="character" w:customStyle="1" w:styleId="BreadcrumbsChar">
    <w:name w:val="Breadcrumbs:Char"/>
    <w:uiPriority w:val="99"/>
    <w:rsid w:val="00A84E3F"/>
    <w:rPr>
      <w:rFonts w:ascii="Tahoma" w:hAnsi="Tahoma"/>
      <w:b/>
      <w:color w:val="000080"/>
      <w:sz w:val="16"/>
    </w:rPr>
  </w:style>
  <w:style w:type="character" w:customStyle="1" w:styleId="abgxrefcitation">
    <w:name w:val="abg_xref_citation"/>
    <w:rsid w:val="00A84E3F"/>
    <w:rPr>
      <w:b/>
      <w:color w:val="0000FF"/>
    </w:rPr>
  </w:style>
  <w:style w:type="paragraph" w:customStyle="1" w:styleId="abgguidancebulletedlist">
    <w:name w:val="abg_guidancebulleted_list"/>
    <w:basedOn w:val="a"/>
    <w:rsid w:val="00A84E3F"/>
    <w:pPr>
      <w:numPr>
        <w:numId w:val="7"/>
      </w:numPr>
      <w:shd w:val="clear" w:color="auto" w:fill="B3B3B3"/>
      <w:tabs>
        <w:tab w:val="left" w:pos="567"/>
        <w:tab w:val="left" w:pos="1134"/>
        <w:tab w:val="left" w:pos="1701"/>
      </w:tabs>
      <w:spacing w:before="60" w:after="120"/>
    </w:pPr>
    <w:rPr>
      <w:kern w:val="0"/>
      <w:sz w:val="22"/>
      <w:szCs w:val="20"/>
      <w:lang w:val="en-GB" w:eastAsia="en-US"/>
    </w:rPr>
  </w:style>
  <w:style w:type="paragraph" w:customStyle="1" w:styleId="abgbodytext">
    <w:name w:val="abg_body_text"/>
    <w:basedOn w:val="a"/>
    <w:link w:val="abgbodytextChar"/>
    <w:rsid w:val="00A84E3F"/>
    <w:pPr>
      <w:spacing w:before="60" w:after="120"/>
    </w:pPr>
    <w:rPr>
      <w:kern w:val="0"/>
      <w:sz w:val="20"/>
      <w:szCs w:val="20"/>
      <w:lang w:val="en-GB"/>
    </w:rPr>
  </w:style>
  <w:style w:type="character" w:customStyle="1" w:styleId="abgbodytextChar">
    <w:name w:val="abg_body_text Char"/>
    <w:link w:val="abgbodytext"/>
    <w:rsid w:val="00A84E3F"/>
    <w:rPr>
      <w:lang w:val="en-GB"/>
    </w:rPr>
  </w:style>
  <w:style w:type="character" w:customStyle="1" w:styleId="abgitalic">
    <w:name w:val="abg_italic"/>
    <w:rsid w:val="00A84E3F"/>
    <w:rPr>
      <w:i/>
      <w:iCs/>
    </w:rPr>
  </w:style>
  <w:style w:type="paragraph" w:customStyle="1" w:styleId="abgheadd">
    <w:name w:val="abg_head_d"/>
    <w:basedOn w:val="a"/>
    <w:rsid w:val="00A84E3F"/>
    <w:pPr>
      <w:spacing w:before="240" w:after="120"/>
      <w:outlineLvl w:val="3"/>
    </w:pPr>
    <w:rPr>
      <w:color w:val="0000FF"/>
      <w:kern w:val="0"/>
      <w:sz w:val="28"/>
      <w:szCs w:val="20"/>
      <w:lang w:val="en-GB" w:eastAsia="en-US"/>
    </w:rPr>
  </w:style>
  <w:style w:type="paragraph" w:customStyle="1" w:styleId="abgheadc">
    <w:name w:val="abg_head_c"/>
    <w:basedOn w:val="a"/>
    <w:rsid w:val="00A84E3F"/>
    <w:pPr>
      <w:spacing w:before="240" w:after="120"/>
      <w:outlineLvl w:val="3"/>
    </w:pPr>
    <w:rPr>
      <w:i/>
      <w:color w:val="0000FF"/>
      <w:kern w:val="0"/>
      <w:sz w:val="28"/>
      <w:szCs w:val="20"/>
      <w:lang w:val="en-GB" w:eastAsia="en-US"/>
    </w:rPr>
  </w:style>
  <w:style w:type="paragraph" w:styleId="afff1">
    <w:name w:val="Salutation"/>
    <w:basedOn w:val="a"/>
    <w:next w:val="a"/>
    <w:link w:val="afff2"/>
    <w:rsid w:val="00A84E3F"/>
    <w:rPr>
      <w:rFonts w:eastAsia="標楷體"/>
      <w:i/>
      <w:color w:val="000000"/>
      <w:sz w:val="23"/>
      <w:szCs w:val="23"/>
    </w:rPr>
  </w:style>
  <w:style w:type="character" w:customStyle="1" w:styleId="afff2">
    <w:name w:val="問候 字元"/>
    <w:link w:val="afff1"/>
    <w:rsid w:val="00A84E3F"/>
    <w:rPr>
      <w:rFonts w:eastAsia="標楷體"/>
      <w:i/>
      <w:color w:val="000000"/>
      <w:kern w:val="2"/>
      <w:sz w:val="23"/>
      <w:szCs w:val="23"/>
    </w:rPr>
  </w:style>
  <w:style w:type="paragraph" w:styleId="afff3">
    <w:name w:val="Document Map"/>
    <w:basedOn w:val="a"/>
    <w:link w:val="afff4"/>
    <w:uiPriority w:val="99"/>
    <w:semiHidden/>
    <w:unhideWhenUsed/>
    <w:rsid w:val="00A84E3F"/>
    <w:rPr>
      <w:rFonts w:ascii="新細明體"/>
      <w:sz w:val="18"/>
      <w:szCs w:val="18"/>
    </w:rPr>
  </w:style>
  <w:style w:type="character" w:customStyle="1" w:styleId="afff4">
    <w:name w:val="文件引導模式 字元"/>
    <w:link w:val="afff3"/>
    <w:uiPriority w:val="99"/>
    <w:semiHidden/>
    <w:rsid w:val="00A84E3F"/>
    <w:rPr>
      <w:rFonts w:ascii="新細明體"/>
      <w:kern w:val="2"/>
      <w:sz w:val="18"/>
      <w:szCs w:val="18"/>
    </w:rPr>
  </w:style>
  <w:style w:type="character" w:styleId="afff5">
    <w:name w:val="Hyperlink"/>
    <w:rsid w:val="00A84E3F"/>
    <w:rPr>
      <w:color w:val="0000FF"/>
      <w:u w:val="single"/>
    </w:rPr>
  </w:style>
  <w:style w:type="paragraph" w:customStyle="1" w:styleId="120">
    <w:name w:val="標題12級"/>
    <w:basedOn w:val="a"/>
    <w:rsid w:val="00A84E3F"/>
    <w:pPr>
      <w:autoSpaceDE w:val="0"/>
      <w:autoSpaceDN w:val="0"/>
      <w:adjustRightInd w:val="0"/>
      <w:spacing w:line="360" w:lineRule="auto"/>
      <w:jc w:val="both"/>
    </w:pPr>
    <w:rPr>
      <w:rFonts w:eastAsia="全真粗黑體"/>
    </w:rPr>
  </w:style>
  <w:style w:type="paragraph" w:customStyle="1" w:styleId="16">
    <w:name w:val="標題16級"/>
    <w:basedOn w:val="a"/>
    <w:rsid w:val="00A84E3F"/>
    <w:pPr>
      <w:autoSpaceDE w:val="0"/>
      <w:autoSpaceDN w:val="0"/>
      <w:adjustRightInd w:val="0"/>
      <w:spacing w:beforeLines="30" w:afterLines="30"/>
      <w:jc w:val="center"/>
    </w:pPr>
    <w:rPr>
      <w:rFonts w:eastAsia="超研澤粗明"/>
      <w:sz w:val="32"/>
      <w:szCs w:val="32"/>
    </w:rPr>
  </w:style>
  <w:style w:type="paragraph" w:customStyle="1" w:styleId="140">
    <w:name w:val="標題14級"/>
    <w:basedOn w:val="a"/>
    <w:rsid w:val="00A84E3F"/>
    <w:pPr>
      <w:autoSpaceDE w:val="0"/>
      <w:autoSpaceDN w:val="0"/>
      <w:adjustRightInd w:val="0"/>
      <w:snapToGrid w:val="0"/>
      <w:spacing w:beforeLines="30" w:afterLines="30"/>
      <w:jc w:val="both"/>
    </w:pPr>
    <w:rPr>
      <w:rFonts w:eastAsia="全真粗黑體"/>
      <w:sz w:val="28"/>
    </w:rPr>
  </w:style>
  <w:style w:type="paragraph" w:styleId="HTML">
    <w:name w:val="HTML Preformatted"/>
    <w:basedOn w:val="a"/>
    <w:link w:val="HTML0"/>
    <w:uiPriority w:val="99"/>
    <w:unhideWhenUsed/>
    <w:rsid w:val="00047B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047B1F"/>
    <w:rPr>
      <w:rFonts w:ascii="細明體" w:eastAsia="細明體" w:hAnsi="細明體" w:cs="細明體"/>
      <w:sz w:val="24"/>
      <w:szCs w:val="24"/>
    </w:rPr>
  </w:style>
  <w:style w:type="paragraph" w:customStyle="1" w:styleId="TableNoBreakB">
    <w:name w:val="TableNoBreakB"/>
    <w:rsid w:val="009059F3"/>
    <w:pPr>
      <w:shd w:val="clear" w:color="auto" w:fill="C0C0C0"/>
      <w:tabs>
        <w:tab w:val="left" w:pos="567"/>
      </w:tabs>
      <w:spacing w:before="60" w:after="60"/>
    </w:pPr>
    <w:rPr>
      <w:rFonts w:ascii="Arial" w:hAnsi="Arial" w:cs="Arial"/>
      <w:lang w:val="en-GB" w:eastAsia="zh-TW"/>
    </w:rPr>
  </w:style>
  <w:style w:type="paragraph" w:customStyle="1" w:styleId="TableNoBreakE">
    <w:name w:val="TableNoBreakE"/>
    <w:rsid w:val="009059F3"/>
    <w:pPr>
      <w:shd w:val="clear" w:color="auto" w:fill="C0C0C0"/>
      <w:tabs>
        <w:tab w:val="left" w:pos="567"/>
      </w:tabs>
      <w:spacing w:before="60" w:after="60"/>
    </w:pPr>
    <w:rPr>
      <w:rFonts w:ascii="Arial" w:hAnsi="Arial" w:cs="Arial"/>
      <w:color w:val="800000"/>
      <w:lang w:val="en-GB" w:eastAsia="zh-TW"/>
    </w:rPr>
  </w:style>
  <w:style w:type="paragraph" w:customStyle="1" w:styleId="afff6">
    <w:name w:val="主旨"/>
    <w:basedOn w:val="a"/>
    <w:rsid w:val="00AF174D"/>
    <w:pPr>
      <w:spacing w:line="500" w:lineRule="exact"/>
      <w:ind w:left="964" w:hanging="964"/>
    </w:pPr>
    <w:rPr>
      <w:rFonts w:eastAsia="標楷體"/>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3"/>
    <w:pPr>
      <w:widowControl w:val="0"/>
    </w:pPr>
    <w:rPr>
      <w:kern w:val="2"/>
      <w:sz w:val="24"/>
      <w:szCs w:val="24"/>
      <w:lang w:eastAsia="zh-TW"/>
    </w:rPr>
  </w:style>
  <w:style w:type="paragraph" w:styleId="1">
    <w:name w:val="heading 1"/>
    <w:basedOn w:val="a"/>
    <w:next w:val="a"/>
    <w:link w:val="10"/>
    <w:uiPriority w:val="9"/>
    <w:qFormat/>
    <w:rsid w:val="00A84E3F"/>
    <w:pPr>
      <w:pBdr>
        <w:bottom w:val="single" w:sz="12" w:space="1" w:color="365F91"/>
      </w:pBdr>
      <w:spacing w:before="600" w:after="80"/>
      <w:outlineLvl w:val="0"/>
    </w:pPr>
    <w:rPr>
      <w:rFonts w:ascii="Cambria" w:hAnsi="Cambria"/>
      <w:b/>
      <w:bCs/>
      <w:color w:val="365F91"/>
      <w:kern w:val="0"/>
    </w:rPr>
  </w:style>
  <w:style w:type="paragraph" w:styleId="2">
    <w:name w:val="heading 2"/>
    <w:basedOn w:val="a"/>
    <w:next w:val="a"/>
    <w:link w:val="20"/>
    <w:uiPriority w:val="9"/>
    <w:qFormat/>
    <w:rsid w:val="00A84E3F"/>
    <w:pPr>
      <w:pBdr>
        <w:bottom w:val="single" w:sz="8" w:space="1" w:color="4F81BD"/>
      </w:pBdr>
      <w:spacing w:before="200" w:after="80"/>
      <w:outlineLvl w:val="1"/>
    </w:pPr>
    <w:rPr>
      <w:rFonts w:ascii="Cambria" w:hAnsi="Cambria"/>
      <w:color w:val="365F91"/>
      <w:kern w:val="0"/>
    </w:rPr>
  </w:style>
  <w:style w:type="paragraph" w:styleId="3">
    <w:name w:val="heading 3"/>
    <w:basedOn w:val="a"/>
    <w:next w:val="a"/>
    <w:link w:val="30"/>
    <w:uiPriority w:val="9"/>
    <w:qFormat/>
    <w:rsid w:val="00A84E3F"/>
    <w:pPr>
      <w:pBdr>
        <w:bottom w:val="single" w:sz="4" w:space="1" w:color="95B3D7"/>
      </w:pBdr>
      <w:spacing w:before="200" w:after="80"/>
      <w:outlineLvl w:val="2"/>
    </w:pPr>
    <w:rPr>
      <w:rFonts w:ascii="Cambria" w:hAnsi="Cambria"/>
      <w:color w:val="4F81BD"/>
      <w:kern w:val="0"/>
    </w:rPr>
  </w:style>
  <w:style w:type="paragraph" w:styleId="4">
    <w:name w:val="heading 4"/>
    <w:basedOn w:val="a"/>
    <w:next w:val="a"/>
    <w:link w:val="40"/>
    <w:uiPriority w:val="9"/>
    <w:qFormat/>
    <w:rsid w:val="00A84E3F"/>
    <w:pPr>
      <w:pBdr>
        <w:bottom w:val="single" w:sz="4" w:space="2" w:color="B8CCE4"/>
      </w:pBdr>
      <w:spacing w:before="200" w:after="80"/>
      <w:outlineLvl w:val="3"/>
    </w:pPr>
    <w:rPr>
      <w:rFonts w:ascii="Cambria" w:hAnsi="Cambria"/>
      <w:i/>
      <w:iCs/>
      <w:color w:val="4F81BD"/>
      <w:kern w:val="0"/>
    </w:rPr>
  </w:style>
  <w:style w:type="paragraph" w:styleId="5">
    <w:name w:val="heading 5"/>
    <w:basedOn w:val="a"/>
    <w:next w:val="a"/>
    <w:link w:val="50"/>
    <w:uiPriority w:val="9"/>
    <w:qFormat/>
    <w:rsid w:val="00A84E3F"/>
    <w:pPr>
      <w:spacing w:before="200" w:after="80"/>
      <w:outlineLvl w:val="4"/>
    </w:pPr>
    <w:rPr>
      <w:rFonts w:ascii="Cambria" w:hAnsi="Cambria"/>
      <w:color w:val="4F81BD"/>
      <w:kern w:val="0"/>
      <w:sz w:val="20"/>
      <w:szCs w:val="20"/>
    </w:rPr>
  </w:style>
  <w:style w:type="paragraph" w:styleId="6">
    <w:name w:val="heading 6"/>
    <w:basedOn w:val="a"/>
    <w:next w:val="a"/>
    <w:link w:val="60"/>
    <w:uiPriority w:val="9"/>
    <w:qFormat/>
    <w:rsid w:val="00A84E3F"/>
    <w:pPr>
      <w:spacing w:before="280" w:after="100"/>
      <w:outlineLvl w:val="5"/>
    </w:pPr>
    <w:rPr>
      <w:rFonts w:ascii="Cambria" w:hAnsi="Cambria"/>
      <w:i/>
      <w:iCs/>
      <w:color w:val="4F81BD"/>
      <w:kern w:val="0"/>
      <w:sz w:val="20"/>
      <w:szCs w:val="20"/>
    </w:rPr>
  </w:style>
  <w:style w:type="paragraph" w:styleId="7">
    <w:name w:val="heading 7"/>
    <w:basedOn w:val="a"/>
    <w:next w:val="a"/>
    <w:link w:val="70"/>
    <w:uiPriority w:val="9"/>
    <w:qFormat/>
    <w:rsid w:val="00A84E3F"/>
    <w:pPr>
      <w:spacing w:before="320" w:after="100"/>
      <w:outlineLvl w:val="6"/>
    </w:pPr>
    <w:rPr>
      <w:rFonts w:ascii="Cambria" w:hAnsi="Cambria"/>
      <w:b/>
      <w:bCs/>
      <w:color w:val="9BBB59"/>
      <w:kern w:val="0"/>
      <w:sz w:val="20"/>
      <w:szCs w:val="20"/>
    </w:rPr>
  </w:style>
  <w:style w:type="paragraph" w:styleId="8">
    <w:name w:val="heading 8"/>
    <w:basedOn w:val="a"/>
    <w:next w:val="a"/>
    <w:link w:val="80"/>
    <w:uiPriority w:val="9"/>
    <w:qFormat/>
    <w:rsid w:val="00A84E3F"/>
    <w:pPr>
      <w:spacing w:before="320" w:after="100"/>
      <w:outlineLvl w:val="7"/>
    </w:pPr>
    <w:rPr>
      <w:rFonts w:ascii="Cambria" w:hAnsi="Cambria"/>
      <w:b/>
      <w:bCs/>
      <w:i/>
      <w:iCs/>
      <w:color w:val="9BBB59"/>
      <w:kern w:val="0"/>
      <w:sz w:val="20"/>
      <w:szCs w:val="20"/>
    </w:rPr>
  </w:style>
  <w:style w:type="paragraph" w:styleId="9">
    <w:name w:val="heading 9"/>
    <w:basedOn w:val="a"/>
    <w:next w:val="a"/>
    <w:link w:val="90"/>
    <w:uiPriority w:val="9"/>
    <w:qFormat/>
    <w:rsid w:val="00A84E3F"/>
    <w:pPr>
      <w:spacing w:before="320" w:after="100"/>
      <w:outlineLvl w:val="8"/>
    </w:pPr>
    <w:rPr>
      <w:rFonts w:ascii="Cambria" w:hAnsi="Cambria"/>
      <w:i/>
      <w:iCs/>
      <w:color w:val="9BBB59"/>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標題10級"/>
    <w:rsid w:val="0096031F"/>
    <w:rPr>
      <w:rFonts w:ascii="新細明體" w:hAnsi="新細明體"/>
      <w:i/>
      <w:iCs/>
      <w:kern w:val="2"/>
      <w:u w:val="double"/>
      <w:lang w:eastAsia="zh-TW"/>
    </w:rPr>
  </w:style>
  <w:style w:type="paragraph" w:customStyle="1" w:styleId="a3">
    <w:name w:val="公報名稱"/>
    <w:basedOn w:val="a"/>
    <w:rsid w:val="0096031F"/>
    <w:pPr>
      <w:autoSpaceDE w:val="0"/>
      <w:autoSpaceDN w:val="0"/>
      <w:adjustRightInd w:val="0"/>
      <w:spacing w:beforeLines="30" w:afterLines="30"/>
      <w:jc w:val="center"/>
    </w:pPr>
    <w:rPr>
      <w:rFonts w:ascii="超研澤粗明"/>
      <w:sz w:val="44"/>
      <w:szCs w:val="44"/>
    </w:rPr>
  </w:style>
  <w:style w:type="paragraph" w:customStyle="1" w:styleId="a4">
    <w:name w:val="表中標"/>
    <w:basedOn w:val="a"/>
    <w:rsid w:val="005E414C"/>
    <w:pPr>
      <w:kinsoku w:val="0"/>
      <w:overflowPunct w:val="0"/>
      <w:autoSpaceDE w:val="0"/>
      <w:autoSpaceDN w:val="0"/>
      <w:adjustRightInd w:val="0"/>
      <w:spacing w:line="360" w:lineRule="auto"/>
      <w:jc w:val="center"/>
    </w:pPr>
    <w:rPr>
      <w:rFonts w:ascii="全真粗黑體" w:eastAsia="全真粗黑體"/>
      <w:sz w:val="21"/>
    </w:rPr>
  </w:style>
  <w:style w:type="paragraph" w:styleId="a5">
    <w:name w:val="Date"/>
    <w:basedOn w:val="a"/>
    <w:next w:val="a"/>
    <w:rsid w:val="005E414C"/>
    <w:pPr>
      <w:adjustRightInd w:val="0"/>
      <w:jc w:val="right"/>
    </w:pPr>
    <w:rPr>
      <w:rFonts w:eastAsia="全真楷書"/>
      <w:sz w:val="21"/>
    </w:rPr>
  </w:style>
  <w:style w:type="paragraph" w:styleId="a6">
    <w:name w:val="header"/>
    <w:basedOn w:val="a"/>
    <w:link w:val="a7"/>
    <w:uiPriority w:val="99"/>
    <w:rsid w:val="0096522A"/>
    <w:pPr>
      <w:tabs>
        <w:tab w:val="center" w:pos="4153"/>
        <w:tab w:val="right" w:pos="8306"/>
      </w:tabs>
      <w:adjustRightInd w:val="0"/>
      <w:snapToGrid w:val="0"/>
      <w:jc w:val="both"/>
    </w:pPr>
    <w:rPr>
      <w:rFonts w:eastAsia="全真楷書"/>
      <w:sz w:val="20"/>
      <w:szCs w:val="20"/>
    </w:rPr>
  </w:style>
  <w:style w:type="paragraph" w:styleId="a8">
    <w:name w:val="footnote text"/>
    <w:basedOn w:val="a"/>
    <w:link w:val="a9"/>
    <w:uiPriority w:val="99"/>
    <w:semiHidden/>
    <w:rsid w:val="00DE5E02"/>
    <w:pPr>
      <w:snapToGrid w:val="0"/>
    </w:pPr>
    <w:rPr>
      <w:sz w:val="20"/>
      <w:szCs w:val="20"/>
    </w:rPr>
  </w:style>
  <w:style w:type="character" w:styleId="aa">
    <w:name w:val="footnote reference"/>
    <w:rsid w:val="00DE5E02"/>
    <w:rPr>
      <w:vertAlign w:val="superscript"/>
    </w:rPr>
  </w:style>
  <w:style w:type="paragraph" w:styleId="ab">
    <w:name w:val="Balloon Text"/>
    <w:basedOn w:val="a"/>
    <w:link w:val="ac"/>
    <w:uiPriority w:val="99"/>
    <w:semiHidden/>
    <w:unhideWhenUsed/>
    <w:rsid w:val="00531D7B"/>
    <w:rPr>
      <w:rFonts w:ascii="Cambria" w:hAnsi="Cambria"/>
      <w:sz w:val="18"/>
      <w:szCs w:val="18"/>
    </w:rPr>
  </w:style>
  <w:style w:type="character" w:customStyle="1" w:styleId="ac">
    <w:name w:val="註解方塊文字 字元"/>
    <w:link w:val="ab"/>
    <w:uiPriority w:val="99"/>
    <w:semiHidden/>
    <w:rsid w:val="00531D7B"/>
    <w:rPr>
      <w:rFonts w:ascii="Cambria" w:eastAsia="新細明體" w:hAnsi="Cambria" w:cs="Times New Roman"/>
      <w:kern w:val="2"/>
      <w:sz w:val="18"/>
      <w:szCs w:val="18"/>
    </w:rPr>
  </w:style>
  <w:style w:type="paragraph" w:styleId="ad">
    <w:name w:val="footer"/>
    <w:basedOn w:val="a"/>
    <w:link w:val="ae"/>
    <w:uiPriority w:val="99"/>
    <w:unhideWhenUsed/>
    <w:rsid w:val="00531D7B"/>
    <w:pPr>
      <w:tabs>
        <w:tab w:val="center" w:pos="4153"/>
        <w:tab w:val="right" w:pos="8306"/>
      </w:tabs>
      <w:snapToGrid w:val="0"/>
    </w:pPr>
    <w:rPr>
      <w:sz w:val="20"/>
      <w:szCs w:val="20"/>
    </w:rPr>
  </w:style>
  <w:style w:type="character" w:customStyle="1" w:styleId="ae">
    <w:name w:val="頁尾 字元"/>
    <w:link w:val="ad"/>
    <w:uiPriority w:val="99"/>
    <w:rsid w:val="00531D7B"/>
    <w:rPr>
      <w:kern w:val="2"/>
    </w:rPr>
  </w:style>
  <w:style w:type="paragraph" w:customStyle="1" w:styleId="101">
    <w:name w:val="10粗黑"/>
    <w:basedOn w:val="a"/>
    <w:rsid w:val="00206CAE"/>
    <w:pPr>
      <w:autoSpaceDE w:val="0"/>
      <w:autoSpaceDN w:val="0"/>
      <w:adjustRightInd w:val="0"/>
      <w:spacing w:line="360" w:lineRule="auto"/>
      <w:jc w:val="both"/>
    </w:pPr>
    <w:rPr>
      <w:rFonts w:ascii="全真粗黑體" w:eastAsia="全真粗黑體"/>
      <w:sz w:val="21"/>
    </w:rPr>
  </w:style>
  <w:style w:type="paragraph" w:customStyle="1" w:styleId="07">
    <w:name w:val="緊表文0.7"/>
    <w:basedOn w:val="a"/>
    <w:rsid w:val="00206CAE"/>
    <w:pPr>
      <w:autoSpaceDE w:val="0"/>
      <w:autoSpaceDN w:val="0"/>
      <w:snapToGrid w:val="0"/>
      <w:jc w:val="both"/>
    </w:pPr>
    <w:rPr>
      <w:rFonts w:eastAsia="全真中明體"/>
      <w:spacing w:val="-4"/>
      <w:w w:val="95"/>
      <w:sz w:val="21"/>
    </w:rPr>
  </w:style>
  <w:style w:type="paragraph" w:customStyle="1" w:styleId="af">
    <w:name w:val="數字文"/>
    <w:basedOn w:val="a"/>
    <w:rsid w:val="00206CAE"/>
    <w:pPr>
      <w:kinsoku w:val="0"/>
      <w:overflowPunct w:val="0"/>
      <w:autoSpaceDE w:val="0"/>
      <w:autoSpaceDN w:val="0"/>
      <w:adjustRightInd w:val="0"/>
    </w:pPr>
    <w:rPr>
      <w:rFonts w:ascii="全真楷書" w:eastAsia="全真中明體"/>
      <w:sz w:val="21"/>
    </w:rPr>
  </w:style>
  <w:style w:type="table" w:styleId="af0">
    <w:name w:val="Table Grid"/>
    <w:basedOn w:val="a1"/>
    <w:uiPriority w:val="59"/>
    <w:rsid w:val="006020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uiPriority w:val="99"/>
    <w:semiHidden/>
    <w:unhideWhenUsed/>
    <w:rsid w:val="008F71D8"/>
    <w:rPr>
      <w:sz w:val="18"/>
      <w:szCs w:val="18"/>
    </w:rPr>
  </w:style>
  <w:style w:type="paragraph" w:styleId="af2">
    <w:name w:val="annotation text"/>
    <w:basedOn w:val="a"/>
    <w:link w:val="af3"/>
    <w:uiPriority w:val="99"/>
    <w:unhideWhenUsed/>
    <w:rsid w:val="008F71D8"/>
  </w:style>
  <w:style w:type="character" w:customStyle="1" w:styleId="af3">
    <w:name w:val="註解文字 字元"/>
    <w:link w:val="af2"/>
    <w:uiPriority w:val="99"/>
    <w:rsid w:val="008F71D8"/>
    <w:rPr>
      <w:kern w:val="2"/>
      <w:sz w:val="24"/>
      <w:szCs w:val="24"/>
    </w:rPr>
  </w:style>
  <w:style w:type="paragraph" w:styleId="af4">
    <w:name w:val="annotation subject"/>
    <w:basedOn w:val="af2"/>
    <w:next w:val="af2"/>
    <w:link w:val="af5"/>
    <w:uiPriority w:val="99"/>
    <w:semiHidden/>
    <w:unhideWhenUsed/>
    <w:rsid w:val="008F71D8"/>
    <w:rPr>
      <w:b/>
      <w:bCs/>
    </w:rPr>
  </w:style>
  <w:style w:type="character" w:customStyle="1" w:styleId="af5">
    <w:name w:val="註解主旨 字元"/>
    <w:link w:val="af4"/>
    <w:uiPriority w:val="99"/>
    <w:semiHidden/>
    <w:rsid w:val="008F71D8"/>
    <w:rPr>
      <w:b/>
      <w:bCs/>
      <w:kern w:val="2"/>
      <w:sz w:val="24"/>
      <w:szCs w:val="24"/>
    </w:rPr>
  </w:style>
  <w:style w:type="paragraph" w:styleId="af6">
    <w:name w:val="Revision"/>
    <w:hidden/>
    <w:uiPriority w:val="99"/>
    <w:semiHidden/>
    <w:rsid w:val="00F9511A"/>
    <w:rPr>
      <w:kern w:val="2"/>
      <w:sz w:val="24"/>
      <w:szCs w:val="24"/>
      <w:lang w:eastAsia="zh-TW"/>
    </w:rPr>
  </w:style>
  <w:style w:type="paragraph" w:customStyle="1" w:styleId="abgguidanceexample">
    <w:name w:val="abg_guidance_example"/>
    <w:basedOn w:val="a"/>
    <w:link w:val="abgguidanceexampleChar"/>
    <w:rsid w:val="00CE6E67"/>
    <w:pPr>
      <w:shd w:val="clear" w:color="auto" w:fill="99CCFF"/>
      <w:tabs>
        <w:tab w:val="left" w:pos="567"/>
        <w:tab w:val="left" w:pos="1134"/>
        <w:tab w:val="left" w:pos="1701"/>
      </w:tabs>
      <w:spacing w:before="60" w:after="120"/>
    </w:pPr>
    <w:rPr>
      <w:kern w:val="0"/>
      <w:sz w:val="22"/>
      <w:szCs w:val="20"/>
      <w:lang w:val="en-GB" w:eastAsia="en-US"/>
    </w:rPr>
  </w:style>
  <w:style w:type="character" w:customStyle="1" w:styleId="abgguidanceexampleChar">
    <w:name w:val="abg_guidance_example Char"/>
    <w:link w:val="abgguidanceexample"/>
    <w:rsid w:val="00CE6E67"/>
    <w:rPr>
      <w:sz w:val="22"/>
      <w:shd w:val="clear" w:color="auto" w:fill="99CCFF"/>
      <w:lang w:val="en-GB" w:eastAsia="en-US"/>
    </w:rPr>
  </w:style>
  <w:style w:type="paragraph" w:styleId="af7">
    <w:name w:val="Intense Quote"/>
    <w:basedOn w:val="a"/>
    <w:next w:val="a"/>
    <w:link w:val="af8"/>
    <w:uiPriority w:val="30"/>
    <w:qFormat/>
    <w:rsid w:val="00CC1E2D"/>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kern w:val="0"/>
      <w:lang w:val="en-AU" w:eastAsia="en-US"/>
    </w:rPr>
  </w:style>
  <w:style w:type="character" w:customStyle="1" w:styleId="af8">
    <w:name w:val="鮮明引文 字元"/>
    <w:link w:val="af7"/>
    <w:uiPriority w:val="30"/>
    <w:rsid w:val="00CC1E2D"/>
    <w:rPr>
      <w:rFonts w:ascii="Cambria" w:hAnsi="Cambria"/>
      <w:i/>
      <w:iCs/>
      <w:color w:val="FFFFFF"/>
      <w:sz w:val="24"/>
      <w:szCs w:val="24"/>
      <w:shd w:val="clear" w:color="auto" w:fill="4F81BD"/>
      <w:lang w:val="en-AU" w:eastAsia="en-US"/>
    </w:rPr>
  </w:style>
  <w:style w:type="paragraph" w:customStyle="1" w:styleId="abgguidanceexampleheading">
    <w:name w:val="abg_guidance_example_heading"/>
    <w:basedOn w:val="abgguidanceexample"/>
    <w:rsid w:val="00BA1A92"/>
    <w:rPr>
      <w:b/>
      <w:szCs w:val="22"/>
    </w:rPr>
  </w:style>
  <w:style w:type="paragraph" w:customStyle="1" w:styleId="abgbulletedlist">
    <w:name w:val="abg_bulleted_list"/>
    <w:basedOn w:val="a"/>
    <w:rsid w:val="0047424A"/>
    <w:pPr>
      <w:numPr>
        <w:numId w:val="5"/>
      </w:numPr>
      <w:tabs>
        <w:tab w:val="left" w:pos="1134"/>
        <w:tab w:val="left" w:pos="1701"/>
      </w:tabs>
      <w:spacing w:before="60" w:after="120"/>
    </w:pPr>
    <w:rPr>
      <w:kern w:val="0"/>
      <w:sz w:val="22"/>
      <w:szCs w:val="20"/>
      <w:lang w:val="en-GB" w:eastAsia="en-US"/>
    </w:rPr>
  </w:style>
  <w:style w:type="character" w:customStyle="1" w:styleId="abgbold">
    <w:name w:val="abg_bold"/>
    <w:rsid w:val="00395C57"/>
    <w:rPr>
      <w:b/>
      <w:bCs/>
    </w:rPr>
  </w:style>
  <w:style w:type="character" w:customStyle="1" w:styleId="10">
    <w:name w:val="標題 1 字元"/>
    <w:link w:val="1"/>
    <w:uiPriority w:val="9"/>
    <w:rsid w:val="00A84E3F"/>
    <w:rPr>
      <w:rFonts w:ascii="Cambria" w:hAnsi="Cambria"/>
      <w:b/>
      <w:bCs/>
      <w:color w:val="365F91"/>
      <w:sz w:val="24"/>
      <w:szCs w:val="24"/>
    </w:rPr>
  </w:style>
  <w:style w:type="character" w:customStyle="1" w:styleId="20">
    <w:name w:val="標題 2 字元"/>
    <w:link w:val="2"/>
    <w:uiPriority w:val="9"/>
    <w:rsid w:val="00A84E3F"/>
    <w:rPr>
      <w:rFonts w:ascii="Cambria" w:hAnsi="Cambria"/>
      <w:color w:val="365F91"/>
      <w:sz w:val="24"/>
      <w:szCs w:val="24"/>
    </w:rPr>
  </w:style>
  <w:style w:type="character" w:customStyle="1" w:styleId="30">
    <w:name w:val="標題 3 字元"/>
    <w:link w:val="3"/>
    <w:uiPriority w:val="9"/>
    <w:rsid w:val="00A84E3F"/>
    <w:rPr>
      <w:rFonts w:ascii="Cambria" w:hAnsi="Cambria"/>
      <w:color w:val="4F81BD"/>
      <w:sz w:val="24"/>
      <w:szCs w:val="24"/>
    </w:rPr>
  </w:style>
  <w:style w:type="character" w:customStyle="1" w:styleId="40">
    <w:name w:val="標題 4 字元"/>
    <w:link w:val="4"/>
    <w:uiPriority w:val="9"/>
    <w:rsid w:val="00A84E3F"/>
    <w:rPr>
      <w:rFonts w:ascii="Cambria" w:hAnsi="Cambria"/>
      <w:i/>
      <w:iCs/>
      <w:color w:val="4F81BD"/>
      <w:sz w:val="24"/>
      <w:szCs w:val="24"/>
    </w:rPr>
  </w:style>
  <w:style w:type="character" w:customStyle="1" w:styleId="50">
    <w:name w:val="標題 5 字元"/>
    <w:link w:val="5"/>
    <w:uiPriority w:val="9"/>
    <w:rsid w:val="00A84E3F"/>
    <w:rPr>
      <w:rFonts w:ascii="Cambria" w:hAnsi="Cambria"/>
      <w:color w:val="4F81BD"/>
    </w:rPr>
  </w:style>
  <w:style w:type="character" w:customStyle="1" w:styleId="60">
    <w:name w:val="標題 6 字元"/>
    <w:link w:val="6"/>
    <w:uiPriority w:val="9"/>
    <w:rsid w:val="00A84E3F"/>
    <w:rPr>
      <w:rFonts w:ascii="Cambria" w:hAnsi="Cambria"/>
      <w:i/>
      <w:iCs/>
      <w:color w:val="4F81BD"/>
    </w:rPr>
  </w:style>
  <w:style w:type="character" w:customStyle="1" w:styleId="70">
    <w:name w:val="標題 7 字元"/>
    <w:link w:val="7"/>
    <w:uiPriority w:val="9"/>
    <w:rsid w:val="00A84E3F"/>
    <w:rPr>
      <w:rFonts w:ascii="Cambria" w:hAnsi="Cambria"/>
      <w:b/>
      <w:bCs/>
      <w:color w:val="9BBB59"/>
    </w:rPr>
  </w:style>
  <w:style w:type="character" w:customStyle="1" w:styleId="80">
    <w:name w:val="標題 8 字元"/>
    <w:link w:val="8"/>
    <w:uiPriority w:val="9"/>
    <w:rsid w:val="00A84E3F"/>
    <w:rPr>
      <w:rFonts w:ascii="Cambria" w:hAnsi="Cambria"/>
      <w:b/>
      <w:bCs/>
      <w:i/>
      <w:iCs/>
      <w:color w:val="9BBB59"/>
    </w:rPr>
  </w:style>
  <w:style w:type="character" w:customStyle="1" w:styleId="90">
    <w:name w:val="標題 9 字元"/>
    <w:link w:val="9"/>
    <w:uiPriority w:val="9"/>
    <w:rsid w:val="00A84E3F"/>
    <w:rPr>
      <w:rFonts w:ascii="Cambria" w:hAnsi="Cambria"/>
      <w:i/>
      <w:iCs/>
      <w:color w:val="9BBB59"/>
    </w:rPr>
  </w:style>
  <w:style w:type="paragraph" w:styleId="af9">
    <w:name w:val="caption"/>
    <w:basedOn w:val="a"/>
    <w:next w:val="a"/>
    <w:uiPriority w:val="35"/>
    <w:qFormat/>
    <w:rsid w:val="00A84E3F"/>
    <w:rPr>
      <w:b/>
      <w:bCs/>
      <w:sz w:val="18"/>
      <w:szCs w:val="18"/>
    </w:rPr>
  </w:style>
  <w:style w:type="paragraph" w:styleId="afa">
    <w:name w:val="Title"/>
    <w:basedOn w:val="a"/>
    <w:next w:val="a"/>
    <w:link w:val="afb"/>
    <w:uiPriority w:val="10"/>
    <w:qFormat/>
    <w:rsid w:val="00A84E3F"/>
    <w:pPr>
      <w:pBdr>
        <w:top w:val="single" w:sz="8" w:space="10" w:color="A7BFDE"/>
        <w:bottom w:val="single" w:sz="24" w:space="15" w:color="9BBB59"/>
      </w:pBdr>
      <w:jc w:val="center"/>
    </w:pPr>
    <w:rPr>
      <w:rFonts w:ascii="Cambria" w:hAnsi="Cambria"/>
      <w:i/>
      <w:iCs/>
      <w:color w:val="243F60"/>
      <w:kern w:val="0"/>
      <w:sz w:val="60"/>
      <w:szCs w:val="60"/>
    </w:rPr>
  </w:style>
  <w:style w:type="character" w:customStyle="1" w:styleId="afb">
    <w:name w:val="標題 字元"/>
    <w:link w:val="afa"/>
    <w:uiPriority w:val="10"/>
    <w:rsid w:val="00A84E3F"/>
    <w:rPr>
      <w:rFonts w:ascii="Cambria" w:hAnsi="Cambria"/>
      <w:i/>
      <w:iCs/>
      <w:color w:val="243F60"/>
      <w:sz w:val="60"/>
      <w:szCs w:val="60"/>
    </w:rPr>
  </w:style>
  <w:style w:type="paragraph" w:styleId="afc">
    <w:name w:val="Subtitle"/>
    <w:basedOn w:val="a"/>
    <w:next w:val="a"/>
    <w:link w:val="afd"/>
    <w:uiPriority w:val="11"/>
    <w:qFormat/>
    <w:rsid w:val="00A84E3F"/>
    <w:pPr>
      <w:spacing w:before="200" w:after="900"/>
      <w:jc w:val="right"/>
    </w:pPr>
    <w:rPr>
      <w:rFonts w:ascii="Calibri" w:hAnsi="Calibri"/>
      <w:i/>
      <w:iCs/>
      <w:kern w:val="0"/>
    </w:rPr>
  </w:style>
  <w:style w:type="character" w:customStyle="1" w:styleId="afd">
    <w:name w:val="副標題 字元"/>
    <w:link w:val="afc"/>
    <w:uiPriority w:val="11"/>
    <w:rsid w:val="00A84E3F"/>
    <w:rPr>
      <w:rFonts w:ascii="Calibri" w:hAnsi="Calibri"/>
      <w:i/>
      <w:iCs/>
      <w:sz w:val="24"/>
      <w:szCs w:val="24"/>
    </w:rPr>
  </w:style>
  <w:style w:type="character" w:styleId="afe">
    <w:name w:val="Strong"/>
    <w:uiPriority w:val="22"/>
    <w:qFormat/>
    <w:rsid w:val="00A84E3F"/>
    <w:rPr>
      <w:b/>
      <w:bCs/>
      <w:spacing w:val="0"/>
    </w:rPr>
  </w:style>
  <w:style w:type="character" w:styleId="aff">
    <w:name w:val="Emphasis"/>
    <w:uiPriority w:val="20"/>
    <w:qFormat/>
    <w:rsid w:val="00A84E3F"/>
    <w:rPr>
      <w:b/>
      <w:bCs/>
      <w:i/>
      <w:iCs/>
      <w:color w:val="5A5A5A"/>
    </w:rPr>
  </w:style>
  <w:style w:type="paragraph" w:styleId="aff0">
    <w:name w:val="No Spacing"/>
    <w:basedOn w:val="a"/>
    <w:link w:val="aff1"/>
    <w:uiPriority w:val="1"/>
    <w:qFormat/>
    <w:rsid w:val="00A84E3F"/>
  </w:style>
  <w:style w:type="character" w:customStyle="1" w:styleId="aff1">
    <w:name w:val="無間距 字元"/>
    <w:link w:val="aff0"/>
    <w:uiPriority w:val="1"/>
    <w:rsid w:val="00A84E3F"/>
    <w:rPr>
      <w:kern w:val="2"/>
      <w:sz w:val="24"/>
      <w:szCs w:val="24"/>
    </w:rPr>
  </w:style>
  <w:style w:type="paragraph" w:styleId="aff2">
    <w:name w:val="List Paragraph"/>
    <w:basedOn w:val="a"/>
    <w:uiPriority w:val="34"/>
    <w:qFormat/>
    <w:rsid w:val="00A84E3F"/>
    <w:pPr>
      <w:ind w:left="720"/>
      <w:contextualSpacing/>
    </w:pPr>
  </w:style>
  <w:style w:type="paragraph" w:styleId="aff3">
    <w:name w:val="Quote"/>
    <w:basedOn w:val="a"/>
    <w:next w:val="a"/>
    <w:link w:val="aff4"/>
    <w:uiPriority w:val="29"/>
    <w:qFormat/>
    <w:rsid w:val="00A84E3F"/>
    <w:rPr>
      <w:rFonts w:ascii="Cambria" w:hAnsi="Cambria"/>
      <w:i/>
      <w:iCs/>
      <w:color w:val="5A5A5A"/>
      <w:kern w:val="0"/>
      <w:sz w:val="20"/>
      <w:szCs w:val="20"/>
    </w:rPr>
  </w:style>
  <w:style w:type="character" w:customStyle="1" w:styleId="aff4">
    <w:name w:val="引文 字元"/>
    <w:link w:val="aff3"/>
    <w:uiPriority w:val="29"/>
    <w:rsid w:val="00A84E3F"/>
    <w:rPr>
      <w:rFonts w:ascii="Cambria" w:hAnsi="Cambria"/>
      <w:i/>
      <w:iCs/>
      <w:color w:val="5A5A5A"/>
    </w:rPr>
  </w:style>
  <w:style w:type="character" w:styleId="aff5">
    <w:name w:val="Subtle Emphasis"/>
    <w:uiPriority w:val="19"/>
    <w:qFormat/>
    <w:rsid w:val="00A84E3F"/>
    <w:rPr>
      <w:i/>
      <w:iCs/>
      <w:color w:val="5A5A5A"/>
    </w:rPr>
  </w:style>
  <w:style w:type="character" w:styleId="aff6">
    <w:name w:val="Intense Emphasis"/>
    <w:uiPriority w:val="21"/>
    <w:qFormat/>
    <w:rsid w:val="00A84E3F"/>
    <w:rPr>
      <w:b/>
      <w:bCs/>
      <w:i/>
      <w:iCs/>
      <w:color w:val="4F81BD"/>
      <w:sz w:val="22"/>
      <w:szCs w:val="22"/>
    </w:rPr>
  </w:style>
  <w:style w:type="character" w:styleId="aff7">
    <w:name w:val="Subtle Reference"/>
    <w:uiPriority w:val="31"/>
    <w:qFormat/>
    <w:rsid w:val="00A84E3F"/>
    <w:rPr>
      <w:color w:val="auto"/>
      <w:u w:val="single" w:color="9BBB59"/>
    </w:rPr>
  </w:style>
  <w:style w:type="character" w:styleId="aff8">
    <w:name w:val="Intense Reference"/>
    <w:uiPriority w:val="32"/>
    <w:qFormat/>
    <w:rsid w:val="00A84E3F"/>
    <w:rPr>
      <w:b/>
      <w:bCs/>
      <w:color w:val="76923C"/>
      <w:u w:val="single" w:color="9BBB59"/>
    </w:rPr>
  </w:style>
  <w:style w:type="character" w:styleId="aff9">
    <w:name w:val="Book Title"/>
    <w:uiPriority w:val="33"/>
    <w:qFormat/>
    <w:rsid w:val="00A84E3F"/>
    <w:rPr>
      <w:rFonts w:ascii="Cambria" w:eastAsia="新細明體" w:hAnsi="Cambria" w:cs="Times New Roman"/>
      <w:b/>
      <w:bCs/>
      <w:i/>
      <w:iCs/>
      <w:color w:val="auto"/>
    </w:rPr>
  </w:style>
  <w:style w:type="paragraph" w:styleId="affa">
    <w:name w:val="TOC Heading"/>
    <w:basedOn w:val="1"/>
    <w:next w:val="a"/>
    <w:uiPriority w:val="39"/>
    <w:qFormat/>
    <w:rsid w:val="00A84E3F"/>
    <w:pPr>
      <w:outlineLvl w:val="9"/>
    </w:pPr>
  </w:style>
  <w:style w:type="character" w:customStyle="1" w:styleId="a7">
    <w:name w:val="頁首 字元"/>
    <w:link w:val="a6"/>
    <w:uiPriority w:val="99"/>
    <w:rsid w:val="00A84E3F"/>
    <w:rPr>
      <w:rFonts w:eastAsia="全真楷書"/>
      <w:kern w:val="2"/>
    </w:rPr>
  </w:style>
  <w:style w:type="character" w:customStyle="1" w:styleId="11">
    <w:name w:val="頁首 字元1"/>
    <w:uiPriority w:val="99"/>
    <w:semiHidden/>
    <w:rsid w:val="00A84E3F"/>
    <w:rPr>
      <w:kern w:val="2"/>
    </w:rPr>
  </w:style>
  <w:style w:type="character" w:customStyle="1" w:styleId="12">
    <w:name w:val="註解文字 字元1"/>
    <w:uiPriority w:val="99"/>
    <w:semiHidden/>
    <w:rsid w:val="00A84E3F"/>
    <w:rPr>
      <w:kern w:val="2"/>
      <w:sz w:val="24"/>
      <w:szCs w:val="22"/>
    </w:rPr>
  </w:style>
  <w:style w:type="character" w:customStyle="1" w:styleId="13">
    <w:name w:val="註解主旨 字元1"/>
    <w:uiPriority w:val="99"/>
    <w:semiHidden/>
    <w:rsid w:val="00A84E3F"/>
    <w:rPr>
      <w:b/>
      <w:bCs/>
      <w:kern w:val="2"/>
      <w:sz w:val="24"/>
      <w:szCs w:val="22"/>
    </w:rPr>
  </w:style>
  <w:style w:type="character" w:customStyle="1" w:styleId="14">
    <w:name w:val="註解方塊文字 字元1"/>
    <w:uiPriority w:val="99"/>
    <w:semiHidden/>
    <w:rsid w:val="00A84E3F"/>
    <w:rPr>
      <w:rFonts w:ascii="Cambria" w:eastAsia="新細明體" w:hAnsi="Cambria" w:cs="Times New Roman"/>
      <w:kern w:val="2"/>
      <w:sz w:val="18"/>
      <w:szCs w:val="18"/>
    </w:rPr>
  </w:style>
  <w:style w:type="paragraph" w:styleId="affb">
    <w:name w:val="Note Heading"/>
    <w:basedOn w:val="a"/>
    <w:next w:val="a"/>
    <w:link w:val="affc"/>
    <w:uiPriority w:val="99"/>
    <w:unhideWhenUsed/>
    <w:rsid w:val="00A84E3F"/>
    <w:pPr>
      <w:jc w:val="center"/>
    </w:pPr>
    <w:rPr>
      <w:rFonts w:eastAsia="標楷體" w:hAnsi="標楷體"/>
      <w:b/>
      <w:bCs/>
      <w:kern w:val="0"/>
      <w:sz w:val="40"/>
      <w:szCs w:val="40"/>
      <w:lang w:val="en-GB"/>
    </w:rPr>
  </w:style>
  <w:style w:type="character" w:customStyle="1" w:styleId="affc">
    <w:name w:val="註釋標題 字元"/>
    <w:link w:val="affb"/>
    <w:uiPriority w:val="99"/>
    <w:rsid w:val="00A84E3F"/>
    <w:rPr>
      <w:rFonts w:eastAsia="標楷體" w:hAnsi="標楷體"/>
      <w:b/>
      <w:bCs/>
      <w:sz w:val="40"/>
      <w:szCs w:val="40"/>
      <w:lang w:val="en-GB"/>
    </w:rPr>
  </w:style>
  <w:style w:type="paragraph" w:styleId="affd">
    <w:name w:val="Closing"/>
    <w:basedOn w:val="a"/>
    <w:link w:val="affe"/>
    <w:uiPriority w:val="99"/>
    <w:unhideWhenUsed/>
    <w:rsid w:val="00A84E3F"/>
    <w:pPr>
      <w:ind w:leftChars="1800" w:left="100"/>
    </w:pPr>
    <w:rPr>
      <w:rFonts w:eastAsia="標楷體" w:hAnsi="標楷體"/>
      <w:b/>
      <w:bCs/>
      <w:kern w:val="0"/>
      <w:sz w:val="40"/>
      <w:szCs w:val="40"/>
      <w:lang w:val="en-GB"/>
    </w:rPr>
  </w:style>
  <w:style w:type="character" w:customStyle="1" w:styleId="affe">
    <w:name w:val="結語 字元"/>
    <w:link w:val="affd"/>
    <w:uiPriority w:val="99"/>
    <w:rsid w:val="00A84E3F"/>
    <w:rPr>
      <w:rFonts w:eastAsia="標楷體" w:hAnsi="標楷體"/>
      <w:b/>
      <w:bCs/>
      <w:sz w:val="40"/>
      <w:szCs w:val="40"/>
      <w:lang w:val="en-GB"/>
    </w:rPr>
  </w:style>
  <w:style w:type="character" w:customStyle="1" w:styleId="a9">
    <w:name w:val="註腳文字 字元"/>
    <w:link w:val="a8"/>
    <w:uiPriority w:val="99"/>
    <w:semiHidden/>
    <w:rsid w:val="00A84E3F"/>
    <w:rPr>
      <w:kern w:val="2"/>
    </w:rPr>
  </w:style>
  <w:style w:type="character" w:customStyle="1" w:styleId="afff">
    <w:name w:val="章節附註文字 字元"/>
    <w:link w:val="afff0"/>
    <w:uiPriority w:val="99"/>
    <w:semiHidden/>
    <w:rsid w:val="00A84E3F"/>
    <w:rPr>
      <w:kern w:val="2"/>
      <w:sz w:val="24"/>
      <w:szCs w:val="24"/>
    </w:rPr>
  </w:style>
  <w:style w:type="paragraph" w:styleId="afff0">
    <w:name w:val="endnote text"/>
    <w:basedOn w:val="a"/>
    <w:link w:val="afff"/>
    <w:uiPriority w:val="99"/>
    <w:semiHidden/>
    <w:unhideWhenUsed/>
    <w:rsid w:val="00A84E3F"/>
    <w:pPr>
      <w:snapToGrid w:val="0"/>
    </w:pPr>
  </w:style>
  <w:style w:type="character" w:customStyle="1" w:styleId="15">
    <w:name w:val="章節附註文字 字元1"/>
    <w:uiPriority w:val="99"/>
    <w:semiHidden/>
    <w:rsid w:val="00A84E3F"/>
    <w:rPr>
      <w:kern w:val="2"/>
      <w:sz w:val="24"/>
      <w:szCs w:val="24"/>
    </w:rPr>
  </w:style>
  <w:style w:type="paragraph" w:styleId="Web">
    <w:name w:val="Normal (Web)"/>
    <w:basedOn w:val="a"/>
    <w:uiPriority w:val="99"/>
    <w:unhideWhenUsed/>
    <w:rsid w:val="00A84E3F"/>
    <w:pPr>
      <w:widowControl/>
      <w:spacing w:before="100" w:beforeAutospacing="1" w:after="100" w:afterAutospacing="1"/>
    </w:pPr>
    <w:rPr>
      <w:rFonts w:ascii="新細明體" w:hAnsi="新細明體" w:cs="新細明體"/>
      <w:kern w:val="0"/>
    </w:rPr>
  </w:style>
  <w:style w:type="paragraph" w:customStyle="1" w:styleId="DTTGuidanceQuestionAnswerExhibit">
    <w:name w:val="DTT Guidance Question/Answer/Exhibit"/>
    <w:uiPriority w:val="99"/>
    <w:rsid w:val="00A84E3F"/>
    <w:pPr>
      <w:widowControl w:val="0"/>
      <w:autoSpaceDE w:val="0"/>
      <w:autoSpaceDN w:val="0"/>
      <w:adjustRightInd w:val="0"/>
      <w:spacing w:before="120" w:after="60"/>
    </w:pPr>
    <w:rPr>
      <w:rFonts w:ascii="Tahoma" w:hAnsi="Tahoma" w:cs="Tahoma"/>
      <w:i/>
      <w:iCs/>
      <w:color w:val="800000"/>
      <w:sz w:val="22"/>
      <w:szCs w:val="22"/>
      <w:lang w:eastAsia="zh-TW"/>
    </w:rPr>
  </w:style>
  <w:style w:type="character" w:customStyle="1" w:styleId="BreadcrumbsChar">
    <w:name w:val="Breadcrumbs:Char"/>
    <w:uiPriority w:val="99"/>
    <w:rsid w:val="00A84E3F"/>
    <w:rPr>
      <w:rFonts w:ascii="Tahoma" w:hAnsi="Tahoma"/>
      <w:b/>
      <w:color w:val="000080"/>
      <w:sz w:val="16"/>
    </w:rPr>
  </w:style>
  <w:style w:type="character" w:customStyle="1" w:styleId="abgxrefcitation">
    <w:name w:val="abg_xref_citation"/>
    <w:rsid w:val="00A84E3F"/>
    <w:rPr>
      <w:b/>
      <w:color w:val="0000FF"/>
    </w:rPr>
  </w:style>
  <w:style w:type="paragraph" w:customStyle="1" w:styleId="abgguidancebulletedlist">
    <w:name w:val="abg_guidancebulleted_list"/>
    <w:basedOn w:val="a"/>
    <w:rsid w:val="00A84E3F"/>
    <w:pPr>
      <w:numPr>
        <w:numId w:val="7"/>
      </w:numPr>
      <w:shd w:val="clear" w:color="auto" w:fill="B3B3B3"/>
      <w:tabs>
        <w:tab w:val="left" w:pos="567"/>
        <w:tab w:val="left" w:pos="1134"/>
        <w:tab w:val="left" w:pos="1701"/>
      </w:tabs>
      <w:spacing w:before="60" w:after="120"/>
    </w:pPr>
    <w:rPr>
      <w:kern w:val="0"/>
      <w:sz w:val="22"/>
      <w:szCs w:val="20"/>
      <w:lang w:val="en-GB" w:eastAsia="en-US"/>
    </w:rPr>
  </w:style>
  <w:style w:type="paragraph" w:customStyle="1" w:styleId="abgbodytext">
    <w:name w:val="abg_body_text"/>
    <w:basedOn w:val="a"/>
    <w:link w:val="abgbodytextChar"/>
    <w:rsid w:val="00A84E3F"/>
    <w:pPr>
      <w:spacing w:before="60" w:after="120"/>
    </w:pPr>
    <w:rPr>
      <w:kern w:val="0"/>
      <w:sz w:val="20"/>
      <w:szCs w:val="20"/>
      <w:lang w:val="en-GB"/>
    </w:rPr>
  </w:style>
  <w:style w:type="character" w:customStyle="1" w:styleId="abgbodytextChar">
    <w:name w:val="abg_body_text Char"/>
    <w:link w:val="abgbodytext"/>
    <w:rsid w:val="00A84E3F"/>
    <w:rPr>
      <w:lang w:val="en-GB"/>
    </w:rPr>
  </w:style>
  <w:style w:type="character" w:customStyle="1" w:styleId="abgitalic">
    <w:name w:val="abg_italic"/>
    <w:rsid w:val="00A84E3F"/>
    <w:rPr>
      <w:i/>
      <w:iCs/>
    </w:rPr>
  </w:style>
  <w:style w:type="paragraph" w:customStyle="1" w:styleId="abgheadd">
    <w:name w:val="abg_head_d"/>
    <w:basedOn w:val="a"/>
    <w:rsid w:val="00A84E3F"/>
    <w:pPr>
      <w:spacing w:before="240" w:after="120"/>
      <w:outlineLvl w:val="3"/>
    </w:pPr>
    <w:rPr>
      <w:color w:val="0000FF"/>
      <w:kern w:val="0"/>
      <w:sz w:val="28"/>
      <w:szCs w:val="20"/>
      <w:lang w:val="en-GB" w:eastAsia="en-US"/>
    </w:rPr>
  </w:style>
  <w:style w:type="paragraph" w:customStyle="1" w:styleId="abgheadc">
    <w:name w:val="abg_head_c"/>
    <w:basedOn w:val="a"/>
    <w:rsid w:val="00A84E3F"/>
    <w:pPr>
      <w:spacing w:before="240" w:after="120"/>
      <w:outlineLvl w:val="3"/>
    </w:pPr>
    <w:rPr>
      <w:i/>
      <w:color w:val="0000FF"/>
      <w:kern w:val="0"/>
      <w:sz w:val="28"/>
      <w:szCs w:val="20"/>
      <w:lang w:val="en-GB" w:eastAsia="en-US"/>
    </w:rPr>
  </w:style>
  <w:style w:type="paragraph" w:styleId="afff1">
    <w:name w:val="Salutation"/>
    <w:basedOn w:val="a"/>
    <w:next w:val="a"/>
    <w:link w:val="afff2"/>
    <w:rsid w:val="00A84E3F"/>
    <w:rPr>
      <w:rFonts w:eastAsia="標楷體"/>
      <w:i/>
      <w:color w:val="000000"/>
      <w:sz w:val="23"/>
      <w:szCs w:val="23"/>
    </w:rPr>
  </w:style>
  <w:style w:type="character" w:customStyle="1" w:styleId="afff2">
    <w:name w:val="問候 字元"/>
    <w:link w:val="afff1"/>
    <w:rsid w:val="00A84E3F"/>
    <w:rPr>
      <w:rFonts w:eastAsia="標楷體"/>
      <w:i/>
      <w:color w:val="000000"/>
      <w:kern w:val="2"/>
      <w:sz w:val="23"/>
      <w:szCs w:val="23"/>
    </w:rPr>
  </w:style>
  <w:style w:type="paragraph" w:styleId="afff3">
    <w:name w:val="Document Map"/>
    <w:basedOn w:val="a"/>
    <w:link w:val="afff4"/>
    <w:uiPriority w:val="99"/>
    <w:semiHidden/>
    <w:unhideWhenUsed/>
    <w:rsid w:val="00A84E3F"/>
    <w:rPr>
      <w:rFonts w:ascii="新細明體"/>
      <w:sz w:val="18"/>
      <w:szCs w:val="18"/>
    </w:rPr>
  </w:style>
  <w:style w:type="character" w:customStyle="1" w:styleId="afff4">
    <w:name w:val="文件引導模式 字元"/>
    <w:link w:val="afff3"/>
    <w:uiPriority w:val="99"/>
    <w:semiHidden/>
    <w:rsid w:val="00A84E3F"/>
    <w:rPr>
      <w:rFonts w:ascii="新細明體"/>
      <w:kern w:val="2"/>
      <w:sz w:val="18"/>
      <w:szCs w:val="18"/>
    </w:rPr>
  </w:style>
  <w:style w:type="character" w:styleId="afff5">
    <w:name w:val="Hyperlink"/>
    <w:rsid w:val="00A84E3F"/>
    <w:rPr>
      <w:color w:val="0000FF"/>
      <w:u w:val="single"/>
    </w:rPr>
  </w:style>
  <w:style w:type="paragraph" w:customStyle="1" w:styleId="120">
    <w:name w:val="標題12級"/>
    <w:basedOn w:val="a"/>
    <w:rsid w:val="00A84E3F"/>
    <w:pPr>
      <w:autoSpaceDE w:val="0"/>
      <w:autoSpaceDN w:val="0"/>
      <w:adjustRightInd w:val="0"/>
      <w:spacing w:line="360" w:lineRule="auto"/>
      <w:jc w:val="both"/>
    </w:pPr>
    <w:rPr>
      <w:rFonts w:eastAsia="全真粗黑體"/>
    </w:rPr>
  </w:style>
  <w:style w:type="paragraph" w:customStyle="1" w:styleId="16">
    <w:name w:val="標題16級"/>
    <w:basedOn w:val="a"/>
    <w:rsid w:val="00A84E3F"/>
    <w:pPr>
      <w:autoSpaceDE w:val="0"/>
      <w:autoSpaceDN w:val="0"/>
      <w:adjustRightInd w:val="0"/>
      <w:spacing w:beforeLines="30" w:afterLines="30"/>
      <w:jc w:val="center"/>
    </w:pPr>
    <w:rPr>
      <w:rFonts w:eastAsia="超研澤粗明"/>
      <w:sz w:val="32"/>
      <w:szCs w:val="32"/>
    </w:rPr>
  </w:style>
  <w:style w:type="paragraph" w:customStyle="1" w:styleId="140">
    <w:name w:val="標題14級"/>
    <w:basedOn w:val="a"/>
    <w:rsid w:val="00A84E3F"/>
    <w:pPr>
      <w:autoSpaceDE w:val="0"/>
      <w:autoSpaceDN w:val="0"/>
      <w:adjustRightInd w:val="0"/>
      <w:snapToGrid w:val="0"/>
      <w:spacing w:beforeLines="30" w:afterLines="30"/>
      <w:jc w:val="both"/>
    </w:pPr>
    <w:rPr>
      <w:rFonts w:eastAsia="全真粗黑體"/>
      <w:sz w:val="28"/>
    </w:rPr>
  </w:style>
  <w:style w:type="paragraph" w:styleId="HTML">
    <w:name w:val="HTML Preformatted"/>
    <w:basedOn w:val="a"/>
    <w:link w:val="HTML0"/>
    <w:uiPriority w:val="99"/>
    <w:unhideWhenUsed/>
    <w:rsid w:val="00047B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047B1F"/>
    <w:rPr>
      <w:rFonts w:ascii="細明體" w:eastAsia="細明體" w:hAnsi="細明體" w:cs="細明體"/>
      <w:sz w:val="24"/>
      <w:szCs w:val="24"/>
    </w:rPr>
  </w:style>
  <w:style w:type="paragraph" w:customStyle="1" w:styleId="TableNoBreakB">
    <w:name w:val="TableNoBreakB"/>
    <w:rsid w:val="009059F3"/>
    <w:pPr>
      <w:shd w:val="clear" w:color="auto" w:fill="C0C0C0"/>
      <w:tabs>
        <w:tab w:val="left" w:pos="567"/>
      </w:tabs>
      <w:spacing w:before="60" w:after="60"/>
    </w:pPr>
    <w:rPr>
      <w:rFonts w:ascii="Arial" w:hAnsi="Arial" w:cs="Arial"/>
      <w:lang w:val="en-GB" w:eastAsia="zh-TW"/>
    </w:rPr>
  </w:style>
  <w:style w:type="paragraph" w:customStyle="1" w:styleId="TableNoBreakE">
    <w:name w:val="TableNoBreakE"/>
    <w:rsid w:val="009059F3"/>
    <w:pPr>
      <w:shd w:val="clear" w:color="auto" w:fill="C0C0C0"/>
      <w:tabs>
        <w:tab w:val="left" w:pos="567"/>
      </w:tabs>
      <w:spacing w:before="60" w:after="60"/>
    </w:pPr>
    <w:rPr>
      <w:rFonts w:ascii="Arial" w:hAnsi="Arial" w:cs="Arial"/>
      <w:color w:val="800000"/>
      <w:lang w:val="en-GB" w:eastAsia="zh-TW"/>
    </w:rPr>
  </w:style>
</w:styles>
</file>

<file path=word/webSettings.xml><?xml version="1.0" encoding="utf-8"?>
<w:webSettings xmlns:r="http://schemas.openxmlformats.org/officeDocument/2006/relationships" xmlns:w="http://schemas.openxmlformats.org/wordprocessingml/2006/main">
  <w:divs>
    <w:div w:id="289433069">
      <w:bodyDiv w:val="1"/>
      <w:marLeft w:val="0"/>
      <w:marRight w:val="0"/>
      <w:marTop w:val="0"/>
      <w:marBottom w:val="0"/>
      <w:divBdr>
        <w:top w:val="none" w:sz="0" w:space="0" w:color="auto"/>
        <w:left w:val="none" w:sz="0" w:space="0" w:color="auto"/>
        <w:bottom w:val="none" w:sz="0" w:space="0" w:color="auto"/>
        <w:right w:val="none" w:sz="0" w:space="0" w:color="auto"/>
      </w:divBdr>
    </w:div>
    <w:div w:id="568806935">
      <w:bodyDiv w:val="1"/>
      <w:marLeft w:val="0"/>
      <w:marRight w:val="0"/>
      <w:marTop w:val="0"/>
      <w:marBottom w:val="0"/>
      <w:divBdr>
        <w:top w:val="none" w:sz="0" w:space="0" w:color="auto"/>
        <w:left w:val="none" w:sz="0" w:space="0" w:color="auto"/>
        <w:bottom w:val="none" w:sz="0" w:space="0" w:color="auto"/>
        <w:right w:val="none" w:sz="0" w:space="0" w:color="auto"/>
      </w:divBdr>
    </w:div>
    <w:div w:id="1229535087">
      <w:bodyDiv w:val="1"/>
      <w:marLeft w:val="0"/>
      <w:marRight w:val="0"/>
      <w:marTop w:val="0"/>
      <w:marBottom w:val="0"/>
      <w:divBdr>
        <w:top w:val="none" w:sz="0" w:space="0" w:color="auto"/>
        <w:left w:val="none" w:sz="0" w:space="0" w:color="auto"/>
        <w:bottom w:val="none" w:sz="0" w:space="0" w:color="auto"/>
        <w:right w:val="none" w:sz="0" w:space="0" w:color="auto"/>
      </w:divBdr>
    </w:div>
    <w:div w:id="1300067914">
      <w:bodyDiv w:val="1"/>
      <w:marLeft w:val="0"/>
      <w:marRight w:val="0"/>
      <w:marTop w:val="0"/>
      <w:marBottom w:val="0"/>
      <w:divBdr>
        <w:top w:val="none" w:sz="0" w:space="0" w:color="auto"/>
        <w:left w:val="none" w:sz="0" w:space="0" w:color="auto"/>
        <w:bottom w:val="none" w:sz="0" w:space="0" w:color="auto"/>
        <w:right w:val="none" w:sz="0" w:space="0" w:color="auto"/>
      </w:divBdr>
    </w:div>
    <w:div w:id="1373071299">
      <w:bodyDiv w:val="1"/>
      <w:marLeft w:val="0"/>
      <w:marRight w:val="0"/>
      <w:marTop w:val="0"/>
      <w:marBottom w:val="0"/>
      <w:divBdr>
        <w:top w:val="none" w:sz="0" w:space="0" w:color="auto"/>
        <w:left w:val="none" w:sz="0" w:space="0" w:color="auto"/>
        <w:bottom w:val="none" w:sz="0" w:space="0" w:color="auto"/>
        <w:right w:val="none" w:sz="0" w:space="0" w:color="auto"/>
      </w:divBdr>
      <w:divsChild>
        <w:div w:id="10838612">
          <w:marLeft w:val="547"/>
          <w:marRight w:val="0"/>
          <w:marTop w:val="0"/>
          <w:marBottom w:val="0"/>
          <w:divBdr>
            <w:top w:val="none" w:sz="0" w:space="0" w:color="auto"/>
            <w:left w:val="none" w:sz="0" w:space="0" w:color="auto"/>
            <w:bottom w:val="none" w:sz="0" w:space="0" w:color="auto"/>
            <w:right w:val="none" w:sz="0" w:space="0" w:color="auto"/>
          </w:divBdr>
        </w:div>
      </w:divsChild>
    </w:div>
    <w:div w:id="194884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2F23C-B31C-425F-9C51-4991311D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國際財務報導準則第2號</vt:lpstr>
    </vt:vector>
  </TitlesOfParts>
  <Company>Deloitte Touche Tohmatsu Services, Inc.</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國際財務報導準則第2號</dc:title>
  <dc:creator>Margaret</dc:creator>
  <cp:lastModifiedBy>00</cp:lastModifiedBy>
  <cp:revision>38</cp:revision>
  <cp:lastPrinted>2015-09-04T05:13:00Z</cp:lastPrinted>
  <dcterms:created xsi:type="dcterms:W3CDTF">2016-05-13T08:41:00Z</dcterms:created>
  <dcterms:modified xsi:type="dcterms:W3CDTF">2016-06-20T01:27:00Z</dcterms:modified>
</cp:coreProperties>
</file>