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BE3" w:rsidRDefault="00F50EB4" w:rsidP="00F50EB4">
      <w:pPr>
        <w:outlineLvl w:val="0"/>
        <w:rPr>
          <w:rFonts w:eastAsia="標楷體"/>
          <w:sz w:val="44"/>
          <w:szCs w:val="44"/>
        </w:rPr>
      </w:pPr>
      <w:r>
        <w:rPr>
          <w:rFonts w:eastAsia="標楷體" w:hint="eastAsia"/>
          <w:sz w:val="44"/>
          <w:szCs w:val="44"/>
        </w:rPr>
        <w:t xml:space="preserve">                       </w:t>
      </w:r>
      <w:r w:rsidR="00A5633D" w:rsidRPr="009759B2">
        <w:rPr>
          <w:rFonts w:eastAsia="標楷體"/>
          <w:sz w:val="44"/>
          <w:szCs w:val="44"/>
        </w:rPr>
        <w:t>IFRS</w:t>
      </w:r>
      <w:r w:rsidR="00A5633D" w:rsidRPr="009759B2">
        <w:rPr>
          <w:rFonts w:eastAsia="標楷體" w:hint="eastAsia"/>
          <w:sz w:val="44"/>
          <w:szCs w:val="44"/>
        </w:rPr>
        <w:t>問答集</w:t>
      </w:r>
    </w:p>
    <w:p w:rsidR="00852A7B" w:rsidRDefault="00AC2F26" w:rsidP="00983173">
      <w:pPr>
        <w:spacing w:line="500" w:lineRule="exact"/>
        <w:ind w:right="62"/>
        <w:rPr>
          <w:rFonts w:ascii="標楷體" w:eastAsia="標楷體" w:hAnsi="標楷體"/>
          <w:sz w:val="28"/>
          <w:szCs w:val="28"/>
        </w:rPr>
      </w:pPr>
      <w:r>
        <w:rPr>
          <w:rFonts w:ascii="標楷體" w:eastAsia="標楷體" w:hAnsi="標楷體" w:hint="eastAsia"/>
          <w:sz w:val="28"/>
          <w:szCs w:val="28"/>
        </w:rPr>
        <w:t xml:space="preserve">                                                                                   </w:t>
      </w:r>
      <w:r w:rsidRPr="00AA6DFB">
        <w:rPr>
          <w:rFonts w:ascii="標楷體" w:eastAsia="標楷體" w:hAnsi="標楷體" w:hint="eastAsia"/>
          <w:color w:val="FF0000"/>
          <w:sz w:val="28"/>
          <w:szCs w:val="28"/>
        </w:rPr>
        <w:t>日期</w:t>
      </w:r>
      <w:r w:rsidRPr="00A257BF">
        <w:rPr>
          <w:rFonts w:ascii="標楷體" w:eastAsia="標楷體" w:hAnsi="標楷體" w:hint="eastAsia"/>
          <w:color w:val="FF0000"/>
          <w:sz w:val="28"/>
          <w:szCs w:val="28"/>
        </w:rPr>
        <w:t>:1</w:t>
      </w:r>
      <w:r w:rsidR="00B75D92">
        <w:rPr>
          <w:rFonts w:ascii="標楷體" w:eastAsia="標楷體" w:hAnsi="標楷體" w:hint="eastAsia"/>
          <w:color w:val="FF0000"/>
          <w:sz w:val="28"/>
          <w:szCs w:val="28"/>
        </w:rPr>
        <w:t>1</w:t>
      </w:r>
      <w:r w:rsidR="00DC32EB">
        <w:rPr>
          <w:rFonts w:ascii="標楷體" w:eastAsia="標楷體" w:hAnsi="標楷體" w:hint="eastAsia"/>
          <w:color w:val="FF0000"/>
          <w:sz w:val="28"/>
          <w:szCs w:val="28"/>
        </w:rPr>
        <w:t>4.0</w:t>
      </w:r>
      <w:r w:rsidR="00AB17CE">
        <w:rPr>
          <w:rFonts w:ascii="標楷體" w:eastAsia="標楷體" w:hAnsi="標楷體" w:hint="eastAsia"/>
          <w:color w:val="FF0000"/>
          <w:sz w:val="28"/>
          <w:szCs w:val="28"/>
        </w:rPr>
        <w:t>4.08</w:t>
      </w:r>
    </w:p>
    <w:p w:rsidR="00983173" w:rsidRPr="00A74C04" w:rsidRDefault="00983173" w:rsidP="00983173">
      <w:pPr>
        <w:spacing w:line="500" w:lineRule="exact"/>
        <w:ind w:right="62"/>
        <w:rPr>
          <w:rFonts w:ascii="標楷體" w:eastAsia="標楷體" w:hAnsi="標楷體"/>
          <w:sz w:val="28"/>
          <w:szCs w:val="28"/>
        </w:rPr>
      </w:pPr>
      <w:proofErr w:type="gramStart"/>
      <w:r w:rsidRPr="00A74C04">
        <w:rPr>
          <w:rFonts w:ascii="標楷體" w:eastAsia="標楷體" w:hAnsi="標楷體" w:hint="eastAsia"/>
          <w:sz w:val="28"/>
          <w:szCs w:val="28"/>
        </w:rPr>
        <w:t>問答集增修</w:t>
      </w:r>
      <w:proofErr w:type="gramEnd"/>
      <w:r w:rsidRPr="00A74C04">
        <w:rPr>
          <w:rFonts w:ascii="標楷體" w:eastAsia="標楷體" w:hAnsi="標楷體" w:hint="eastAsia"/>
          <w:sz w:val="28"/>
          <w:szCs w:val="28"/>
        </w:rPr>
        <w:t>情形：</w:t>
      </w:r>
    </w:p>
    <w:p w:rsidR="00983173" w:rsidRPr="00F97600" w:rsidRDefault="00983173" w:rsidP="0073558C">
      <w:pPr>
        <w:numPr>
          <w:ilvl w:val="0"/>
          <w:numId w:val="1"/>
        </w:numPr>
        <w:spacing w:line="360" w:lineRule="exact"/>
        <w:ind w:left="482" w:right="62" w:hanging="482"/>
        <w:rPr>
          <w:rFonts w:ascii="標楷體" w:eastAsia="標楷體" w:hAnsi="標楷體"/>
          <w:sz w:val="28"/>
          <w:szCs w:val="28"/>
        </w:rPr>
      </w:pPr>
      <w:r w:rsidRPr="00F97600">
        <w:rPr>
          <w:rFonts w:ascii="標楷體" w:eastAsia="標楷體" w:hAnsi="標楷體" w:hint="eastAsia"/>
          <w:sz w:val="28"/>
          <w:szCs w:val="28"/>
        </w:rPr>
        <w:t>105年6月3日初版。</w:t>
      </w:r>
    </w:p>
    <w:p w:rsidR="00983173" w:rsidRPr="00686E03" w:rsidRDefault="00983173" w:rsidP="0073558C">
      <w:pPr>
        <w:numPr>
          <w:ilvl w:val="0"/>
          <w:numId w:val="1"/>
        </w:numPr>
        <w:spacing w:line="360" w:lineRule="exact"/>
        <w:ind w:left="482" w:right="62" w:hanging="482"/>
        <w:rPr>
          <w:rFonts w:ascii="標楷體" w:eastAsia="標楷體" w:hAnsi="標楷體"/>
          <w:sz w:val="28"/>
          <w:szCs w:val="28"/>
        </w:rPr>
      </w:pPr>
      <w:r w:rsidRPr="00686E03">
        <w:rPr>
          <w:rFonts w:ascii="標楷體" w:eastAsia="標楷體" w:hAnsi="標楷體" w:hint="eastAsia"/>
          <w:sz w:val="28"/>
          <w:szCs w:val="28"/>
        </w:rPr>
        <w:t>107年3月2</w:t>
      </w:r>
      <w:r w:rsidR="00B6611B" w:rsidRPr="00686E03">
        <w:rPr>
          <w:rFonts w:ascii="標楷體" w:eastAsia="標楷體" w:hAnsi="標楷體" w:hint="eastAsia"/>
          <w:sz w:val="28"/>
          <w:szCs w:val="28"/>
        </w:rPr>
        <w:t>9</w:t>
      </w:r>
      <w:r w:rsidRPr="00686E03">
        <w:rPr>
          <w:rFonts w:ascii="標楷體" w:eastAsia="標楷體" w:hAnsi="標楷體" w:hint="eastAsia"/>
          <w:sz w:val="28"/>
          <w:szCs w:val="28"/>
        </w:rPr>
        <w:t>日</w:t>
      </w:r>
      <w:r w:rsidR="00852A7B" w:rsidRPr="00686E03">
        <w:rPr>
          <w:rFonts w:ascii="標楷體" w:eastAsia="標楷體" w:hAnsi="標楷體" w:hint="eastAsia"/>
          <w:sz w:val="28"/>
          <w:szCs w:val="28"/>
        </w:rPr>
        <w:t>整</w:t>
      </w:r>
      <w:proofErr w:type="gramStart"/>
      <w:r w:rsidRPr="00686E03">
        <w:rPr>
          <w:rFonts w:ascii="標楷體" w:eastAsia="標楷體" w:hAnsi="標楷體" w:hint="eastAsia"/>
          <w:sz w:val="28"/>
          <w:szCs w:val="28"/>
        </w:rPr>
        <w:t>併</w:t>
      </w:r>
      <w:proofErr w:type="gramEnd"/>
      <w:r w:rsidR="00852A7B" w:rsidRPr="00686E03">
        <w:rPr>
          <w:rFonts w:ascii="標楷體" w:eastAsia="標楷體" w:hAnsi="標楷體" w:hint="eastAsia"/>
          <w:sz w:val="28"/>
          <w:szCs w:val="28"/>
        </w:rPr>
        <w:t>原</w:t>
      </w:r>
      <w:r w:rsidR="00A55AD6" w:rsidRPr="00686E03">
        <w:rPr>
          <w:rFonts w:ascii="標楷體" w:eastAsia="標楷體" w:hAnsi="標楷體" w:hint="eastAsia"/>
          <w:sz w:val="28"/>
          <w:szCs w:val="28"/>
        </w:rPr>
        <w:t>「</w:t>
      </w:r>
      <w:r w:rsidRPr="00686E03">
        <w:rPr>
          <w:rFonts w:ascii="標楷體" w:eastAsia="標楷體" w:hAnsi="標楷體" w:hint="eastAsia"/>
          <w:sz w:val="28"/>
          <w:szCs w:val="28"/>
        </w:rPr>
        <w:t>2010年版及2013年版</w:t>
      </w:r>
      <w:r w:rsidR="00F848BB" w:rsidRPr="00686E03">
        <w:rPr>
          <w:rFonts w:ascii="標楷體" w:eastAsia="標楷體" w:hAnsi="標楷體" w:hint="eastAsia"/>
          <w:sz w:val="28"/>
          <w:szCs w:val="28"/>
        </w:rPr>
        <w:t>IFRS</w:t>
      </w:r>
      <w:r w:rsidR="00F848BB" w:rsidRPr="00686E03">
        <w:rPr>
          <w:rFonts w:ascii="標楷體" w:eastAsia="標楷體" w:hAnsi="標楷體"/>
          <w:sz w:val="28"/>
          <w:szCs w:val="28"/>
        </w:rPr>
        <w:t>s</w:t>
      </w:r>
      <w:r w:rsidR="00852A7B" w:rsidRPr="00686E03">
        <w:rPr>
          <w:rFonts w:ascii="標楷體" w:eastAsia="標楷體" w:hAnsi="標楷體" w:hint="eastAsia"/>
          <w:sz w:val="28"/>
          <w:szCs w:val="28"/>
        </w:rPr>
        <w:t>問答集</w:t>
      </w:r>
      <w:r w:rsidR="00A55AD6" w:rsidRPr="00686E03">
        <w:rPr>
          <w:rFonts w:ascii="標楷體" w:eastAsia="標楷體" w:hAnsi="標楷體" w:hint="eastAsia"/>
          <w:sz w:val="28"/>
          <w:szCs w:val="28"/>
        </w:rPr>
        <w:t>」</w:t>
      </w:r>
      <w:r w:rsidR="00852A7B" w:rsidRPr="00686E03">
        <w:rPr>
          <w:rFonts w:ascii="標楷體" w:eastAsia="標楷體" w:hAnsi="標楷體" w:hint="eastAsia"/>
          <w:sz w:val="28"/>
          <w:szCs w:val="28"/>
        </w:rPr>
        <w:t>之內容</w:t>
      </w:r>
      <w:r w:rsidRPr="00686E03">
        <w:rPr>
          <w:rFonts w:ascii="標楷體" w:eastAsia="標楷體" w:hAnsi="標楷體" w:hint="eastAsia"/>
          <w:sz w:val="28"/>
          <w:szCs w:val="28"/>
        </w:rPr>
        <w:t>，</w:t>
      </w:r>
      <w:r w:rsidR="00F848BB" w:rsidRPr="00686E03">
        <w:rPr>
          <w:rFonts w:ascii="標楷體" w:eastAsia="標楷體" w:hAnsi="標楷體" w:hint="eastAsia"/>
          <w:sz w:val="28"/>
          <w:szCs w:val="28"/>
        </w:rPr>
        <w:t>另</w:t>
      </w:r>
      <w:r w:rsidRPr="00686E03">
        <w:rPr>
          <w:rFonts w:ascii="標楷體" w:eastAsia="標楷體" w:hAnsi="標楷體" w:hint="eastAsia"/>
          <w:sz w:val="28"/>
          <w:szCs w:val="28"/>
        </w:rPr>
        <w:t>配合調整</w:t>
      </w:r>
      <w:r w:rsidR="00F848BB" w:rsidRPr="00686E03">
        <w:rPr>
          <w:rFonts w:ascii="標楷體" w:eastAsia="標楷體" w:hAnsi="標楷體" w:hint="eastAsia"/>
          <w:sz w:val="28"/>
          <w:szCs w:val="28"/>
        </w:rPr>
        <w:t>相關</w:t>
      </w:r>
      <w:r w:rsidRPr="00686E03">
        <w:rPr>
          <w:rFonts w:ascii="標楷體" w:eastAsia="標楷體" w:hAnsi="標楷體" w:hint="eastAsia"/>
          <w:sz w:val="28"/>
          <w:szCs w:val="28"/>
        </w:rPr>
        <w:t>項次。</w:t>
      </w:r>
    </w:p>
    <w:p w:rsidR="00686E03" w:rsidRDefault="00686E03" w:rsidP="0073558C">
      <w:pPr>
        <w:numPr>
          <w:ilvl w:val="0"/>
          <w:numId w:val="1"/>
        </w:numPr>
        <w:spacing w:line="360" w:lineRule="exact"/>
        <w:ind w:left="482" w:right="62" w:hanging="482"/>
        <w:rPr>
          <w:rFonts w:ascii="標楷體" w:eastAsia="標楷體" w:hAnsi="標楷體"/>
          <w:sz w:val="28"/>
          <w:szCs w:val="28"/>
        </w:rPr>
      </w:pPr>
      <w:r w:rsidRPr="002C5155">
        <w:rPr>
          <w:rFonts w:ascii="標楷體" w:eastAsia="標楷體" w:hAnsi="標楷體" w:hint="eastAsia"/>
          <w:sz w:val="28"/>
          <w:szCs w:val="28"/>
        </w:rPr>
        <w:t>107年</w:t>
      </w:r>
      <w:r w:rsidRPr="002C5155">
        <w:rPr>
          <w:rFonts w:ascii="標楷體" w:eastAsia="標楷體" w:hAnsi="標楷體"/>
          <w:sz w:val="28"/>
          <w:szCs w:val="28"/>
        </w:rPr>
        <w:t>4</w:t>
      </w:r>
      <w:r w:rsidRPr="002C5155">
        <w:rPr>
          <w:rFonts w:ascii="標楷體" w:eastAsia="標楷體" w:hAnsi="標楷體" w:hint="eastAsia"/>
          <w:sz w:val="28"/>
          <w:szCs w:val="28"/>
        </w:rPr>
        <w:t>月</w:t>
      </w:r>
      <w:r w:rsidRPr="002C5155">
        <w:rPr>
          <w:rFonts w:ascii="標楷體" w:eastAsia="標楷體" w:hAnsi="標楷體"/>
          <w:sz w:val="28"/>
          <w:szCs w:val="28"/>
        </w:rPr>
        <w:t>16</w:t>
      </w:r>
      <w:r w:rsidRPr="002C5155">
        <w:rPr>
          <w:rFonts w:ascii="標楷體" w:eastAsia="標楷體" w:hAnsi="標楷體" w:hint="eastAsia"/>
          <w:sz w:val="28"/>
          <w:szCs w:val="28"/>
        </w:rPr>
        <w:t>日更新「貳、公報及會計處理」第34題。</w:t>
      </w:r>
    </w:p>
    <w:p w:rsidR="002C5155" w:rsidRPr="00B9362E" w:rsidRDefault="002C5155" w:rsidP="0073558C">
      <w:pPr>
        <w:numPr>
          <w:ilvl w:val="0"/>
          <w:numId w:val="1"/>
        </w:numPr>
        <w:spacing w:line="360" w:lineRule="exact"/>
        <w:ind w:left="482" w:right="62" w:hanging="482"/>
        <w:rPr>
          <w:rFonts w:ascii="標楷體" w:eastAsia="標楷體" w:hAnsi="標楷體"/>
          <w:sz w:val="28"/>
          <w:szCs w:val="28"/>
        </w:rPr>
      </w:pPr>
      <w:r w:rsidRPr="00357BE4">
        <w:rPr>
          <w:rFonts w:ascii="標楷體" w:eastAsia="標楷體" w:hAnsi="標楷體" w:hint="eastAsia"/>
          <w:sz w:val="28"/>
          <w:szCs w:val="28"/>
        </w:rPr>
        <w:t>1</w:t>
      </w:r>
      <w:r w:rsidRPr="00B9362E">
        <w:rPr>
          <w:rFonts w:ascii="標楷體" w:eastAsia="標楷體" w:hAnsi="標楷體" w:hint="eastAsia"/>
          <w:sz w:val="28"/>
          <w:szCs w:val="28"/>
        </w:rPr>
        <w:t>07年5月7日</w:t>
      </w:r>
      <w:r w:rsidR="00D81EB3" w:rsidRPr="00B9362E">
        <w:rPr>
          <w:rFonts w:ascii="標楷體" w:eastAsia="標楷體" w:hAnsi="標楷體" w:hint="eastAsia"/>
          <w:sz w:val="28"/>
          <w:szCs w:val="28"/>
        </w:rPr>
        <w:t>新增</w:t>
      </w:r>
      <w:r w:rsidRPr="00B9362E">
        <w:rPr>
          <w:rFonts w:ascii="標楷體" w:eastAsia="標楷體" w:hAnsi="標楷體" w:hint="eastAsia"/>
          <w:sz w:val="28"/>
          <w:szCs w:val="28"/>
        </w:rPr>
        <w:t>「貳、公報及會計處理」第</w:t>
      </w:r>
      <w:r w:rsidR="00D81EB3" w:rsidRPr="00B9362E">
        <w:rPr>
          <w:rFonts w:ascii="標楷體" w:eastAsia="標楷體" w:hAnsi="標楷體" w:hint="eastAsia"/>
          <w:sz w:val="28"/>
          <w:szCs w:val="28"/>
        </w:rPr>
        <w:t>61及62</w:t>
      </w:r>
      <w:r w:rsidRPr="00B9362E">
        <w:rPr>
          <w:rFonts w:ascii="標楷體" w:eastAsia="標楷體" w:hAnsi="標楷體" w:hint="eastAsia"/>
          <w:sz w:val="28"/>
          <w:szCs w:val="28"/>
        </w:rPr>
        <w:t>題。</w:t>
      </w:r>
    </w:p>
    <w:p w:rsidR="00A34EF2" w:rsidRPr="00B9362E" w:rsidRDefault="00A34EF2" w:rsidP="0073558C">
      <w:pPr>
        <w:numPr>
          <w:ilvl w:val="0"/>
          <w:numId w:val="1"/>
        </w:numPr>
        <w:spacing w:line="360" w:lineRule="exact"/>
        <w:ind w:right="62"/>
        <w:rPr>
          <w:rFonts w:ascii="標楷體" w:eastAsia="標楷體" w:hAnsi="標楷體"/>
          <w:sz w:val="28"/>
          <w:szCs w:val="28"/>
        </w:rPr>
      </w:pPr>
      <w:r w:rsidRPr="00B9362E">
        <w:rPr>
          <w:rFonts w:ascii="標楷體" w:eastAsia="標楷體" w:hAnsi="標楷體" w:hint="eastAsia"/>
          <w:sz w:val="28"/>
          <w:szCs w:val="28"/>
        </w:rPr>
        <w:t>107年9月18日</w:t>
      </w:r>
      <w:r w:rsidR="00EE0701" w:rsidRPr="00B9362E">
        <w:rPr>
          <w:rFonts w:ascii="標楷體" w:eastAsia="標楷體" w:hAnsi="標楷體" w:hint="eastAsia"/>
          <w:sz w:val="28"/>
          <w:szCs w:val="28"/>
        </w:rPr>
        <w:t>更新</w:t>
      </w:r>
      <w:r w:rsidRPr="00B9362E">
        <w:rPr>
          <w:rFonts w:ascii="標楷體" w:eastAsia="標楷體" w:hAnsi="標楷體" w:hint="eastAsia"/>
          <w:sz w:val="28"/>
          <w:szCs w:val="28"/>
        </w:rPr>
        <w:t>「貳、公報及會計處理」第1</w:t>
      </w:r>
      <w:r w:rsidR="00EE0701" w:rsidRPr="00B9362E">
        <w:rPr>
          <w:rFonts w:ascii="標楷體" w:eastAsia="標楷體" w:hAnsi="標楷體" w:hint="eastAsia"/>
          <w:sz w:val="28"/>
          <w:szCs w:val="28"/>
        </w:rPr>
        <w:t>4</w:t>
      </w:r>
      <w:r w:rsidR="007B499A" w:rsidRPr="00B9362E">
        <w:rPr>
          <w:rFonts w:ascii="標楷體" w:eastAsia="標楷體" w:hAnsi="標楷體" w:hint="eastAsia"/>
          <w:sz w:val="28"/>
          <w:szCs w:val="28"/>
        </w:rPr>
        <w:t>題</w:t>
      </w:r>
      <w:r w:rsidRPr="00B9362E">
        <w:rPr>
          <w:rFonts w:ascii="標楷體" w:eastAsia="標楷體" w:hAnsi="標楷體" w:hint="eastAsia"/>
          <w:sz w:val="28"/>
          <w:szCs w:val="28"/>
        </w:rPr>
        <w:t>及</w:t>
      </w:r>
      <w:r w:rsidR="008D3524" w:rsidRPr="00B9362E">
        <w:rPr>
          <w:rFonts w:ascii="標楷體" w:eastAsia="標楷體" w:hAnsi="標楷體" w:hint="eastAsia"/>
          <w:sz w:val="28"/>
          <w:szCs w:val="28"/>
        </w:rPr>
        <w:t>新增「貳、公報及會計處理」第63題。</w:t>
      </w:r>
    </w:p>
    <w:p w:rsidR="00E637BA" w:rsidRPr="00751326" w:rsidRDefault="00357BE4" w:rsidP="0073558C">
      <w:pPr>
        <w:numPr>
          <w:ilvl w:val="0"/>
          <w:numId w:val="1"/>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107年10月18日新增「壹、政策及法規」第41題。</w:t>
      </w:r>
    </w:p>
    <w:p w:rsidR="00D66A1A" w:rsidRPr="00751326" w:rsidRDefault="00D66A1A" w:rsidP="0073558C">
      <w:pPr>
        <w:numPr>
          <w:ilvl w:val="0"/>
          <w:numId w:val="1"/>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w:t>
      </w:r>
      <w:r w:rsidRPr="00751326">
        <w:rPr>
          <w:rFonts w:ascii="標楷體" w:eastAsia="標楷體" w:hAnsi="標楷體"/>
          <w:sz w:val="28"/>
          <w:szCs w:val="28"/>
        </w:rPr>
        <w:t>8</w:t>
      </w:r>
      <w:r w:rsidRPr="00751326">
        <w:rPr>
          <w:rFonts w:ascii="標楷體" w:eastAsia="標楷體" w:hAnsi="標楷體" w:hint="eastAsia"/>
          <w:sz w:val="28"/>
          <w:szCs w:val="28"/>
        </w:rPr>
        <w:t>年</w:t>
      </w:r>
      <w:r w:rsidRPr="00751326">
        <w:rPr>
          <w:rFonts w:ascii="標楷體" w:eastAsia="標楷體" w:hAnsi="標楷體"/>
          <w:sz w:val="28"/>
          <w:szCs w:val="28"/>
        </w:rPr>
        <w:t>2</w:t>
      </w:r>
      <w:r w:rsidRPr="00751326">
        <w:rPr>
          <w:rFonts w:ascii="標楷體" w:eastAsia="標楷體" w:hAnsi="標楷體" w:hint="eastAsia"/>
          <w:sz w:val="28"/>
          <w:szCs w:val="28"/>
        </w:rPr>
        <w:t>月</w:t>
      </w:r>
      <w:r w:rsidRPr="00751326">
        <w:rPr>
          <w:rFonts w:ascii="標楷體" w:eastAsia="標楷體" w:hAnsi="標楷體"/>
          <w:sz w:val="28"/>
          <w:szCs w:val="28"/>
        </w:rPr>
        <w:t>21</w:t>
      </w:r>
      <w:r w:rsidRPr="00751326">
        <w:rPr>
          <w:rFonts w:ascii="標楷體" w:eastAsia="標楷體" w:hAnsi="標楷體" w:hint="eastAsia"/>
          <w:sz w:val="28"/>
          <w:szCs w:val="28"/>
        </w:rPr>
        <w:t>日新增「壹、政策及法規」第4</w:t>
      </w:r>
      <w:r w:rsidR="00533830" w:rsidRPr="00751326">
        <w:rPr>
          <w:rFonts w:ascii="標楷體" w:eastAsia="標楷體" w:hAnsi="標楷體" w:hint="eastAsia"/>
          <w:sz w:val="28"/>
          <w:szCs w:val="28"/>
        </w:rPr>
        <w:t>2</w:t>
      </w:r>
      <w:r w:rsidRPr="00751326">
        <w:rPr>
          <w:rFonts w:ascii="標楷體" w:eastAsia="標楷體" w:hAnsi="標楷體" w:hint="eastAsia"/>
          <w:sz w:val="28"/>
          <w:szCs w:val="28"/>
        </w:rPr>
        <w:t>題</w:t>
      </w:r>
      <w:r w:rsidR="00533830" w:rsidRPr="00751326">
        <w:rPr>
          <w:rFonts w:ascii="標楷體" w:eastAsia="標楷體" w:hAnsi="標楷體" w:hint="eastAsia"/>
          <w:sz w:val="28"/>
          <w:szCs w:val="28"/>
        </w:rPr>
        <w:t>及「貳、公報及會計處理」第6</w:t>
      </w:r>
      <w:r w:rsidR="00B9362E" w:rsidRPr="00751326">
        <w:rPr>
          <w:rFonts w:ascii="標楷體" w:eastAsia="標楷體" w:hAnsi="標楷體" w:hint="eastAsia"/>
          <w:sz w:val="28"/>
          <w:szCs w:val="28"/>
        </w:rPr>
        <w:t>4</w:t>
      </w:r>
      <w:r w:rsidR="00533830" w:rsidRPr="00751326">
        <w:rPr>
          <w:rFonts w:ascii="標楷體" w:eastAsia="標楷體" w:hAnsi="標楷體" w:hint="eastAsia"/>
          <w:sz w:val="28"/>
          <w:szCs w:val="28"/>
        </w:rPr>
        <w:t>及6</w:t>
      </w:r>
      <w:r w:rsidR="00B9362E" w:rsidRPr="00751326">
        <w:rPr>
          <w:rFonts w:ascii="標楷體" w:eastAsia="標楷體" w:hAnsi="標楷體" w:hint="eastAsia"/>
          <w:sz w:val="28"/>
          <w:szCs w:val="28"/>
        </w:rPr>
        <w:t>5</w:t>
      </w:r>
      <w:r w:rsidR="00533830" w:rsidRPr="00751326">
        <w:rPr>
          <w:rFonts w:ascii="標楷體" w:eastAsia="標楷體" w:hAnsi="標楷體" w:hint="eastAsia"/>
          <w:sz w:val="28"/>
          <w:szCs w:val="28"/>
        </w:rPr>
        <w:t>題。</w:t>
      </w:r>
    </w:p>
    <w:p w:rsidR="009165E0" w:rsidRPr="001F6799" w:rsidRDefault="009165E0" w:rsidP="0073558C">
      <w:pPr>
        <w:numPr>
          <w:ilvl w:val="0"/>
          <w:numId w:val="1"/>
        </w:numPr>
        <w:spacing w:line="360" w:lineRule="exact"/>
        <w:ind w:right="62"/>
        <w:rPr>
          <w:rFonts w:ascii="標楷體" w:eastAsia="標楷體" w:hAnsi="標楷體"/>
          <w:color w:val="000000" w:themeColor="text1"/>
          <w:sz w:val="28"/>
          <w:szCs w:val="28"/>
        </w:rPr>
      </w:pPr>
      <w:r w:rsidRPr="001F6799">
        <w:rPr>
          <w:rFonts w:ascii="標楷體" w:eastAsia="標楷體" w:hAnsi="標楷體" w:hint="eastAsia"/>
          <w:color w:val="000000" w:themeColor="text1"/>
          <w:sz w:val="28"/>
          <w:szCs w:val="28"/>
        </w:rPr>
        <w:t>108年</w:t>
      </w:r>
      <w:r w:rsidRPr="001F6799">
        <w:rPr>
          <w:rFonts w:ascii="標楷體" w:eastAsia="標楷體" w:hAnsi="標楷體"/>
          <w:color w:val="000000" w:themeColor="text1"/>
          <w:sz w:val="28"/>
          <w:szCs w:val="28"/>
        </w:rPr>
        <w:t>3</w:t>
      </w:r>
      <w:r w:rsidRPr="001F6799">
        <w:rPr>
          <w:rFonts w:ascii="標楷體" w:eastAsia="標楷體" w:hAnsi="標楷體" w:hint="eastAsia"/>
          <w:color w:val="000000" w:themeColor="text1"/>
          <w:sz w:val="28"/>
          <w:szCs w:val="28"/>
        </w:rPr>
        <w:t>月</w:t>
      </w:r>
      <w:r w:rsidRPr="001F6799">
        <w:rPr>
          <w:rFonts w:ascii="標楷體" w:eastAsia="標楷體" w:hAnsi="標楷體"/>
          <w:color w:val="000000" w:themeColor="text1"/>
          <w:sz w:val="28"/>
          <w:szCs w:val="28"/>
        </w:rPr>
        <w:t>18</w:t>
      </w:r>
      <w:r w:rsidRPr="001F6799">
        <w:rPr>
          <w:rFonts w:ascii="標楷體" w:eastAsia="標楷體" w:hAnsi="標楷體" w:hint="eastAsia"/>
          <w:color w:val="000000" w:themeColor="text1"/>
          <w:sz w:val="28"/>
          <w:szCs w:val="28"/>
        </w:rPr>
        <w:t>日新增「貳、公報及會計處理」第66題。</w:t>
      </w:r>
    </w:p>
    <w:p w:rsidR="001F6799" w:rsidRDefault="001F6799" w:rsidP="0073558C">
      <w:pPr>
        <w:numPr>
          <w:ilvl w:val="0"/>
          <w:numId w:val="1"/>
        </w:numPr>
        <w:spacing w:line="360" w:lineRule="exact"/>
        <w:ind w:right="62"/>
        <w:rPr>
          <w:rFonts w:ascii="標楷體" w:eastAsia="標楷體" w:hAnsi="標楷體"/>
          <w:color w:val="FF0000"/>
          <w:sz w:val="28"/>
          <w:szCs w:val="28"/>
        </w:rPr>
      </w:pPr>
      <w:r w:rsidRPr="00BD1105">
        <w:rPr>
          <w:rFonts w:ascii="標楷體" w:eastAsia="標楷體" w:hAnsi="標楷體" w:hint="eastAsia"/>
          <w:color w:val="000000" w:themeColor="text1"/>
          <w:sz w:val="28"/>
          <w:szCs w:val="28"/>
        </w:rPr>
        <w:t>108年</w:t>
      </w:r>
      <w:r w:rsidR="00A257BF" w:rsidRPr="00BD1105">
        <w:rPr>
          <w:rFonts w:ascii="標楷體" w:eastAsia="標楷體" w:hAnsi="標楷體"/>
          <w:color w:val="000000" w:themeColor="text1"/>
          <w:sz w:val="28"/>
          <w:szCs w:val="28"/>
        </w:rPr>
        <w:t>9</w:t>
      </w:r>
      <w:r w:rsidRPr="00BD1105">
        <w:rPr>
          <w:rFonts w:ascii="標楷體" w:eastAsia="標楷體" w:hAnsi="標楷體" w:hint="eastAsia"/>
          <w:color w:val="000000" w:themeColor="text1"/>
          <w:sz w:val="28"/>
          <w:szCs w:val="28"/>
        </w:rPr>
        <w:t>月</w:t>
      </w:r>
      <w:r w:rsidR="00A257BF" w:rsidRPr="00BD1105">
        <w:rPr>
          <w:rFonts w:ascii="標楷體" w:eastAsia="標楷體" w:hAnsi="標楷體"/>
          <w:color w:val="000000" w:themeColor="text1"/>
          <w:sz w:val="28"/>
          <w:szCs w:val="28"/>
        </w:rPr>
        <w:t>4</w:t>
      </w:r>
      <w:r w:rsidRPr="00BD1105">
        <w:rPr>
          <w:rFonts w:ascii="標楷體" w:eastAsia="標楷體" w:hAnsi="標楷體" w:hint="eastAsia"/>
          <w:color w:val="000000" w:themeColor="text1"/>
          <w:sz w:val="28"/>
          <w:szCs w:val="28"/>
        </w:rPr>
        <w:t>日新增「貳、公報及會計處理」第6</w:t>
      </w:r>
      <w:r w:rsidR="00A34506" w:rsidRPr="00BD1105">
        <w:rPr>
          <w:rFonts w:ascii="標楷體" w:eastAsia="標楷體" w:hAnsi="標楷體"/>
          <w:color w:val="000000" w:themeColor="text1"/>
          <w:sz w:val="28"/>
          <w:szCs w:val="28"/>
        </w:rPr>
        <w:t>7</w:t>
      </w:r>
      <w:r w:rsidRPr="00BD1105">
        <w:rPr>
          <w:rFonts w:ascii="標楷體" w:eastAsia="標楷體" w:hAnsi="標楷體" w:hint="eastAsia"/>
          <w:color w:val="000000" w:themeColor="text1"/>
          <w:sz w:val="28"/>
          <w:szCs w:val="28"/>
        </w:rPr>
        <w:t>題。</w:t>
      </w:r>
    </w:p>
    <w:p w:rsidR="00BD1105" w:rsidRPr="004F2261" w:rsidRDefault="00BD1105" w:rsidP="0073558C">
      <w:pPr>
        <w:numPr>
          <w:ilvl w:val="0"/>
          <w:numId w:val="1"/>
        </w:numPr>
        <w:spacing w:line="360" w:lineRule="exact"/>
        <w:ind w:right="62"/>
        <w:rPr>
          <w:rFonts w:ascii="標楷體" w:eastAsia="標楷體" w:hAnsi="標楷體"/>
          <w:color w:val="000000" w:themeColor="text1"/>
          <w:sz w:val="28"/>
          <w:szCs w:val="28"/>
        </w:rPr>
      </w:pPr>
      <w:r w:rsidRPr="004F2261">
        <w:rPr>
          <w:rFonts w:ascii="標楷體" w:eastAsia="標楷體" w:hAnsi="標楷體" w:hint="eastAsia"/>
          <w:color w:val="000000" w:themeColor="text1"/>
          <w:sz w:val="28"/>
          <w:szCs w:val="28"/>
        </w:rPr>
        <w:t>109年3月</w:t>
      </w:r>
      <w:r w:rsidRPr="004F2261">
        <w:rPr>
          <w:rFonts w:ascii="標楷體" w:eastAsia="標楷體" w:hAnsi="標楷體"/>
          <w:color w:val="000000" w:themeColor="text1"/>
          <w:sz w:val="28"/>
          <w:szCs w:val="28"/>
        </w:rPr>
        <w:t>1</w:t>
      </w:r>
      <w:r w:rsidR="0070583B" w:rsidRPr="004F2261">
        <w:rPr>
          <w:rFonts w:ascii="標楷體" w:eastAsia="標楷體" w:hAnsi="標楷體" w:hint="eastAsia"/>
          <w:color w:val="000000" w:themeColor="text1"/>
          <w:sz w:val="28"/>
          <w:szCs w:val="28"/>
        </w:rPr>
        <w:t>3</w:t>
      </w:r>
      <w:r w:rsidRPr="004F2261">
        <w:rPr>
          <w:rFonts w:ascii="標楷體" w:eastAsia="標楷體" w:hAnsi="標楷體" w:hint="eastAsia"/>
          <w:color w:val="000000" w:themeColor="text1"/>
          <w:sz w:val="28"/>
          <w:szCs w:val="28"/>
        </w:rPr>
        <w:t>日新增「貳、公報及會計處理」第68、69</w:t>
      </w:r>
      <w:r w:rsidR="0070583B" w:rsidRPr="004F2261">
        <w:rPr>
          <w:rFonts w:ascii="標楷體" w:eastAsia="標楷體" w:hAnsi="標楷體" w:hint="eastAsia"/>
          <w:color w:val="000000" w:themeColor="text1"/>
          <w:sz w:val="28"/>
          <w:szCs w:val="28"/>
        </w:rPr>
        <w:t>、70</w:t>
      </w:r>
      <w:r w:rsidRPr="004F2261">
        <w:rPr>
          <w:rFonts w:ascii="標楷體" w:eastAsia="標楷體" w:hAnsi="標楷體" w:hint="eastAsia"/>
          <w:color w:val="000000" w:themeColor="text1"/>
          <w:sz w:val="28"/>
          <w:szCs w:val="28"/>
        </w:rPr>
        <w:t>及</w:t>
      </w:r>
      <w:r w:rsidR="0070583B" w:rsidRPr="004F2261">
        <w:rPr>
          <w:rFonts w:ascii="標楷體" w:eastAsia="標楷體" w:hAnsi="標楷體" w:hint="eastAsia"/>
          <w:color w:val="000000" w:themeColor="text1"/>
          <w:sz w:val="28"/>
          <w:szCs w:val="28"/>
        </w:rPr>
        <w:t>71</w:t>
      </w:r>
      <w:r w:rsidRPr="004F2261">
        <w:rPr>
          <w:rFonts w:ascii="標楷體" w:eastAsia="標楷體" w:hAnsi="標楷體" w:hint="eastAsia"/>
          <w:color w:val="000000" w:themeColor="text1"/>
          <w:sz w:val="28"/>
          <w:szCs w:val="28"/>
        </w:rPr>
        <w:t>題。</w:t>
      </w:r>
    </w:p>
    <w:p w:rsidR="004F2261" w:rsidRDefault="004F2261" w:rsidP="0073558C">
      <w:pPr>
        <w:numPr>
          <w:ilvl w:val="0"/>
          <w:numId w:val="1"/>
        </w:numPr>
        <w:spacing w:line="360" w:lineRule="exact"/>
        <w:ind w:right="62"/>
        <w:rPr>
          <w:rFonts w:ascii="標楷體" w:eastAsia="標楷體" w:hAnsi="標楷體"/>
          <w:color w:val="FF0000"/>
          <w:sz w:val="28"/>
          <w:szCs w:val="28"/>
        </w:rPr>
      </w:pPr>
      <w:r w:rsidRPr="00B75D92">
        <w:rPr>
          <w:rFonts w:ascii="標楷體" w:eastAsia="標楷體" w:hAnsi="標楷體" w:hint="eastAsia"/>
          <w:sz w:val="28"/>
          <w:szCs w:val="28"/>
        </w:rPr>
        <w:t>109年</w:t>
      </w:r>
      <w:r w:rsidRPr="00B75D92">
        <w:rPr>
          <w:rFonts w:ascii="標楷體" w:eastAsia="標楷體" w:hAnsi="標楷體"/>
          <w:sz w:val="28"/>
          <w:szCs w:val="28"/>
        </w:rPr>
        <w:t>7</w:t>
      </w:r>
      <w:r w:rsidRPr="00B75D92">
        <w:rPr>
          <w:rFonts w:ascii="標楷體" w:eastAsia="標楷體" w:hAnsi="標楷體" w:hint="eastAsia"/>
          <w:sz w:val="28"/>
          <w:szCs w:val="28"/>
        </w:rPr>
        <w:t>月</w:t>
      </w:r>
      <w:r w:rsidRPr="00B75D92">
        <w:rPr>
          <w:rFonts w:ascii="標楷體" w:eastAsia="標楷體" w:hAnsi="標楷體"/>
          <w:sz w:val="28"/>
          <w:szCs w:val="28"/>
        </w:rPr>
        <w:t>28</w:t>
      </w:r>
      <w:r w:rsidRPr="00B75D92">
        <w:rPr>
          <w:rFonts w:ascii="標楷體" w:eastAsia="標楷體" w:hAnsi="標楷體" w:hint="eastAsia"/>
          <w:sz w:val="28"/>
          <w:szCs w:val="28"/>
        </w:rPr>
        <w:t>日新增「貳、公報及會計處理」</w:t>
      </w:r>
      <w:r w:rsidR="00215D41" w:rsidRPr="00B75D92">
        <w:rPr>
          <w:rFonts w:ascii="標楷體" w:eastAsia="標楷體" w:hAnsi="標楷體" w:hint="eastAsia"/>
          <w:sz w:val="28"/>
          <w:szCs w:val="28"/>
        </w:rPr>
        <w:t>第72、73、74題。</w:t>
      </w:r>
    </w:p>
    <w:p w:rsidR="00B972C0" w:rsidRPr="00B972C0" w:rsidRDefault="00B75D92" w:rsidP="0073558C">
      <w:pPr>
        <w:numPr>
          <w:ilvl w:val="0"/>
          <w:numId w:val="1"/>
        </w:numPr>
        <w:spacing w:line="360" w:lineRule="exact"/>
        <w:ind w:right="62"/>
        <w:rPr>
          <w:rFonts w:ascii="標楷體" w:eastAsia="標楷體" w:hAnsi="標楷體"/>
          <w:sz w:val="28"/>
          <w:szCs w:val="28"/>
        </w:rPr>
      </w:pPr>
      <w:r w:rsidRPr="00B972C0">
        <w:rPr>
          <w:rFonts w:ascii="標楷體" w:eastAsia="標楷體" w:hAnsi="標楷體" w:hint="eastAsia"/>
          <w:sz w:val="28"/>
          <w:szCs w:val="28"/>
        </w:rPr>
        <w:t>113年1月5日刪除「貳、公報及會計處理」第9題及</w:t>
      </w:r>
      <w:r w:rsidR="00A843AD" w:rsidRPr="00B972C0">
        <w:rPr>
          <w:rFonts w:ascii="標楷體" w:eastAsia="標楷體" w:hAnsi="標楷體" w:hint="eastAsia"/>
          <w:sz w:val="28"/>
          <w:szCs w:val="28"/>
        </w:rPr>
        <w:t>更新</w:t>
      </w:r>
      <w:r w:rsidR="001E4515" w:rsidRPr="00B972C0">
        <w:rPr>
          <w:rFonts w:ascii="標楷體" w:eastAsia="標楷體" w:hAnsi="標楷體" w:hint="eastAsia"/>
          <w:sz w:val="28"/>
          <w:szCs w:val="28"/>
        </w:rPr>
        <w:t>「貳、公報及會計處理」</w:t>
      </w:r>
      <w:r w:rsidRPr="00B972C0">
        <w:rPr>
          <w:rFonts w:ascii="標楷體" w:eastAsia="標楷體" w:hAnsi="標楷體" w:hint="eastAsia"/>
          <w:sz w:val="28"/>
          <w:szCs w:val="28"/>
        </w:rPr>
        <w:t>第68題</w:t>
      </w:r>
      <w:r w:rsidR="001E4515" w:rsidRPr="00B972C0">
        <w:rPr>
          <w:rFonts w:ascii="標楷體" w:eastAsia="標楷體" w:hAnsi="標楷體" w:hint="eastAsia"/>
          <w:sz w:val="28"/>
          <w:szCs w:val="28"/>
        </w:rPr>
        <w:t>。</w:t>
      </w:r>
    </w:p>
    <w:p w:rsidR="003B3029" w:rsidRPr="00DC32EB" w:rsidRDefault="00B972C0" w:rsidP="0073558C">
      <w:pPr>
        <w:numPr>
          <w:ilvl w:val="0"/>
          <w:numId w:val="1"/>
        </w:numPr>
        <w:spacing w:line="360" w:lineRule="exact"/>
        <w:ind w:right="62"/>
        <w:rPr>
          <w:rFonts w:ascii="標楷體" w:eastAsia="標楷體" w:hAnsi="標楷體"/>
          <w:color w:val="000000" w:themeColor="text1"/>
          <w:sz w:val="28"/>
          <w:szCs w:val="28"/>
        </w:rPr>
      </w:pPr>
      <w:r w:rsidRPr="00DC32EB">
        <w:rPr>
          <w:rFonts w:ascii="標楷體" w:eastAsia="標楷體" w:hAnsi="標楷體" w:hint="eastAsia"/>
          <w:color w:val="000000" w:themeColor="text1"/>
          <w:sz w:val="28"/>
          <w:szCs w:val="28"/>
        </w:rPr>
        <w:t>113年12月6日新增「貳、公報及會計處理」第75題。</w:t>
      </w:r>
    </w:p>
    <w:p w:rsidR="00DC32EB" w:rsidRPr="001E4515" w:rsidRDefault="00DC32EB" w:rsidP="0073558C">
      <w:pPr>
        <w:numPr>
          <w:ilvl w:val="0"/>
          <w:numId w:val="1"/>
        </w:numPr>
        <w:spacing w:line="360" w:lineRule="exact"/>
        <w:ind w:right="62"/>
        <w:rPr>
          <w:rFonts w:ascii="標楷體" w:eastAsia="標楷體" w:hAnsi="標楷體"/>
          <w:color w:val="FF0000"/>
          <w:sz w:val="28"/>
          <w:szCs w:val="28"/>
        </w:rPr>
      </w:pPr>
      <w:r>
        <w:rPr>
          <w:rFonts w:ascii="標楷體" w:eastAsia="標楷體" w:hAnsi="標楷體" w:hint="eastAsia"/>
          <w:color w:val="FF0000"/>
          <w:sz w:val="28"/>
          <w:szCs w:val="28"/>
        </w:rPr>
        <w:t>114</w:t>
      </w:r>
      <w:r w:rsidRPr="001E4515">
        <w:rPr>
          <w:rFonts w:ascii="標楷體" w:eastAsia="標楷體" w:hAnsi="標楷體" w:hint="eastAsia"/>
          <w:color w:val="FF0000"/>
          <w:sz w:val="28"/>
          <w:szCs w:val="28"/>
        </w:rPr>
        <w:t>年</w:t>
      </w:r>
      <w:r w:rsidR="00AB17CE">
        <w:rPr>
          <w:rFonts w:ascii="標楷體" w:eastAsia="標楷體" w:hAnsi="標楷體" w:hint="eastAsia"/>
          <w:color w:val="FF0000"/>
          <w:sz w:val="28"/>
          <w:szCs w:val="28"/>
        </w:rPr>
        <w:t>4</w:t>
      </w:r>
      <w:r w:rsidRPr="001E4515">
        <w:rPr>
          <w:rFonts w:ascii="標楷體" w:eastAsia="標楷體" w:hAnsi="標楷體" w:hint="eastAsia"/>
          <w:color w:val="FF0000"/>
          <w:sz w:val="28"/>
          <w:szCs w:val="28"/>
        </w:rPr>
        <w:t>月</w:t>
      </w:r>
      <w:r w:rsidR="00AB17CE">
        <w:rPr>
          <w:rFonts w:ascii="標楷體" w:eastAsia="標楷體" w:hAnsi="標楷體" w:hint="eastAsia"/>
          <w:color w:val="FF0000"/>
          <w:sz w:val="28"/>
          <w:szCs w:val="28"/>
        </w:rPr>
        <w:t>8</w:t>
      </w:r>
      <w:r w:rsidRPr="001E4515">
        <w:rPr>
          <w:rFonts w:ascii="標楷體" w:eastAsia="標楷體" w:hAnsi="標楷體" w:hint="eastAsia"/>
          <w:color w:val="FF0000"/>
          <w:sz w:val="28"/>
          <w:szCs w:val="28"/>
        </w:rPr>
        <w:t>日</w:t>
      </w:r>
      <w:r>
        <w:rPr>
          <w:rFonts w:ascii="標楷體" w:eastAsia="標楷體" w:hAnsi="標楷體" w:hint="eastAsia"/>
          <w:color w:val="FF0000"/>
          <w:sz w:val="28"/>
          <w:szCs w:val="28"/>
        </w:rPr>
        <w:t>新增</w:t>
      </w:r>
      <w:r w:rsidRPr="001E4515">
        <w:rPr>
          <w:rFonts w:ascii="標楷體" w:eastAsia="標楷體" w:hAnsi="標楷體" w:hint="eastAsia"/>
          <w:color w:val="FF0000"/>
          <w:sz w:val="28"/>
          <w:szCs w:val="28"/>
        </w:rPr>
        <w:t>「貳、公報及會計處理」第</w:t>
      </w:r>
      <w:r w:rsidRPr="006847F6">
        <w:rPr>
          <w:rFonts w:ascii="標楷體" w:eastAsia="標楷體" w:hAnsi="標楷體" w:hint="eastAsia"/>
          <w:color w:val="FF0000"/>
          <w:sz w:val="28"/>
          <w:szCs w:val="28"/>
        </w:rPr>
        <w:t>76</w:t>
      </w:r>
      <w:r w:rsidRPr="001E4515">
        <w:rPr>
          <w:rFonts w:ascii="標楷體" w:eastAsia="標楷體" w:hAnsi="標楷體" w:hint="eastAsia"/>
          <w:color w:val="FF0000"/>
          <w:sz w:val="28"/>
          <w:szCs w:val="28"/>
        </w:rPr>
        <w:t>題。</w:t>
      </w:r>
    </w:p>
    <w:tbl>
      <w:tblPr>
        <w:tblW w:w="14743"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5953"/>
        <w:gridCol w:w="5245"/>
        <w:gridCol w:w="1418"/>
        <w:gridCol w:w="1417"/>
      </w:tblGrid>
      <w:tr w:rsidR="00F4328B" w:rsidRPr="00F4328B" w:rsidTr="00AC2F26">
        <w:trPr>
          <w:tblHeader/>
        </w:trPr>
        <w:tc>
          <w:tcPr>
            <w:tcW w:w="710" w:type="dxa"/>
            <w:tcBorders>
              <w:bottom w:val="single" w:sz="4" w:space="0" w:color="auto"/>
            </w:tcBorders>
            <w:vAlign w:val="center"/>
          </w:tcPr>
          <w:p w:rsidR="00F4328B" w:rsidRPr="00F4328B" w:rsidRDefault="00F4328B" w:rsidP="008B4DE4">
            <w:pPr>
              <w:snapToGrid w:val="0"/>
              <w:jc w:val="center"/>
              <w:outlineLvl w:val="0"/>
              <w:rPr>
                <w:rFonts w:ascii="標楷體" w:eastAsia="標楷體" w:hAnsi="標楷體"/>
                <w:b/>
              </w:rPr>
            </w:pPr>
            <w:r w:rsidRPr="00F4328B">
              <w:rPr>
                <w:rFonts w:ascii="標楷體" w:eastAsia="標楷體" w:hAnsi="標楷體"/>
                <w:b/>
              </w:rPr>
              <w:t>項次</w:t>
            </w:r>
          </w:p>
        </w:tc>
        <w:tc>
          <w:tcPr>
            <w:tcW w:w="5953" w:type="dxa"/>
            <w:tcBorders>
              <w:bottom w:val="single" w:sz="4" w:space="0" w:color="auto"/>
            </w:tcBorders>
            <w:vAlign w:val="center"/>
          </w:tcPr>
          <w:p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問題內容</w:t>
            </w:r>
          </w:p>
        </w:tc>
        <w:tc>
          <w:tcPr>
            <w:tcW w:w="5245" w:type="dxa"/>
            <w:tcBorders>
              <w:bottom w:val="single" w:sz="4" w:space="0" w:color="auto"/>
            </w:tcBorders>
            <w:vAlign w:val="center"/>
          </w:tcPr>
          <w:p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回答</w:t>
            </w:r>
          </w:p>
        </w:tc>
        <w:tc>
          <w:tcPr>
            <w:tcW w:w="1418" w:type="dxa"/>
            <w:tcBorders>
              <w:bottom w:val="single" w:sz="4" w:space="0" w:color="auto"/>
            </w:tcBorders>
          </w:tcPr>
          <w:p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備註</w:t>
            </w:r>
          </w:p>
        </w:tc>
        <w:tc>
          <w:tcPr>
            <w:tcW w:w="1417" w:type="dxa"/>
            <w:tcBorders>
              <w:bottom w:val="single" w:sz="4" w:space="0" w:color="auto"/>
            </w:tcBorders>
          </w:tcPr>
          <w:p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修訂日期</w:t>
            </w:r>
          </w:p>
        </w:tc>
      </w:tr>
      <w:tr w:rsidR="00E917C4" w:rsidRPr="00F4328B" w:rsidTr="00AC2F26">
        <w:trPr>
          <w:trHeight w:val="209"/>
        </w:trPr>
        <w:tc>
          <w:tcPr>
            <w:tcW w:w="14743" w:type="dxa"/>
            <w:gridSpan w:val="5"/>
          </w:tcPr>
          <w:p w:rsidR="00A55AD6" w:rsidRPr="00A55AD6" w:rsidRDefault="00E917C4" w:rsidP="0073558C">
            <w:pPr>
              <w:pStyle w:val="af1"/>
              <w:numPr>
                <w:ilvl w:val="0"/>
                <w:numId w:val="3"/>
              </w:numPr>
              <w:snapToGrid w:val="0"/>
              <w:ind w:leftChars="0"/>
              <w:jc w:val="center"/>
              <w:rPr>
                <w:rFonts w:ascii="標楷體" w:eastAsia="標楷體" w:hAnsi="標楷體"/>
                <w:b/>
                <w:sz w:val="28"/>
                <w:szCs w:val="28"/>
              </w:rPr>
            </w:pPr>
            <w:r w:rsidRPr="00A55AD6">
              <w:rPr>
                <w:rFonts w:ascii="標楷體" w:eastAsia="標楷體" w:hAnsi="標楷體" w:hint="eastAsia"/>
                <w:b/>
                <w:sz w:val="28"/>
                <w:szCs w:val="28"/>
              </w:rPr>
              <w:t>政策及法規</w:t>
            </w: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由於合併財務報表與個體財務報表之母公司損益應為一致，在母公司個體財務報表中，對於合併與個體之會計處理差異，應如何處理？相關損益如何調整？例如：</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1.</w:t>
            </w:r>
            <w:r w:rsidR="00F4328B" w:rsidRPr="00D876AB">
              <w:rPr>
                <w:rFonts w:ascii="標楷體" w:eastAsia="標楷體" w:hAnsi="標楷體" w:hint="eastAsia"/>
              </w:rPr>
              <w:t>利息資本化之認定不同，合併財務報表可作資本化，但個體財務報表不可，導致個體財務報表中須認列較多利息費用。</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2.</w:t>
            </w:r>
            <w:r w:rsidR="00F4328B" w:rsidRPr="00D876AB">
              <w:rPr>
                <w:rFonts w:ascii="標楷體" w:eastAsia="標楷體" w:hAnsi="標楷體" w:hint="eastAsia"/>
              </w:rPr>
              <w:t>母子公司之長期融資借款</w:t>
            </w:r>
            <w:r w:rsidR="00F4328B" w:rsidRPr="00D876AB">
              <w:rPr>
                <w:rFonts w:ascii="標楷體" w:eastAsia="標楷體" w:hAnsi="標楷體"/>
              </w:rPr>
              <w:t>(</w:t>
            </w:r>
            <w:proofErr w:type="gramStart"/>
            <w:r w:rsidR="00F4328B" w:rsidRPr="00D876AB">
              <w:rPr>
                <w:rFonts w:ascii="標楷體" w:eastAsia="標楷體" w:hAnsi="標楷體" w:hint="eastAsia"/>
              </w:rPr>
              <w:t>幣別非子公司</w:t>
            </w:r>
            <w:proofErr w:type="gramEnd"/>
            <w:r w:rsidR="00F4328B" w:rsidRPr="00D876AB">
              <w:rPr>
                <w:rFonts w:ascii="標楷體" w:eastAsia="標楷體" w:hAnsi="標楷體" w:hint="eastAsia"/>
              </w:rPr>
              <w:t>之功能性貨</w:t>
            </w:r>
            <w:r w:rsidR="00F4328B" w:rsidRPr="00D876AB">
              <w:rPr>
                <w:rFonts w:ascii="標楷體" w:eastAsia="標楷體" w:hAnsi="標楷體" w:hint="eastAsia"/>
              </w:rPr>
              <w:lastRenderedPageBreak/>
              <w:t>幣</w:t>
            </w:r>
            <w:r w:rsidR="00F4328B" w:rsidRPr="00D876AB">
              <w:rPr>
                <w:rFonts w:ascii="標楷體" w:eastAsia="標楷體" w:hAnsi="標楷體"/>
              </w:rPr>
              <w:t>)，子公司之個別財務財報會認列兌換損益，</w:t>
            </w:r>
            <w:proofErr w:type="gramStart"/>
            <w:r w:rsidR="00F4328B" w:rsidRPr="00D876AB">
              <w:rPr>
                <w:rFonts w:ascii="標楷體" w:eastAsia="標楷體" w:hAnsi="標楷體" w:hint="eastAsia"/>
              </w:rPr>
              <w:t>則母公司</w:t>
            </w:r>
            <w:proofErr w:type="gramEnd"/>
            <w:r w:rsidR="00F4328B" w:rsidRPr="00D876AB">
              <w:rPr>
                <w:rFonts w:ascii="標楷體" w:eastAsia="標楷體" w:hAnsi="標楷體" w:hint="eastAsia"/>
              </w:rPr>
              <w:t>認列的投資損益是否要包括此類兌換損益？另合併時計算子公司之累積換算調整數時，是否需先迴轉前述兌換損益？</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3.</w:t>
            </w:r>
            <w:r w:rsidR="00F4328B" w:rsidRPr="00D876AB">
              <w:rPr>
                <w:rFonts w:ascii="標楷體" w:eastAsia="標楷體" w:hAnsi="標楷體" w:hint="eastAsia"/>
              </w:rPr>
              <w:t>集團公司間資產之移轉</w:t>
            </w:r>
            <w:r>
              <w:rPr>
                <w:rFonts w:ascii="標楷體" w:eastAsia="標楷體" w:hAnsi="標楷體" w:hint="eastAsia"/>
              </w:rPr>
              <w:t>，</w:t>
            </w:r>
            <w:r w:rsidR="00F4328B" w:rsidRPr="00D876AB">
              <w:rPr>
                <w:rFonts w:ascii="標楷體" w:eastAsia="標楷體" w:hAnsi="標楷體"/>
              </w:rPr>
              <w:t>於合併財務報表中遞延所得稅係依課稅基礎之變動按買方之稅率認列</w:t>
            </w:r>
            <w:r>
              <w:rPr>
                <w:rFonts w:ascii="標楷體" w:eastAsia="標楷體" w:hAnsi="標楷體" w:hint="eastAsia"/>
              </w:rPr>
              <w:t>，</w:t>
            </w:r>
            <w:r w:rsidR="00F4328B" w:rsidRPr="00D876AB">
              <w:rPr>
                <w:rFonts w:ascii="標楷體" w:eastAsia="標楷體" w:hAnsi="標楷體"/>
              </w:rPr>
              <w:t>則於個體財務報表是否亦應比照辦理而須將影響金額反映於權益法認列投資損益?</w:t>
            </w:r>
            <w:r w:rsidR="00F4328B" w:rsidRPr="00D876AB">
              <w:rPr>
                <w:rFonts w:ascii="標楷體" w:eastAsia="標楷體" w:hAnsi="標楷體" w:hint="eastAsia"/>
              </w:rPr>
              <w:t>又相關遞延資產</w:t>
            </w:r>
            <w:r>
              <w:rPr>
                <w:rFonts w:ascii="標楷體" w:eastAsia="標楷體" w:hAnsi="標楷體" w:hint="eastAsia"/>
              </w:rPr>
              <w:t>、</w:t>
            </w:r>
            <w:r w:rsidR="00F4328B" w:rsidRPr="00D876AB">
              <w:rPr>
                <w:rFonts w:ascii="標楷體" w:eastAsia="標楷體" w:hAnsi="標楷體" w:hint="eastAsia"/>
              </w:rPr>
              <w:t>負債之衡量</w:t>
            </w:r>
            <w:r>
              <w:rPr>
                <w:rFonts w:ascii="標楷體" w:eastAsia="標楷體" w:hAnsi="標楷體" w:hint="eastAsia"/>
              </w:rPr>
              <w:t>，</w:t>
            </w:r>
            <w:r w:rsidR="00F4328B" w:rsidRPr="00D876AB">
              <w:rPr>
                <w:rFonts w:ascii="標楷體" w:eastAsia="標楷體" w:hAnsi="標楷體"/>
              </w:rPr>
              <w:t>於個體財務報表應</w:t>
            </w:r>
            <w:proofErr w:type="gramStart"/>
            <w:r w:rsidR="00F4328B" w:rsidRPr="00D876AB">
              <w:rPr>
                <w:rFonts w:ascii="標楷體" w:eastAsia="標楷體" w:hAnsi="標楷體" w:hint="eastAsia"/>
              </w:rPr>
              <w:t>採</w:t>
            </w:r>
            <w:proofErr w:type="gramEnd"/>
            <w:r w:rsidR="00F4328B" w:rsidRPr="00D876AB">
              <w:rPr>
                <w:rFonts w:ascii="標楷體" w:eastAsia="標楷體" w:hAnsi="標楷體" w:hint="eastAsia"/>
              </w:rPr>
              <w:t>何種稅率</w:t>
            </w:r>
            <w:r w:rsidR="00F4328B" w:rsidRPr="00D876AB">
              <w:rPr>
                <w:rFonts w:ascii="標楷體" w:eastAsia="標楷體" w:hAnsi="標楷體"/>
              </w:rPr>
              <w:t>?</w:t>
            </w:r>
          </w:p>
          <w:p w:rsidR="00F4328B"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4.</w:t>
            </w:r>
            <w:r w:rsidR="00F4328B" w:rsidRPr="00D876AB">
              <w:rPr>
                <w:rFonts w:ascii="標楷體" w:eastAsia="標楷體" w:hAnsi="標楷體" w:hint="eastAsia"/>
              </w:rPr>
              <w:t>母公司為子公司背書保證</w:t>
            </w:r>
            <w:r>
              <w:rPr>
                <w:rFonts w:ascii="標楷體" w:eastAsia="標楷體" w:hAnsi="標楷體" w:hint="eastAsia"/>
              </w:rPr>
              <w:t>，</w:t>
            </w:r>
            <w:r w:rsidR="00F4328B" w:rsidRPr="00D876AB">
              <w:rPr>
                <w:rFonts w:ascii="標楷體" w:eastAsia="標楷體" w:hAnsi="標楷體"/>
              </w:rPr>
              <w:t>在IFRS單獨財務報表須視為資本投入</w:t>
            </w:r>
            <w:r>
              <w:rPr>
                <w:rFonts w:ascii="標楷體" w:eastAsia="標楷體" w:hAnsi="標楷體" w:hint="eastAsia"/>
              </w:rPr>
              <w:t>，</w:t>
            </w:r>
            <w:r w:rsidR="00F4328B" w:rsidRPr="00D876AB">
              <w:rPr>
                <w:rFonts w:ascii="標楷體" w:eastAsia="標楷體" w:hAnsi="標楷體"/>
              </w:rPr>
              <w:t>合併則予以沖轉</w:t>
            </w:r>
            <w:r>
              <w:rPr>
                <w:rFonts w:ascii="標楷體" w:eastAsia="標楷體" w:hAnsi="標楷體" w:hint="eastAsia"/>
              </w:rPr>
              <w:t>，</w:t>
            </w:r>
            <w:proofErr w:type="gramStart"/>
            <w:r w:rsidR="00F4328B" w:rsidRPr="00D876AB">
              <w:rPr>
                <w:rFonts w:ascii="標楷體" w:eastAsia="標楷體" w:hAnsi="標楷體" w:hint="eastAsia"/>
              </w:rPr>
              <w:t>未來於編製</w:t>
            </w:r>
            <w:proofErr w:type="gramEnd"/>
            <w:r w:rsidR="00F4328B" w:rsidRPr="00D876AB">
              <w:rPr>
                <w:rFonts w:ascii="標楷體" w:eastAsia="標楷體" w:hAnsi="標楷體" w:hint="eastAsia"/>
              </w:rPr>
              <w:t>個體財務報表時</w:t>
            </w:r>
            <w:r>
              <w:rPr>
                <w:rFonts w:ascii="標楷體" w:eastAsia="標楷體" w:hAnsi="標楷體" w:hint="eastAsia"/>
              </w:rPr>
              <w:t>，</w:t>
            </w:r>
            <w:r w:rsidR="00F4328B" w:rsidRPr="00D876AB">
              <w:rPr>
                <w:rFonts w:ascii="標楷體" w:eastAsia="標楷體" w:hAnsi="標楷體"/>
              </w:rPr>
              <w:t>應如何處理?</w:t>
            </w:r>
            <w:r w:rsidR="00F4328B" w:rsidRPr="00D876AB">
              <w:rPr>
                <w:rFonts w:ascii="標楷體" w:eastAsia="標楷體" w:hAnsi="標楷體" w:hint="eastAsia"/>
              </w:rPr>
              <w:t>是否亦須認列為資本投入</w:t>
            </w:r>
            <w:r w:rsidR="00F4328B" w:rsidRPr="00D876AB">
              <w:rPr>
                <w:rFonts w:ascii="標楷體" w:eastAsia="標楷體" w:hAnsi="標楷體"/>
              </w:rPr>
              <w:t>?若應認列</w:t>
            </w:r>
            <w:r>
              <w:rPr>
                <w:rFonts w:ascii="標楷體" w:eastAsia="標楷體" w:hAnsi="標楷體" w:hint="eastAsia"/>
              </w:rPr>
              <w:t>，</w:t>
            </w:r>
            <w:r w:rsidR="00F4328B" w:rsidRPr="00D876AB">
              <w:rPr>
                <w:rFonts w:ascii="標楷體" w:eastAsia="標楷體" w:hAnsi="標楷體"/>
              </w:rPr>
              <w:t>是否又會影響權益法認列金額?</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lastRenderedPageBreak/>
              <w:t>依會計</w:t>
            </w:r>
            <w:r w:rsidRPr="00F4328B">
              <w:rPr>
                <w:rFonts w:ascii="標楷體" w:eastAsia="標楷體" w:hAnsi="標楷體"/>
              </w:rPr>
              <w:t>研究</w:t>
            </w:r>
            <w:r w:rsidRPr="00F4328B">
              <w:rPr>
                <w:rFonts w:ascii="標楷體" w:eastAsia="標楷體" w:hAnsi="標楷體" w:hint="eastAsia"/>
              </w:rPr>
              <w:t>發</w:t>
            </w:r>
            <w:r w:rsidRPr="00F4328B">
              <w:rPr>
                <w:rFonts w:ascii="標楷體" w:eastAsia="標楷體" w:hAnsi="標楷體"/>
              </w:rPr>
              <w:t>展基金會之IFRS問答集及</w:t>
            </w:r>
            <w:r w:rsidRPr="00F4328B">
              <w:rPr>
                <w:rFonts w:ascii="標楷體" w:eastAsia="標楷體" w:hAnsi="標楷體" w:hint="eastAsia"/>
              </w:rPr>
              <w:t>IFRSs</w:t>
            </w:r>
            <w:proofErr w:type="gramStart"/>
            <w:r w:rsidRPr="00F4328B">
              <w:rPr>
                <w:rFonts w:ascii="標楷體" w:eastAsia="標楷體" w:hAnsi="標楷體" w:hint="eastAsia"/>
              </w:rPr>
              <w:t>釋</w:t>
            </w:r>
            <w:r w:rsidRPr="00F4328B">
              <w:rPr>
                <w:rFonts w:ascii="標楷體" w:eastAsia="標楷體" w:hAnsi="標楷體"/>
              </w:rPr>
              <w:t>例範本</w:t>
            </w:r>
            <w:proofErr w:type="gramEnd"/>
            <w:r w:rsidRPr="00F4328B">
              <w:rPr>
                <w:rFonts w:ascii="標楷體" w:eastAsia="標楷體" w:hAnsi="標楷體" w:hint="eastAsia"/>
              </w:rPr>
              <w:t>處理。</w:t>
            </w:r>
          </w:p>
          <w:p w:rsidR="00F4328B" w:rsidRPr="00F4328B" w:rsidRDefault="00F4328B" w:rsidP="008B4DE4">
            <w:pPr>
              <w:snapToGrid w:val="0"/>
              <w:rPr>
                <w:rFonts w:ascii="標楷體" w:eastAsia="標楷體" w:hAnsi="標楷體"/>
              </w:rPr>
            </w:pP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投資性不動產需揭露公允價值，如母公司投資性不動產僅出租予集團內的子公司，是否於母公司之個體財務報表得不揭露該公允價值的資訊嗎？</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母公司個體財務報告之編製，仍</w:t>
            </w:r>
            <w:proofErr w:type="gramStart"/>
            <w:r w:rsidRPr="00F4328B">
              <w:rPr>
                <w:rFonts w:ascii="標楷體" w:eastAsia="標楷體" w:hAnsi="標楷體" w:hint="eastAsia"/>
              </w:rPr>
              <w:t>應依編製</w:t>
            </w:r>
            <w:proofErr w:type="gramEnd"/>
            <w:r w:rsidRPr="00F4328B">
              <w:rPr>
                <w:rFonts w:ascii="標楷體" w:eastAsia="標楷體" w:hAnsi="標楷體" w:hint="eastAsia"/>
              </w:rPr>
              <w:t>準則及</w:t>
            </w:r>
            <w:r w:rsidRPr="00F4328B">
              <w:rPr>
                <w:rFonts w:ascii="標楷體" w:eastAsia="標楷體" w:hAnsi="標楷體"/>
              </w:rPr>
              <w:t>IFRSs規定，揭露公允價值資訊。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rPr>
              <w:t>IFRS 8</w:t>
            </w:r>
            <w:r w:rsidR="00B927CD">
              <w:rPr>
                <w:rFonts w:ascii="標楷體" w:eastAsia="標楷體" w:hAnsi="標楷體" w:hint="eastAsia"/>
              </w:rPr>
              <w:t>第</w:t>
            </w:r>
            <w:r w:rsidRPr="00F4328B">
              <w:rPr>
                <w:rFonts w:ascii="標楷體" w:eastAsia="標楷體" w:hAnsi="標楷體"/>
              </w:rPr>
              <w:t>4</w:t>
            </w:r>
            <w:r w:rsidR="00B927CD">
              <w:rPr>
                <w:rFonts w:ascii="標楷體" w:eastAsia="標楷體" w:hAnsi="標楷體" w:hint="eastAsia"/>
              </w:rPr>
              <w:t>段</w:t>
            </w:r>
            <w:r w:rsidRPr="00F4328B">
              <w:rPr>
                <w:rFonts w:ascii="標楷體" w:eastAsia="標楷體" w:hAnsi="標楷體"/>
              </w:rPr>
              <w:t>規定如果</w:t>
            </w:r>
            <w:r w:rsidR="00B927CD">
              <w:rPr>
                <w:rFonts w:ascii="標楷體" w:eastAsia="標楷體" w:hAnsi="標楷體" w:hint="eastAsia"/>
              </w:rPr>
              <w:t>「</w:t>
            </w:r>
            <w:r w:rsidRPr="00F4328B">
              <w:rPr>
                <w:rFonts w:ascii="標楷體" w:eastAsia="標楷體" w:hAnsi="標楷體"/>
              </w:rPr>
              <w:t>單獨財報</w:t>
            </w:r>
            <w:r w:rsidR="00B927CD">
              <w:rPr>
                <w:rFonts w:ascii="標楷體" w:eastAsia="標楷體" w:hAnsi="標楷體" w:hint="eastAsia"/>
              </w:rPr>
              <w:t>」</w:t>
            </w:r>
            <w:r w:rsidRPr="00F4328B">
              <w:rPr>
                <w:rFonts w:ascii="標楷體" w:eastAsia="標楷體" w:hAnsi="標楷體"/>
              </w:rPr>
              <w:t>與</w:t>
            </w:r>
            <w:r w:rsidR="00B927CD">
              <w:rPr>
                <w:rFonts w:ascii="標楷體" w:eastAsia="標楷體" w:hAnsi="標楷體" w:hint="eastAsia"/>
              </w:rPr>
              <w:t>「</w:t>
            </w:r>
            <w:r w:rsidRPr="00F4328B">
              <w:rPr>
                <w:rFonts w:ascii="標楷體" w:eastAsia="標楷體" w:hAnsi="標楷體"/>
              </w:rPr>
              <w:t>合併財報</w:t>
            </w:r>
            <w:r w:rsidR="00B927CD">
              <w:rPr>
                <w:rFonts w:ascii="標楷體" w:eastAsia="標楷體" w:hAnsi="標楷體" w:hint="eastAsia"/>
              </w:rPr>
              <w:t>」</w:t>
            </w:r>
            <w:r w:rsidRPr="00F4328B">
              <w:rPr>
                <w:rFonts w:ascii="標楷體" w:eastAsia="標楷體" w:hAnsi="標楷體"/>
              </w:rPr>
              <w:t>放在同一份報告中，才可以只揭露"合併"的營運部門資訊。因我國實務運作並不會將兩種報表放在同一份報告中，且我國</w:t>
            </w:r>
            <w:r w:rsidR="00B927CD">
              <w:rPr>
                <w:rFonts w:ascii="標楷體" w:eastAsia="標楷體" w:hAnsi="標楷體" w:hint="eastAsia"/>
              </w:rPr>
              <w:t>係</w:t>
            </w:r>
            <w:r w:rsidRPr="00F4328B">
              <w:rPr>
                <w:rFonts w:ascii="標楷體" w:eastAsia="標楷體" w:hAnsi="標楷體"/>
              </w:rPr>
              <w:t>編製「個體財報」而非IFRS之單獨財報。為使適用IFRS前後之部門資訊揭露方式較為一致，是否</w:t>
            </w:r>
            <w:proofErr w:type="gramStart"/>
            <w:r w:rsidRPr="00F4328B">
              <w:rPr>
                <w:rFonts w:ascii="標楷體" w:eastAsia="標楷體" w:hAnsi="標楷體" w:hint="eastAsia"/>
              </w:rPr>
              <w:t>將於編製</w:t>
            </w:r>
            <w:proofErr w:type="gramEnd"/>
            <w:r w:rsidRPr="00F4328B">
              <w:rPr>
                <w:rFonts w:ascii="標楷體" w:eastAsia="標楷體" w:hAnsi="標楷體" w:hint="eastAsia"/>
              </w:rPr>
              <w:t>準則或其他法規中規定「企業若已於合併財報揭露部門資訊，則</w:t>
            </w:r>
            <w:r w:rsidRPr="00F4328B">
              <w:rPr>
                <w:rFonts w:ascii="標楷體" w:eastAsia="標楷體" w:hAnsi="標楷體"/>
              </w:rPr>
              <w:t>"個體"財報得不揭露營運部門資訊」？</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證券發行人財務報告編製準則第22條規定，編製個體財務報告</w:t>
            </w:r>
            <w:proofErr w:type="gramStart"/>
            <w:r w:rsidRPr="00F4328B">
              <w:rPr>
                <w:rFonts w:ascii="標楷體" w:eastAsia="標楷體" w:hAnsi="標楷體" w:hint="eastAsia"/>
              </w:rPr>
              <w:t>得免編製</w:t>
            </w:r>
            <w:proofErr w:type="gramEnd"/>
            <w:r w:rsidRPr="00F4328B">
              <w:rPr>
                <w:rFonts w:ascii="標楷體" w:eastAsia="標楷體" w:hAnsi="標楷體"/>
              </w:rPr>
              <w:t>IFRS 8規範之部門資訊。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4</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首次適用IFRS時，母公司合併財務報表已揭露</w:t>
            </w:r>
            <w:r w:rsidRPr="00F4328B">
              <w:rPr>
                <w:rFonts w:ascii="標楷體" w:eastAsia="標楷體" w:hAnsi="標楷體"/>
              </w:rPr>
              <w:t>IFRS之調節項目，該公司及其所屬子公司之個體財務報表是否得免揭露該等IFRS調節資訊？</w:t>
            </w:r>
          </w:p>
        </w:tc>
        <w:tc>
          <w:tcPr>
            <w:tcW w:w="5245"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 xml:space="preserve">1.依IFRS1第23段之規定，企業應說明由先前之一般公認會計原則轉換至國際財務報導準則，如何影響其所報導之財務狀況、財務績效及現金流量。    </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2.另依</w:t>
            </w:r>
            <w:r w:rsidR="00D876AB" w:rsidRPr="00D876AB">
              <w:rPr>
                <w:rFonts w:ascii="標楷體" w:eastAsia="標楷體" w:hAnsi="標楷體"/>
              </w:rPr>
              <w:t>IFRS1</w:t>
            </w:r>
            <w:r w:rsidR="00D876AB">
              <w:rPr>
                <w:rFonts w:ascii="標楷體" w:eastAsia="標楷體" w:hAnsi="標楷體" w:hint="eastAsia"/>
              </w:rPr>
              <w:t>第</w:t>
            </w:r>
            <w:r w:rsidRPr="00F4328B">
              <w:rPr>
                <w:rFonts w:ascii="標楷體" w:eastAsia="標楷體" w:hAnsi="標楷體"/>
              </w:rPr>
              <w:t>24段之規定，企業首份國際財務報導準則財務報表中應包括IFRSs調節資訊，</w:t>
            </w:r>
            <w:r w:rsidRPr="00F4328B">
              <w:rPr>
                <w:rFonts w:ascii="標楷體" w:eastAsia="標楷體" w:hAnsi="標楷體"/>
              </w:rPr>
              <w:lastRenderedPageBreak/>
              <w:t>基於個體財務報告依編制準則規定，亦為IFRSs之首份財務報表，</w:t>
            </w:r>
            <w:proofErr w:type="gramStart"/>
            <w:r w:rsidRPr="00F4328B">
              <w:rPr>
                <w:rFonts w:ascii="標楷體" w:eastAsia="標楷體" w:hAnsi="標楷體" w:hint="eastAsia"/>
              </w:rPr>
              <w:t>爰</w:t>
            </w:r>
            <w:proofErr w:type="gramEnd"/>
            <w:r w:rsidRPr="00F4328B">
              <w:rPr>
                <w:rFonts w:ascii="標楷體" w:eastAsia="標楷體" w:hAnsi="標楷體" w:hint="eastAsia"/>
              </w:rPr>
              <w:t>應比照公報規定揭露。</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5</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法人董事之代表人、當選董事之法人代表人及監察人，應依</w:t>
            </w:r>
            <w:r w:rsidRPr="00F4328B">
              <w:rPr>
                <w:rFonts w:ascii="標楷體" w:eastAsia="標楷體" w:hAnsi="標楷體"/>
              </w:rPr>
              <w:t>IAS24之規定判斷是否為關係人。</w:t>
            </w:r>
            <w:proofErr w:type="gramStart"/>
            <w:r w:rsidRPr="00F4328B">
              <w:rPr>
                <w:rFonts w:ascii="標楷體" w:eastAsia="標楷體" w:hAnsi="標楷體" w:hint="eastAsia"/>
              </w:rPr>
              <w:t>但編製</w:t>
            </w:r>
            <w:proofErr w:type="gramEnd"/>
            <w:r w:rsidRPr="00F4328B">
              <w:rPr>
                <w:rFonts w:ascii="標楷體" w:eastAsia="標楷體" w:hAnsi="標楷體" w:hint="eastAsia"/>
              </w:rPr>
              <w:t>準則第十八條規定，公司法第六章之一所稱之關係企業及其董事、監察人與經理人，以及與發行人受同一總管理處管轄之公司或機構及其董事、監察人與經理，除能證明不具控制或重大影響者外，應視為實質關係人。另編製準則第十八條亦規定總管理處經理以上之人員應視為實質關係人。前述規定似不一致，應如何因應？</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基於目前公司法對於關係企業</w:t>
            </w:r>
            <w:proofErr w:type="gramStart"/>
            <w:r w:rsidRPr="00F4328B">
              <w:rPr>
                <w:rFonts w:ascii="標楷體" w:eastAsia="標楷體" w:hAnsi="標楷體" w:hint="eastAsia"/>
              </w:rPr>
              <w:t>等均有明文規定</w:t>
            </w:r>
            <w:proofErr w:type="gramEnd"/>
            <w:r w:rsidRPr="00F4328B">
              <w:rPr>
                <w:rFonts w:ascii="標楷體" w:eastAsia="標楷體" w:hAnsi="標楷體" w:hint="eastAsia"/>
              </w:rPr>
              <w:t>，</w:t>
            </w:r>
            <w:proofErr w:type="gramStart"/>
            <w:r w:rsidRPr="00F4328B">
              <w:rPr>
                <w:rFonts w:ascii="標楷體" w:eastAsia="標楷體" w:hAnsi="標楷體" w:hint="eastAsia"/>
              </w:rPr>
              <w:t>爰</w:t>
            </w:r>
            <w:proofErr w:type="gramEnd"/>
            <w:r w:rsidRPr="00F4328B">
              <w:rPr>
                <w:rFonts w:ascii="標楷體" w:eastAsia="標楷體" w:hAnsi="標楷體" w:hint="eastAsia"/>
              </w:rPr>
              <w:t>企業除依</w:t>
            </w:r>
            <w:r w:rsidRPr="00F4328B">
              <w:rPr>
                <w:rFonts w:ascii="標楷體" w:eastAsia="標楷體" w:hAnsi="標楷體"/>
              </w:rPr>
              <w:t>IAS24之規定外，尚須依公司法之規定辦理，</w:t>
            </w:r>
            <w:proofErr w:type="gramStart"/>
            <w:r w:rsidRPr="00F4328B">
              <w:rPr>
                <w:rFonts w:ascii="標楷體" w:eastAsia="標楷體" w:hAnsi="標楷體" w:hint="eastAsia"/>
              </w:rPr>
              <w:t>爰</w:t>
            </w:r>
            <w:proofErr w:type="gramEnd"/>
            <w:r w:rsidRPr="00F4328B">
              <w:rPr>
                <w:rFonts w:ascii="標楷體" w:eastAsia="標楷體" w:hAnsi="標楷體" w:hint="eastAsia"/>
              </w:rPr>
              <w:t>企業編製財務報告判斷關係人時，應同時符合前揭規定。</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6</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若公司無法取得不良債權</w:t>
            </w:r>
            <w:r w:rsidRPr="00F4328B">
              <w:rPr>
                <w:rFonts w:ascii="標楷體" w:eastAsia="標楷體" w:hAnsi="標楷體"/>
              </w:rPr>
              <w:t>(NPL)原始有效利率</w:t>
            </w:r>
            <w:r w:rsidR="00B927CD">
              <w:rPr>
                <w:rFonts w:ascii="標楷體" w:eastAsia="標楷體" w:hAnsi="標楷體" w:hint="eastAsia"/>
              </w:rPr>
              <w:t>，</w:t>
            </w:r>
            <w:r w:rsidRPr="00F4328B">
              <w:rPr>
                <w:rFonts w:ascii="標楷體" w:eastAsia="標楷體" w:hAnsi="標楷體"/>
              </w:rPr>
              <w:t>而以實務上不可行之理由處理，其於轉換日應以原ROC GAAP下</w:t>
            </w:r>
            <w:proofErr w:type="gramStart"/>
            <w:r w:rsidRPr="00F4328B">
              <w:rPr>
                <w:rFonts w:ascii="標楷體" w:eastAsia="標楷體" w:hAnsi="標楷體" w:hint="eastAsia"/>
              </w:rPr>
              <w:t>帳面</w:t>
            </w:r>
            <w:proofErr w:type="gramEnd"/>
            <w:r w:rsidRPr="00F4328B">
              <w:rPr>
                <w:rFonts w:ascii="標楷體" w:eastAsia="標楷體" w:hAnsi="標楷體" w:hint="eastAsia"/>
              </w:rPr>
              <w:t>金額</w:t>
            </w:r>
            <w:proofErr w:type="gramStart"/>
            <w:r w:rsidRPr="00F4328B">
              <w:rPr>
                <w:rFonts w:ascii="標楷體" w:eastAsia="標楷體" w:hAnsi="標楷體" w:hint="eastAsia"/>
              </w:rPr>
              <w:t>開帳</w:t>
            </w:r>
            <w:proofErr w:type="gramEnd"/>
            <w:r w:rsidRPr="00F4328B">
              <w:rPr>
                <w:rFonts w:ascii="標楷體" w:eastAsia="標楷體" w:hAnsi="標楷體" w:hint="eastAsia"/>
              </w:rPr>
              <w:t>，抑或以公允價值</w:t>
            </w:r>
            <w:proofErr w:type="gramStart"/>
            <w:r w:rsidRPr="00F4328B">
              <w:rPr>
                <w:rFonts w:ascii="標楷體" w:eastAsia="標楷體" w:hAnsi="標楷體" w:hint="eastAsia"/>
              </w:rPr>
              <w:t>開帳</w:t>
            </w:r>
            <w:proofErr w:type="gramEnd"/>
            <w:r w:rsidRPr="00F4328B">
              <w:rPr>
                <w:rFonts w:ascii="標楷體" w:eastAsia="標楷體" w:hAnsi="標楷體"/>
              </w:rPr>
              <w:t>?</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企業於轉換日持有不良債權</w:t>
            </w:r>
            <w:r w:rsidRPr="00F4328B">
              <w:rPr>
                <w:rFonts w:ascii="標楷體" w:eastAsia="標楷體" w:hAnsi="標楷體"/>
              </w:rPr>
              <w:t>(NPL)，應依IFRS1及IFRS9之規定追溯調整，若符合IAS8第5段有關實務上不可行之情形時，應依第25段之規定辦理，自實務上最早可行之日起推延適用。</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7</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有關「首次適用權益變動表起始</w:t>
            </w:r>
            <w:proofErr w:type="gramStart"/>
            <w:r w:rsidRPr="00F4328B">
              <w:rPr>
                <w:rFonts w:ascii="標楷體" w:eastAsia="標楷體" w:hAnsi="標楷體" w:hint="eastAsia"/>
              </w:rPr>
              <w:t>開帳</w:t>
            </w:r>
            <w:proofErr w:type="gramEnd"/>
            <w:r w:rsidRPr="00F4328B">
              <w:rPr>
                <w:rFonts w:ascii="標楷體" w:eastAsia="標楷體" w:hAnsi="標楷體" w:hint="eastAsia"/>
              </w:rPr>
              <w:t>餘額」係要以原一般</w:t>
            </w:r>
            <w:r w:rsidRPr="00F4328B">
              <w:rPr>
                <w:rFonts w:ascii="標楷體" w:eastAsia="標楷體" w:hAnsi="標楷體"/>
              </w:rPr>
              <w:t>ROC公認會計原則</w:t>
            </w:r>
            <w:proofErr w:type="gramStart"/>
            <w:r w:rsidRPr="00F4328B">
              <w:rPr>
                <w:rFonts w:ascii="標楷體" w:eastAsia="標楷體" w:hAnsi="標楷體" w:hint="eastAsia"/>
              </w:rPr>
              <w:t>帳載數為</w:t>
            </w:r>
            <w:proofErr w:type="gramEnd"/>
            <w:r w:rsidRPr="00F4328B">
              <w:rPr>
                <w:rFonts w:ascii="標楷體" w:eastAsia="標楷體" w:hAnsi="標楷體" w:hint="eastAsia"/>
              </w:rPr>
              <w:t>起始並將差異填列「追溯重編影響數」調整至</w:t>
            </w:r>
            <w:r w:rsidRPr="00F4328B">
              <w:rPr>
                <w:rFonts w:ascii="標楷體" w:eastAsia="標楷體" w:hAnsi="標楷體"/>
              </w:rPr>
              <w:t>IFRSs</w:t>
            </w:r>
            <w:proofErr w:type="gramStart"/>
            <w:r w:rsidRPr="00F4328B">
              <w:rPr>
                <w:rFonts w:ascii="標楷體" w:eastAsia="標楷體" w:hAnsi="標楷體" w:hint="eastAsia"/>
              </w:rPr>
              <w:t>開帳</w:t>
            </w:r>
            <w:proofErr w:type="gramEnd"/>
            <w:r w:rsidRPr="00F4328B">
              <w:rPr>
                <w:rFonts w:ascii="標楷體" w:eastAsia="標楷體" w:hAnsi="標楷體" w:hint="eastAsia"/>
              </w:rPr>
              <w:t>日餘額，或</w:t>
            </w:r>
            <w:proofErr w:type="gramStart"/>
            <w:r w:rsidRPr="00F4328B">
              <w:rPr>
                <w:rFonts w:ascii="標楷體" w:eastAsia="標楷體" w:hAnsi="標楷體" w:hint="eastAsia"/>
              </w:rPr>
              <w:t>逕</w:t>
            </w:r>
            <w:proofErr w:type="gramEnd"/>
            <w:r w:rsidRPr="00F4328B">
              <w:rPr>
                <w:rFonts w:ascii="標楷體" w:eastAsia="標楷體" w:hAnsi="標楷體" w:hint="eastAsia"/>
              </w:rPr>
              <w:t>修改期初權益數以</w:t>
            </w:r>
            <w:r w:rsidRPr="00F4328B">
              <w:rPr>
                <w:rFonts w:ascii="標楷體" w:eastAsia="標楷體" w:hAnsi="標楷體"/>
              </w:rPr>
              <w:t>IFRSs</w:t>
            </w:r>
            <w:proofErr w:type="gramStart"/>
            <w:r w:rsidRPr="00F4328B">
              <w:rPr>
                <w:rFonts w:ascii="標楷體" w:eastAsia="標楷體" w:hAnsi="標楷體" w:hint="eastAsia"/>
              </w:rPr>
              <w:t>開帳數填列</w:t>
            </w:r>
            <w:proofErr w:type="gramEnd"/>
            <w:r w:rsidRPr="00F4328B">
              <w:rPr>
                <w:rFonts w:ascii="標楷體" w:eastAsia="標楷體" w:hAnsi="標楷體" w:hint="eastAsia"/>
              </w:rPr>
              <w:t>？</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應以</w:t>
            </w:r>
            <w:r w:rsidRPr="00F4328B">
              <w:rPr>
                <w:rFonts w:ascii="標楷體" w:eastAsia="標楷體" w:hAnsi="標楷體"/>
              </w:rPr>
              <w:t>IFRSs</w:t>
            </w:r>
            <w:proofErr w:type="gramStart"/>
            <w:r w:rsidRPr="00F4328B">
              <w:rPr>
                <w:rFonts w:ascii="標楷體" w:eastAsia="標楷體" w:hAnsi="標楷體" w:hint="eastAsia"/>
              </w:rPr>
              <w:t>開帳</w:t>
            </w:r>
            <w:proofErr w:type="gramEnd"/>
            <w:r w:rsidRPr="00F4328B">
              <w:rPr>
                <w:rFonts w:ascii="標楷體" w:eastAsia="標楷體" w:hAnsi="標楷體" w:hint="eastAsia"/>
              </w:rPr>
              <w:t>日餘額為</w:t>
            </w:r>
            <w:proofErr w:type="gramStart"/>
            <w:r w:rsidRPr="00F4328B">
              <w:rPr>
                <w:rFonts w:ascii="標楷體" w:eastAsia="標楷體" w:hAnsi="標楷體" w:hint="eastAsia"/>
              </w:rPr>
              <w:t>準</w:t>
            </w:r>
            <w:proofErr w:type="gramEnd"/>
            <w:r w:rsidRPr="00F4328B">
              <w:rPr>
                <w:rFonts w:ascii="標楷體" w:eastAsia="標楷體" w:hAnsi="標楷體" w:hint="eastAsia"/>
              </w:rPr>
              <w:t>。</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09"/>
        </w:trPr>
        <w:tc>
          <w:tcPr>
            <w:tcW w:w="710" w:type="dxa"/>
            <w:tcBorders>
              <w:bottom w:val="single" w:sz="4" w:space="0" w:color="auto"/>
            </w:tcBorders>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8</w:t>
            </w:r>
          </w:p>
        </w:tc>
        <w:tc>
          <w:tcPr>
            <w:tcW w:w="5953"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依照IAS8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，企業須於財務報表附註揭露“已發布但尚未生效之新準則”。我國採用TIFRSs編製財務報表之公司係應揭露IASB已發布但尚未生效之新準則，抑或會計研究發展基金會已</w:t>
            </w:r>
            <w:proofErr w:type="gramStart"/>
            <w:r w:rsidRPr="00F4328B">
              <w:rPr>
                <w:rFonts w:ascii="標楷體" w:eastAsia="標楷體" w:hAnsi="標楷體"/>
              </w:rPr>
              <w:t>翻譯且金管</w:t>
            </w:r>
            <w:proofErr w:type="gramEnd"/>
            <w:r w:rsidRPr="00F4328B">
              <w:rPr>
                <w:rFonts w:ascii="標楷體" w:eastAsia="標楷體" w:hAnsi="標楷體"/>
              </w:rPr>
              <w:t>會已核准但尚未適用之IFRSs?</w:t>
            </w:r>
          </w:p>
        </w:tc>
        <w:tc>
          <w:tcPr>
            <w:tcW w:w="5245"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應依IAS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及證券發行人財務報告編製準則第15條第4款規定揭露，其中按IAS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揭露部分，應評估於公報預計生效日適用新(修正)公報對企業財務報表可能影響之</w:t>
            </w:r>
            <w:proofErr w:type="gramStart"/>
            <w:r w:rsidRPr="00F4328B">
              <w:rPr>
                <w:rFonts w:ascii="標楷體" w:eastAsia="標楷體" w:hAnsi="標楷體"/>
              </w:rPr>
              <w:t>攸</w:t>
            </w:r>
            <w:proofErr w:type="gramEnd"/>
            <w:r w:rsidRPr="00F4328B">
              <w:rPr>
                <w:rFonts w:ascii="標楷體" w:eastAsia="標楷體" w:hAnsi="標楷體"/>
              </w:rPr>
              <w:t>關資訊。</w:t>
            </w:r>
            <w:r w:rsidRPr="00F4328B">
              <w:rPr>
                <w:rFonts w:ascii="標楷體" w:eastAsia="標楷體" w:hAnsi="標楷體" w:hint="eastAsia"/>
              </w:rPr>
              <w:t>企業可參考IFRS專區「上市、上櫃</w:t>
            </w:r>
            <w:proofErr w:type="gramStart"/>
            <w:r w:rsidRPr="00F4328B">
              <w:rPr>
                <w:rFonts w:ascii="標楷體" w:eastAsia="標楷體" w:hAnsi="標楷體" w:hint="eastAsia"/>
              </w:rPr>
              <w:t>及興櫃公司</w:t>
            </w:r>
            <w:proofErr w:type="gramEnd"/>
            <w:r w:rsidRPr="00F4328B">
              <w:rPr>
                <w:rFonts w:ascii="標楷體" w:eastAsia="標楷體" w:hAnsi="標楷體" w:hint="eastAsia"/>
              </w:rPr>
              <w:t>財務報告附註揭露IAS8新發布及修訂準則及解釋之影響」揭露範例。</w:t>
            </w:r>
          </w:p>
        </w:tc>
        <w:tc>
          <w:tcPr>
            <w:tcW w:w="1418"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Borders>
              <w:bottom w:val="single" w:sz="4" w:space="0" w:color="auto"/>
            </w:tcBorders>
          </w:tcPr>
          <w:p w:rsidR="00F4328B" w:rsidRPr="00F4328B" w:rsidRDefault="00F4328B" w:rsidP="008B4DE4">
            <w:pPr>
              <w:snapToGrid w:val="0"/>
              <w:rPr>
                <w:rFonts w:ascii="標楷體" w:eastAsia="標楷體" w:hAnsi="標楷體"/>
              </w:rPr>
            </w:pPr>
          </w:p>
        </w:tc>
      </w:tr>
      <w:tr w:rsidR="00F4328B" w:rsidRPr="00F4328B" w:rsidTr="00AC2F26">
        <w:trPr>
          <w:trHeight w:val="357"/>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9</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28及</w:t>
            </w:r>
            <w:r w:rsidRPr="00F4328B">
              <w:rPr>
                <w:rFonts w:ascii="標楷體" w:eastAsia="標楷體" w:hAnsi="標楷體" w:hint="eastAsia"/>
              </w:rPr>
              <w:t>IFRS10之規定，如持股狀況改變(</w:t>
            </w:r>
            <w:proofErr w:type="gramStart"/>
            <w:r w:rsidRPr="00F4328B">
              <w:rPr>
                <w:rFonts w:ascii="標楷體" w:eastAsia="標楷體" w:hAnsi="標楷體" w:hint="eastAsia"/>
              </w:rPr>
              <w:t>控制力至重大</w:t>
            </w:r>
            <w:proofErr w:type="gramEnd"/>
            <w:r w:rsidRPr="00F4328B">
              <w:rPr>
                <w:rFonts w:ascii="標楷體" w:eastAsia="標楷體" w:hAnsi="標楷體" w:hint="eastAsia"/>
              </w:rPr>
              <w:t>影響或重大影響至無重大影響)，將認列剩餘部分之損益。此等重分類之損益，於未來採用IFRS後是否將限制此一盈餘之分配？</w:t>
            </w:r>
          </w:p>
        </w:tc>
        <w:tc>
          <w:tcPr>
            <w:tcW w:w="5245"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請依</w:t>
            </w:r>
            <w:r w:rsidRPr="00F4328B">
              <w:rPr>
                <w:rFonts w:ascii="標楷體" w:eastAsia="標楷體" w:hAnsi="標楷體"/>
              </w:rPr>
              <w:t>101</w:t>
            </w:r>
            <w:r w:rsidRPr="00F4328B">
              <w:rPr>
                <w:rFonts w:ascii="標楷體" w:eastAsia="標楷體" w:hAnsi="標楷體" w:hint="eastAsia"/>
              </w:rPr>
              <w:t>年</w:t>
            </w:r>
            <w:r w:rsidRPr="00F4328B">
              <w:rPr>
                <w:rFonts w:ascii="標楷體" w:eastAsia="標楷體" w:hAnsi="標楷體"/>
              </w:rPr>
              <w:t>4</w:t>
            </w:r>
            <w:r w:rsidRPr="00F4328B">
              <w:rPr>
                <w:rFonts w:ascii="標楷體" w:eastAsia="標楷體" w:hAnsi="標楷體" w:hint="eastAsia"/>
              </w:rPr>
              <w:t>月</w:t>
            </w:r>
            <w:r w:rsidRPr="00F4328B">
              <w:rPr>
                <w:rFonts w:ascii="標楷體" w:eastAsia="標楷體" w:hAnsi="標楷體"/>
              </w:rPr>
              <w:t>6</w:t>
            </w:r>
            <w:r w:rsidRPr="00F4328B">
              <w:rPr>
                <w:rFonts w:ascii="標楷體" w:eastAsia="標楷體" w:hAnsi="標楷體" w:hint="eastAsia"/>
              </w:rPr>
              <w:t>日</w:t>
            </w:r>
            <w:proofErr w:type="gramStart"/>
            <w:r w:rsidRPr="00F4328B">
              <w:rPr>
                <w:rFonts w:ascii="標楷體" w:eastAsia="標楷體" w:hAnsi="標楷體" w:hint="eastAsia"/>
              </w:rPr>
              <w:t>金管證發</w:t>
            </w:r>
            <w:proofErr w:type="gramEnd"/>
            <w:r w:rsidRPr="00F4328B">
              <w:rPr>
                <w:rFonts w:ascii="標楷體" w:eastAsia="標楷體" w:hAnsi="標楷體" w:hint="eastAsia"/>
              </w:rPr>
              <w:t>字第</w:t>
            </w:r>
            <w:r w:rsidRPr="00F4328B">
              <w:rPr>
                <w:rFonts w:ascii="標楷體" w:eastAsia="標楷體" w:hAnsi="標楷體"/>
              </w:rPr>
              <w:t>1010012865</w:t>
            </w:r>
            <w:r w:rsidRPr="00F4328B">
              <w:rPr>
                <w:rFonts w:ascii="標楷體" w:eastAsia="標楷體" w:hAnsi="標楷體" w:hint="eastAsia"/>
              </w:rPr>
              <w:t>號令規定辦理。</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3D0A5A">
        <w:trPr>
          <w:trHeight w:val="2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lastRenderedPageBreak/>
              <w:t>10</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IFRS時，原</w:t>
            </w:r>
            <w:r w:rsidRPr="00F4328B">
              <w:rPr>
                <w:rFonts w:ascii="標楷體" w:eastAsia="標楷體" w:hAnsi="標楷體" w:hint="eastAsia"/>
              </w:rPr>
              <w:t>EAS下進行之土地重估價，或原依法進行重估價調整之資產</w:t>
            </w:r>
            <w:proofErr w:type="gramStart"/>
            <w:r w:rsidRPr="00F4328B">
              <w:rPr>
                <w:rFonts w:ascii="標楷體" w:eastAsia="標楷體" w:hAnsi="標楷體" w:hint="eastAsia"/>
              </w:rPr>
              <w:t>帳面</w:t>
            </w:r>
            <w:proofErr w:type="gramEnd"/>
            <w:r w:rsidRPr="00F4328B">
              <w:rPr>
                <w:rFonts w:ascii="標楷體" w:eastAsia="標楷體" w:hAnsi="標楷體" w:hint="eastAsia"/>
              </w:rPr>
              <w:t>價值，如作為轉換日之認定成本，原依法重估之相關科目(未實現重估增值)，其應轉列保留盈餘或者列入其他權益項目？另屬投資性不動產及不動產、廠房及設備下之未實現重估增值，其於首次適用所列入之權益科目是否相同？</w:t>
            </w:r>
            <w:r w:rsidRPr="00F4328B">
              <w:rPr>
                <w:rFonts w:ascii="標楷體" w:eastAsia="標楷體" w:hAnsi="標楷體" w:cs="細明體" w:hint="eastAsia"/>
                <w:kern w:val="0"/>
              </w:rPr>
              <w:t>此外IFRSs轉換日調增未分配盈餘時，是否須同時提列法定盈餘公積？</w:t>
            </w:r>
          </w:p>
        </w:tc>
        <w:tc>
          <w:tcPr>
            <w:tcW w:w="5245" w:type="dxa"/>
          </w:tcPr>
          <w:p w:rsidR="00F4328B" w:rsidRPr="00F4328B" w:rsidRDefault="00F4328B" w:rsidP="008B4DE4">
            <w:pPr>
              <w:pStyle w:val="HTML"/>
              <w:snapToGrid w:val="0"/>
              <w:rPr>
                <w:rFonts w:ascii="標楷體" w:eastAsia="標楷體" w:hAnsi="標楷體" w:cs="細明體"/>
                <w:strike/>
              </w:rPr>
            </w:pPr>
            <w:r w:rsidRPr="00F4328B">
              <w:rPr>
                <w:rFonts w:ascii="標楷體" w:eastAsia="標楷體" w:hAnsi="標楷體" w:cs="細明體" w:hint="eastAsia"/>
              </w:rPr>
              <w:t>轉列保留盈餘，至於是否提列法定盈餘公積部分，依</w:t>
            </w:r>
            <w:r w:rsidRPr="00F4328B">
              <w:rPr>
                <w:rFonts w:ascii="標楷體" w:eastAsia="標楷體" w:hAnsi="標楷體" w:cs="細明體"/>
              </w:rPr>
              <w:t>101年6月28日經商字第10102268370號函釋，首次採用國際會計準則產生之保留盈餘，係直接轉入保留盈餘科目，並未經過損益科目，故</w:t>
            </w:r>
            <w:r w:rsidRPr="00F4328B">
              <w:rPr>
                <w:rFonts w:ascii="標楷體" w:eastAsia="標楷體" w:hAnsi="標楷體" w:cs="細明體" w:hint="eastAsia"/>
              </w:rPr>
              <w:t>無須提列法定盈餘公積。</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pStyle w:val="HTML"/>
              <w:snapToGrid w:val="0"/>
              <w:rPr>
                <w:rFonts w:ascii="標楷體" w:eastAsia="標楷體" w:hAnsi="標楷體" w:cs="細明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11</w:t>
            </w:r>
          </w:p>
        </w:tc>
        <w:tc>
          <w:tcPr>
            <w:tcW w:w="5953" w:type="dxa"/>
          </w:tcPr>
          <w:p w:rsidR="00F077C5" w:rsidRDefault="00F4328B" w:rsidP="008B4DE4">
            <w:pPr>
              <w:snapToGrid w:val="0"/>
              <w:ind w:left="240" w:hangingChars="100" w:hanging="240"/>
              <w:rPr>
                <w:rFonts w:ascii="標楷體" w:eastAsia="標楷體" w:hAnsi="標楷體"/>
              </w:rPr>
            </w:pPr>
            <w:r w:rsidRPr="00F4328B">
              <w:rPr>
                <w:rFonts w:ascii="標楷體" w:eastAsia="標楷體" w:hAnsi="標楷體"/>
              </w:rPr>
              <w:t>1.是否放寬公司法第239條規定，讓因適用IFRSs產生初期虧損之公司，可以動用法定盈餘公積、特別盈餘公積以及資本公積彌補虧損，使102年及其後年度，不會因需彌補虧損而無盈餘可供分配？</w:t>
            </w:r>
          </w:p>
          <w:p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2.適用IFRSs後，準則之變動依IAS 8之規定，應追溯適用，故須重編前期財務報表而調整保留盈餘，此種情況是否亦適用右列1.(1)之回覆？</w:t>
            </w:r>
          </w:p>
        </w:tc>
        <w:tc>
          <w:tcPr>
            <w:tcW w:w="5245" w:type="dxa"/>
          </w:tcPr>
          <w:p w:rsidR="0095541D" w:rsidRDefault="00F4328B" w:rsidP="008B4DE4">
            <w:pPr>
              <w:snapToGrid w:val="0"/>
              <w:rPr>
                <w:rFonts w:ascii="標楷體" w:eastAsia="標楷體" w:hAnsi="標楷體"/>
              </w:rPr>
            </w:pPr>
            <w:r w:rsidRPr="00F4328B">
              <w:rPr>
                <w:rFonts w:ascii="標楷體" w:eastAsia="標楷體" w:hAnsi="標楷體"/>
              </w:rPr>
              <w:t>1.                                                   (1)公司法規定公司提列法定盈餘</w:t>
            </w:r>
            <w:proofErr w:type="gramStart"/>
            <w:r w:rsidRPr="00F4328B">
              <w:rPr>
                <w:rFonts w:ascii="標楷體" w:eastAsia="標楷體" w:hAnsi="標楷體" w:hint="eastAsia"/>
              </w:rPr>
              <w:t>公積係基於</w:t>
            </w:r>
            <w:proofErr w:type="gramEnd"/>
            <w:r w:rsidRPr="00F4328B">
              <w:rPr>
                <w:rFonts w:ascii="標楷體" w:eastAsia="標楷體" w:hAnsi="標楷體" w:hint="eastAsia"/>
              </w:rPr>
              <w:t>資本</w:t>
            </w:r>
            <w:r w:rsidR="0095541D">
              <w:rPr>
                <w:rFonts w:ascii="標楷體" w:eastAsia="標楷體" w:hAnsi="標楷體" w:hint="eastAsia"/>
              </w:rPr>
              <w:t xml:space="preserve">  </w:t>
            </w:r>
          </w:p>
          <w:p w:rsidR="0095541D" w:rsidRDefault="00F4328B" w:rsidP="008B4DE4">
            <w:pPr>
              <w:snapToGrid w:val="0"/>
              <w:ind w:leftChars="150" w:left="360"/>
              <w:rPr>
                <w:rFonts w:ascii="標楷體" w:eastAsia="標楷體" w:hAnsi="標楷體"/>
              </w:rPr>
            </w:pPr>
            <w:r w:rsidRPr="00F4328B">
              <w:rPr>
                <w:rFonts w:ascii="標楷體" w:eastAsia="標楷體" w:hAnsi="標楷體" w:hint="eastAsia"/>
              </w:rPr>
              <w:t>維持原則，特別盈餘公積之提列亦有其原始提列目的，不宜因</w:t>
            </w:r>
            <w:r w:rsidRPr="00F4328B">
              <w:rPr>
                <w:rFonts w:ascii="標楷體" w:eastAsia="標楷體" w:hAnsi="標楷體"/>
              </w:rPr>
              <w:t xml:space="preserve">IFRSs之採用而變更用途。                   </w:t>
            </w:r>
            <w:r w:rsidR="0095541D">
              <w:rPr>
                <w:rFonts w:ascii="標楷體" w:eastAsia="標楷體" w:hAnsi="標楷體"/>
              </w:rPr>
              <w:t xml:space="preserve">                               </w:t>
            </w:r>
          </w:p>
          <w:p w:rsidR="0095541D" w:rsidRDefault="00F4328B" w:rsidP="008B4DE4">
            <w:pPr>
              <w:snapToGrid w:val="0"/>
              <w:ind w:left="360" w:hangingChars="150" w:hanging="360"/>
              <w:rPr>
                <w:rFonts w:ascii="標楷體" w:eastAsia="標楷體" w:hAnsi="標楷體"/>
              </w:rPr>
            </w:pPr>
            <w:r w:rsidRPr="00F4328B">
              <w:rPr>
                <w:rFonts w:ascii="標楷體" w:eastAsia="標楷體" w:hAnsi="標楷體"/>
              </w:rPr>
              <w:t>(2)由於首次採用IFRSs對公司盈餘分配基礎將有所影響，公司如擔心未來無盈餘可供分配，從現在開始每年度進行盈餘分配時</w:t>
            </w:r>
            <w:r w:rsidR="00F077C5">
              <w:rPr>
                <w:rFonts w:ascii="標楷體" w:eastAsia="標楷體" w:hAnsi="標楷體" w:hint="eastAsia"/>
              </w:rPr>
              <w:t>，</w:t>
            </w:r>
            <w:r w:rsidRPr="00F4328B">
              <w:rPr>
                <w:rFonts w:ascii="標楷體" w:eastAsia="標楷體" w:hAnsi="標楷體"/>
              </w:rPr>
              <w:t xml:space="preserve">即應基於穩健原則決定盈餘配發數額。                               </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2.無論首次採用IFRSs或採用IFRSs後，法定（盈餘）</w:t>
            </w:r>
            <w:proofErr w:type="gramStart"/>
            <w:r w:rsidRPr="00F4328B">
              <w:rPr>
                <w:rFonts w:ascii="標楷體" w:eastAsia="標楷體" w:hAnsi="標楷體" w:hint="eastAsia"/>
              </w:rPr>
              <w:t>公積仍應</w:t>
            </w:r>
            <w:proofErr w:type="gramEnd"/>
            <w:r w:rsidRPr="00F4328B">
              <w:rPr>
                <w:rFonts w:ascii="標楷體" w:eastAsia="標楷體" w:hAnsi="標楷體" w:hint="eastAsia"/>
              </w:rPr>
              <w:t>依公司法規定辦理。</w:t>
            </w:r>
            <w:r w:rsidRPr="00F4328B">
              <w:rPr>
                <w:rFonts w:ascii="標楷體" w:eastAsia="標楷體" w:hAnsi="標楷體"/>
              </w:rPr>
              <w:t xml:space="preserve">                                                            </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12</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依據證券發行人財務報告編製準則第11條，發行人得選擇將確定福利計畫之再</w:t>
            </w:r>
            <w:proofErr w:type="gramStart"/>
            <w:r w:rsidRPr="00F4328B">
              <w:rPr>
                <w:rFonts w:ascii="標楷體" w:eastAsia="標楷體" w:hAnsi="標楷體" w:hint="eastAsia"/>
              </w:rPr>
              <w:t>衡量數認列</w:t>
            </w:r>
            <w:proofErr w:type="gramEnd"/>
            <w:r w:rsidRPr="00F4328B">
              <w:rPr>
                <w:rFonts w:ascii="標楷體" w:eastAsia="標楷體" w:hAnsi="標楷體" w:hint="eastAsia"/>
              </w:rPr>
              <w:t>於保留盈餘或其他權益並於附註中揭露。確定福利計畫之再</w:t>
            </w:r>
            <w:proofErr w:type="gramStart"/>
            <w:r w:rsidRPr="00F4328B">
              <w:rPr>
                <w:rFonts w:ascii="標楷體" w:eastAsia="標楷體" w:hAnsi="標楷體" w:hint="eastAsia"/>
              </w:rPr>
              <w:t>衡量數認列</w:t>
            </w:r>
            <w:proofErr w:type="gramEnd"/>
            <w:r w:rsidRPr="00F4328B">
              <w:rPr>
                <w:rFonts w:ascii="標楷體" w:eastAsia="標楷體" w:hAnsi="標楷體" w:hint="eastAsia"/>
              </w:rPr>
              <w:t>於其他權益者，後續期間不得重分類至損益或轉入保留盈餘。請問若選擇將確定福利計畫之再</w:t>
            </w:r>
            <w:proofErr w:type="gramStart"/>
            <w:r w:rsidRPr="00F4328B">
              <w:rPr>
                <w:rFonts w:ascii="標楷體" w:eastAsia="標楷體" w:hAnsi="標楷體" w:hint="eastAsia"/>
              </w:rPr>
              <w:t>衡量數認列</w:t>
            </w:r>
            <w:proofErr w:type="gramEnd"/>
            <w:r w:rsidRPr="00F4328B">
              <w:rPr>
                <w:rFonts w:ascii="標楷體" w:eastAsia="標楷體" w:hAnsi="標楷體" w:hint="eastAsia"/>
              </w:rPr>
              <w:t>於保留盈餘，可否用於分派盈餘</w:t>
            </w:r>
            <w:r w:rsidR="00F077C5">
              <w:rPr>
                <w:rFonts w:ascii="標楷體" w:eastAsia="標楷體" w:hAnsi="標楷體" w:hint="eastAsia"/>
              </w:rPr>
              <w:t>？</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有關盈餘限制分配部分，</w:t>
            </w:r>
            <w:proofErr w:type="gramStart"/>
            <w:r w:rsidRPr="00F4328B">
              <w:rPr>
                <w:rFonts w:ascii="標楷體" w:eastAsia="標楷體" w:hAnsi="標楷體" w:hint="eastAsia"/>
              </w:rPr>
              <w:t>應依金管</w:t>
            </w:r>
            <w:proofErr w:type="gramEnd"/>
            <w:r w:rsidRPr="00F4328B">
              <w:rPr>
                <w:rFonts w:ascii="標楷體" w:eastAsia="標楷體" w:hAnsi="標楷體" w:hint="eastAsia"/>
              </w:rPr>
              <w:t>會</w:t>
            </w:r>
            <w:r w:rsidRPr="00F4328B">
              <w:rPr>
                <w:rFonts w:ascii="標楷體" w:eastAsia="標楷體" w:hAnsi="標楷體"/>
              </w:rPr>
              <w:t>101.4.6</w:t>
            </w:r>
            <w:proofErr w:type="gramStart"/>
            <w:r w:rsidRPr="00F4328B">
              <w:rPr>
                <w:rFonts w:ascii="標楷體" w:eastAsia="標楷體" w:hAnsi="標楷體"/>
              </w:rPr>
              <w:t>金管證發</w:t>
            </w:r>
            <w:proofErr w:type="gramEnd"/>
            <w:r w:rsidRPr="00F4328B">
              <w:rPr>
                <w:rFonts w:ascii="標楷體" w:eastAsia="標楷體" w:hAnsi="標楷體"/>
              </w:rPr>
              <w:t>字第1010012865號令等規定辦理，未限制者，公司得依相關規定進行分派。</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13</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IFRSs時，若有因投資性不動產於IFRSs轉換日以該投資性不動產標的未來租金設算公允價值調整所產生之增值轉入保留盈餘部分，依101年4月6日</w:t>
            </w:r>
            <w:proofErr w:type="gramStart"/>
            <w:r w:rsidRPr="00F4328B">
              <w:rPr>
                <w:rFonts w:ascii="標楷體" w:eastAsia="標楷體" w:hAnsi="標楷體"/>
              </w:rPr>
              <w:t>金管證發</w:t>
            </w:r>
            <w:proofErr w:type="gramEnd"/>
            <w:r w:rsidRPr="00F4328B">
              <w:rPr>
                <w:rFonts w:ascii="標楷體" w:eastAsia="標楷體" w:hAnsi="標楷體"/>
              </w:rPr>
              <w:t>字第1010012865號函及相關問答集規定應提列特別盈餘公積。</w:t>
            </w:r>
            <w:r w:rsidR="00F077C5">
              <w:rPr>
                <w:rFonts w:ascii="標楷體" w:eastAsia="標楷體" w:hAnsi="標楷體" w:hint="eastAsia"/>
              </w:rPr>
              <w:t>請問</w:t>
            </w:r>
            <w:r w:rsidRPr="00F4328B">
              <w:rPr>
                <w:rFonts w:ascii="標楷體" w:eastAsia="標楷體" w:hAnsi="標楷體" w:hint="eastAsia"/>
              </w:rPr>
              <w:t>此特別盈餘公</w:t>
            </w:r>
            <w:proofErr w:type="gramStart"/>
            <w:r w:rsidRPr="00F4328B">
              <w:rPr>
                <w:rFonts w:ascii="標楷體" w:eastAsia="標楷體" w:hAnsi="標楷體" w:hint="eastAsia"/>
              </w:rPr>
              <w:t>積得否隨</w:t>
            </w:r>
            <w:proofErr w:type="gramEnd"/>
            <w:r w:rsidRPr="00F4328B">
              <w:rPr>
                <w:rFonts w:ascii="標楷體" w:eastAsia="標楷體" w:hAnsi="標楷體" w:hint="eastAsia"/>
              </w:rPr>
              <w:t>未來租期經過而逐期予以迴轉</w:t>
            </w:r>
            <w:r w:rsidRPr="00F4328B">
              <w:rPr>
                <w:rFonts w:ascii="標楷體" w:eastAsia="標楷體" w:hAnsi="標楷體"/>
              </w:rPr>
              <w:t>?是否只要土地重分類至其他類別(存貨或不動產、廠房及設備)即可將特別盈餘公積迴轉?</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請依</w:t>
            </w:r>
            <w:proofErr w:type="gramStart"/>
            <w:r w:rsidRPr="00F4328B">
              <w:rPr>
                <w:rFonts w:ascii="標楷體" w:eastAsia="標楷體" w:hAnsi="標楷體" w:hint="eastAsia"/>
              </w:rPr>
              <w:t>證期局發布</w:t>
            </w:r>
            <w:proofErr w:type="gramEnd"/>
            <w:r w:rsidRPr="00F4328B">
              <w:rPr>
                <w:rFonts w:ascii="標楷體" w:eastAsia="標楷體" w:hAnsi="標楷體" w:hint="eastAsia"/>
              </w:rPr>
              <w:t>之「採用國際財務報導準則（</w:t>
            </w:r>
            <w:r w:rsidRPr="00F4328B">
              <w:rPr>
                <w:rFonts w:ascii="標楷體" w:eastAsia="標楷體" w:hAnsi="標楷體"/>
              </w:rPr>
              <w:t>IFRSs）後，提列特別盈餘公積之適用疑義問答」規定辦理。</w:t>
            </w:r>
            <w:r w:rsidRPr="00F4328B">
              <w:rPr>
                <w:rFonts w:ascii="標楷體" w:eastAsia="標楷體" w:hAnsi="標楷體"/>
              </w:rPr>
              <w:br/>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ind w:left="240" w:hangingChars="100" w:hanging="24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14</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依IFRS10</w:t>
            </w:r>
            <w:r w:rsidR="00F077C5">
              <w:rPr>
                <w:rFonts w:ascii="標楷體" w:eastAsia="標楷體" w:hAnsi="標楷體" w:hint="eastAsia"/>
              </w:rPr>
              <w:t>第</w:t>
            </w:r>
            <w:r w:rsidRPr="00F4328B">
              <w:rPr>
                <w:rFonts w:ascii="標楷體" w:eastAsia="標楷體" w:hAnsi="標楷體" w:hint="eastAsia"/>
              </w:rPr>
              <w:t>25</w:t>
            </w:r>
            <w:r w:rsidR="00F077C5">
              <w:rPr>
                <w:rFonts w:ascii="標楷體" w:eastAsia="標楷體" w:hAnsi="標楷體" w:hint="eastAsia"/>
              </w:rPr>
              <w:t>段</w:t>
            </w:r>
            <w:r w:rsidRPr="00F4328B">
              <w:rPr>
                <w:rFonts w:ascii="標楷體" w:eastAsia="標楷體" w:hAnsi="標楷體" w:hint="eastAsia"/>
              </w:rPr>
              <w:t>、IFRS10</w:t>
            </w:r>
            <w:r w:rsidR="00F077C5">
              <w:rPr>
                <w:rFonts w:ascii="標楷體" w:eastAsia="標楷體" w:hAnsi="標楷體" w:hint="eastAsia"/>
              </w:rPr>
              <w:t>第</w:t>
            </w:r>
            <w:r w:rsidRPr="00F4328B">
              <w:rPr>
                <w:rFonts w:ascii="標楷體" w:eastAsia="標楷體" w:hAnsi="標楷體" w:hint="eastAsia"/>
              </w:rPr>
              <w:t>B99</w:t>
            </w:r>
            <w:r w:rsidR="00F077C5">
              <w:rPr>
                <w:rFonts w:ascii="標楷體" w:eastAsia="標楷體" w:hAnsi="標楷體" w:hint="eastAsia"/>
              </w:rPr>
              <w:t>段</w:t>
            </w:r>
            <w:r w:rsidRPr="00F4328B">
              <w:rPr>
                <w:rFonts w:ascii="標楷體" w:eastAsia="標楷體" w:hAnsi="標楷體" w:hint="eastAsia"/>
              </w:rPr>
              <w:t>及IAS28</w:t>
            </w:r>
            <w:r w:rsidR="00F077C5">
              <w:rPr>
                <w:rFonts w:ascii="標楷體" w:eastAsia="標楷體" w:hAnsi="標楷體" w:hint="eastAsia"/>
              </w:rPr>
              <w:t>第</w:t>
            </w:r>
            <w:r w:rsidRPr="00F4328B">
              <w:rPr>
                <w:rFonts w:ascii="標楷體" w:eastAsia="標楷體" w:hAnsi="標楷體" w:hint="eastAsia"/>
              </w:rPr>
              <w:t>22</w:t>
            </w:r>
            <w:r w:rsidR="00F077C5">
              <w:rPr>
                <w:rFonts w:ascii="標楷體" w:eastAsia="標楷體" w:hAnsi="標楷體" w:hint="eastAsia"/>
              </w:rPr>
              <w:t>、</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之規定，子公司具有與國外營運機構相關之累計兌換差額，</w:t>
            </w:r>
            <w:proofErr w:type="gramStart"/>
            <w:r w:rsidRPr="00F4328B">
              <w:rPr>
                <w:rFonts w:ascii="標楷體" w:eastAsia="標楷體" w:hAnsi="標楷體" w:hint="eastAsia"/>
              </w:rPr>
              <w:t>且母公司</w:t>
            </w:r>
            <w:proofErr w:type="gramEnd"/>
            <w:r w:rsidRPr="00F4328B">
              <w:rPr>
                <w:rFonts w:ascii="標楷體" w:eastAsia="標楷體" w:hAnsi="標楷體" w:hint="eastAsia"/>
              </w:rPr>
              <w:t>喪失對子公司之控制時，母公司應將與該國外營運機構相關而先前認列於其他綜合損益之利益或損失，重分類為損益；關聯企業具有與國外營運機構相關之累計兌換差額，且投資者喪失對該關聯企業之重大影響時，投資者應將與該國外營運機構相關而先前認列於其他綜合損益之利益或損失，重分類為損益。針對喪失控制力及喪失重大影響力時之會計處理，會將相關累計兌換調整數全數重分類為損益。</w:t>
            </w:r>
            <w:r w:rsidR="00F077C5">
              <w:rPr>
                <w:rFonts w:ascii="標楷體" w:eastAsia="標楷體" w:hAnsi="標楷體" w:hint="eastAsia"/>
              </w:rPr>
              <w:t>請問</w:t>
            </w:r>
            <w:r w:rsidRPr="00F4328B">
              <w:rPr>
                <w:rFonts w:ascii="標楷體" w:eastAsia="標楷體" w:hAnsi="標楷體" w:hint="eastAsia"/>
              </w:rPr>
              <w:t>公司於轉換至</w:t>
            </w:r>
            <w:r w:rsidRPr="00F4328B">
              <w:rPr>
                <w:rFonts w:ascii="標楷體" w:eastAsia="標楷體" w:hAnsi="標楷體"/>
              </w:rPr>
              <w:t>IFRSs時</w:t>
            </w:r>
            <w:r w:rsidR="00F077C5">
              <w:rPr>
                <w:rFonts w:ascii="標楷體" w:eastAsia="標楷體" w:hAnsi="標楷體" w:hint="eastAsia"/>
              </w:rPr>
              <w:t>，</w:t>
            </w:r>
            <w:r w:rsidRPr="00F4328B">
              <w:rPr>
                <w:rFonts w:ascii="標楷體" w:eastAsia="標楷體" w:hAnsi="標楷體"/>
              </w:rPr>
              <w:t>依據</w:t>
            </w:r>
            <w:proofErr w:type="gramStart"/>
            <w:r w:rsidRPr="00F4328B">
              <w:rPr>
                <w:rFonts w:ascii="標楷體" w:eastAsia="標楷體" w:hAnsi="標楷體" w:hint="eastAsia"/>
              </w:rPr>
              <w:t>證期局函</w:t>
            </w:r>
            <w:proofErr w:type="gramEnd"/>
            <w:r w:rsidRPr="00F4328B">
              <w:rPr>
                <w:rFonts w:ascii="標楷體" w:eastAsia="標楷體" w:hAnsi="標楷體" w:hint="eastAsia"/>
              </w:rPr>
              <w:t>令對「累積換算調整數（利益）」提列特別盈餘公積，若日後喪失對子公司之控制力或喪失對關聯企業之重大影響力時，則對因子公司或關聯企業具有與國外營運機構相關之累計兌換差額所提列之特別盈餘公積是否全數予以迴轉？</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請依</w:t>
            </w:r>
            <w:proofErr w:type="gramStart"/>
            <w:r w:rsidRPr="00F4328B">
              <w:rPr>
                <w:rFonts w:ascii="標楷體" w:eastAsia="標楷體" w:hAnsi="標楷體" w:hint="eastAsia"/>
              </w:rPr>
              <w:t>證期局發布</w:t>
            </w:r>
            <w:proofErr w:type="gramEnd"/>
            <w:r w:rsidRPr="00F4328B">
              <w:rPr>
                <w:rFonts w:ascii="標楷體" w:eastAsia="標楷體" w:hAnsi="標楷體" w:hint="eastAsia"/>
              </w:rPr>
              <w:t>之「採用國際財務報導準則（IFRSs）後，提列特別盈餘公積之適用疑義問答」規定辦理。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15</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依前證期會</w:t>
            </w:r>
            <w:r w:rsidRPr="00F4328B">
              <w:rPr>
                <w:rFonts w:ascii="標楷體" w:eastAsia="標楷體" w:hAnsi="標楷體"/>
              </w:rPr>
              <w:t>91年7月23日</w:t>
            </w:r>
            <w:r w:rsidRPr="00F4328B">
              <w:rPr>
                <w:rFonts w:ascii="標楷體" w:eastAsia="標楷體" w:hAnsi="標楷體" w:hint="eastAsia"/>
              </w:rPr>
              <w:t>台財證一第</w:t>
            </w:r>
            <w:r w:rsidRPr="00F4328B">
              <w:rPr>
                <w:rFonts w:ascii="標楷體" w:eastAsia="標楷體" w:hAnsi="標楷體"/>
              </w:rPr>
              <w:t>0910128347號規定，特別盈餘</w:t>
            </w:r>
            <w:proofErr w:type="gramStart"/>
            <w:r w:rsidRPr="00F4328B">
              <w:rPr>
                <w:rFonts w:ascii="標楷體" w:eastAsia="標楷體" w:hAnsi="標楷體" w:hint="eastAsia"/>
              </w:rPr>
              <w:t>公積得用以</w:t>
            </w:r>
            <w:proofErr w:type="gramEnd"/>
            <w:r w:rsidRPr="00F4328B">
              <w:rPr>
                <w:rFonts w:ascii="標楷體" w:eastAsia="標楷體" w:hAnsi="標楷體" w:hint="eastAsia"/>
              </w:rPr>
              <w:t>彌補虧損；另依</w:t>
            </w:r>
            <w:proofErr w:type="gramStart"/>
            <w:r w:rsidRPr="00F4328B">
              <w:rPr>
                <w:rFonts w:ascii="標楷體" w:eastAsia="標楷體" w:hAnsi="標楷體" w:hint="eastAsia"/>
              </w:rPr>
              <w:t>證期局</w:t>
            </w:r>
            <w:r w:rsidRPr="00F4328B">
              <w:rPr>
                <w:rFonts w:ascii="標楷體" w:eastAsia="標楷體" w:hAnsi="標楷體"/>
              </w:rPr>
              <w:t>94年4月29日</w:t>
            </w:r>
            <w:proofErr w:type="gramEnd"/>
            <w:r w:rsidRPr="00F4328B">
              <w:rPr>
                <w:rFonts w:ascii="標楷體" w:eastAsia="標楷體" w:hAnsi="標楷體" w:hint="eastAsia"/>
              </w:rPr>
              <w:t>證期一第</w:t>
            </w:r>
            <w:r w:rsidRPr="00F4328B">
              <w:rPr>
                <w:rFonts w:ascii="標楷體" w:eastAsia="標楷體" w:hAnsi="標楷體"/>
              </w:rPr>
              <w:t>0940110470號規定，特別盈餘公積用以彌補虧損後，於以後有盈餘年度且原提列特別盈餘公積之原因消除前，應補足提列以前年度以特別盈餘公積彌補虧損數額。</w:t>
            </w:r>
          </w:p>
          <w:p w:rsidR="00F4328B" w:rsidRPr="00F4328B" w:rsidRDefault="00F4328B" w:rsidP="008B4DE4">
            <w:pPr>
              <w:snapToGrid w:val="0"/>
              <w:rPr>
                <w:rFonts w:ascii="標楷體" w:eastAsia="標楷體" w:hAnsi="標楷體"/>
              </w:rPr>
            </w:pPr>
            <w:r w:rsidRPr="00F4328B">
              <w:rPr>
                <w:rFonts w:ascii="標楷體" w:eastAsia="標楷體" w:hAnsi="標楷體" w:hint="eastAsia"/>
              </w:rPr>
              <w:t>問題：</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1.首次採用IFRSs所應提列之特別盈餘公積，是否得用以彌補虧損？</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2.如可，於以後有盈餘年度且原提列特別盈餘公積之原因消除前，是否應補足提列以前年度以特別盈餘公積彌補虧損數額？</w:t>
            </w:r>
          </w:p>
        </w:tc>
        <w:tc>
          <w:tcPr>
            <w:tcW w:w="5245" w:type="dxa"/>
          </w:tcPr>
          <w:p w:rsidR="00F4328B" w:rsidRPr="00F4328B" w:rsidRDefault="00F4328B" w:rsidP="008B4DE4">
            <w:pPr>
              <w:autoSpaceDE w:val="0"/>
              <w:autoSpaceDN w:val="0"/>
              <w:adjustRightInd w:val="0"/>
              <w:snapToGrid w:val="0"/>
              <w:ind w:left="2" w:hanging="1"/>
              <w:rPr>
                <w:rFonts w:ascii="標楷體" w:eastAsia="標楷體" w:hAnsi="標楷體"/>
              </w:rPr>
            </w:pPr>
            <w:r w:rsidRPr="00F4328B">
              <w:rPr>
                <w:rFonts w:ascii="標楷體" w:eastAsia="標楷體" w:hAnsi="標楷體" w:hint="eastAsia"/>
              </w:rPr>
              <w:t>請依</w:t>
            </w:r>
            <w:proofErr w:type="gramStart"/>
            <w:r w:rsidRPr="00F4328B">
              <w:rPr>
                <w:rFonts w:ascii="標楷體" w:eastAsia="標楷體" w:hAnsi="標楷體" w:hint="eastAsia"/>
              </w:rPr>
              <w:t>證期局發布</w:t>
            </w:r>
            <w:proofErr w:type="gramEnd"/>
            <w:r w:rsidRPr="00F4328B">
              <w:rPr>
                <w:rFonts w:ascii="標楷體" w:eastAsia="標楷體" w:hAnsi="標楷體" w:hint="eastAsia"/>
              </w:rPr>
              <w:t>之「採用國際財務報導準則（IFRSs）後，提列特別盈餘公積之適用疑義問答」規定辦理。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ind w:left="2" w:hanging="1"/>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16</w:t>
            </w:r>
          </w:p>
        </w:tc>
        <w:tc>
          <w:tcPr>
            <w:tcW w:w="5953" w:type="dxa"/>
          </w:tcPr>
          <w:p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1.依</w:t>
            </w:r>
            <w:r w:rsidRPr="00F4328B">
              <w:rPr>
                <w:rFonts w:ascii="標楷體" w:eastAsia="標楷體" w:hAnsi="標楷體" w:hint="eastAsia"/>
              </w:rPr>
              <w:t>IFRS10之規定，如出售子公司股權惟仍保留控制之情況，係依股權之交易不認列損益。其公允價值與</w:t>
            </w:r>
            <w:proofErr w:type="gramStart"/>
            <w:r w:rsidRPr="00F4328B">
              <w:rPr>
                <w:rFonts w:ascii="標楷體" w:eastAsia="標楷體" w:hAnsi="標楷體" w:hint="eastAsia"/>
              </w:rPr>
              <w:t>帳面</w:t>
            </w:r>
            <w:proofErr w:type="gramEnd"/>
            <w:r w:rsidRPr="00F4328B">
              <w:rPr>
                <w:rFonts w:ascii="標楷體" w:eastAsia="標楷體" w:hAnsi="標楷體" w:hint="eastAsia"/>
              </w:rPr>
              <w:t>價值間之差異，</w:t>
            </w:r>
            <w:proofErr w:type="gramStart"/>
            <w:r w:rsidRPr="00F4328B">
              <w:rPr>
                <w:rFonts w:ascii="標楷體" w:eastAsia="標楷體" w:hAnsi="標楷體" w:hint="eastAsia"/>
              </w:rPr>
              <w:t>係認列</w:t>
            </w:r>
            <w:proofErr w:type="gramEnd"/>
            <w:r w:rsidRPr="00F4328B">
              <w:rPr>
                <w:rFonts w:ascii="標楷體" w:eastAsia="標楷體" w:hAnsi="標楷體" w:hint="eastAsia"/>
              </w:rPr>
              <w:t>於股東權益科目。該股東權益科目，係為保留盈餘或資本公積？如為保留盈餘者，是否可分配或有其他限制；如為資本公積者，可否撥充資本或彌補虧損？</w:t>
            </w:r>
          </w:p>
          <w:p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2.依回答1.，如</w:t>
            </w:r>
            <w:proofErr w:type="gramStart"/>
            <w:r w:rsidRPr="00F4328B">
              <w:rPr>
                <w:rFonts w:ascii="標楷體" w:eastAsia="標楷體" w:hAnsi="標楷體" w:hint="eastAsia"/>
              </w:rPr>
              <w:t>需借記資本公積時</w:t>
            </w:r>
            <w:proofErr w:type="gramEnd"/>
            <w:r w:rsidRPr="00F4328B">
              <w:rPr>
                <w:rFonts w:ascii="標楷體" w:eastAsia="標楷體" w:hAnsi="標楷體" w:hint="eastAsia"/>
              </w:rPr>
              <w:t>，是否限制</w:t>
            </w:r>
            <w:proofErr w:type="gramStart"/>
            <w:r w:rsidRPr="00F4328B">
              <w:rPr>
                <w:rFonts w:ascii="標楷體" w:eastAsia="標楷體" w:hAnsi="標楷體" w:hint="eastAsia"/>
              </w:rPr>
              <w:t>可借記之</w:t>
            </w:r>
            <w:proofErr w:type="gramEnd"/>
            <w:r w:rsidRPr="00F4328B">
              <w:rPr>
                <w:rFonts w:ascii="標楷體" w:eastAsia="標楷體" w:hAnsi="標楷體" w:hint="eastAsia"/>
              </w:rPr>
              <w:t>資本公積種類？</w:t>
            </w:r>
          </w:p>
        </w:tc>
        <w:tc>
          <w:tcPr>
            <w:tcW w:w="5245"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w:t>
            </w:r>
            <w:r w:rsidRPr="00F4328B">
              <w:rPr>
                <w:rFonts w:ascii="標楷體" w:eastAsia="標楷體" w:hAnsi="標楷體" w:hint="eastAsia"/>
              </w:rPr>
              <w:t>IFRS10之精神將出售子公司股權，但未喪失控制力視為「權益交易」，會計上宜直接調整母公司帳上之資本公積，</w:t>
            </w:r>
            <w:r w:rsidRPr="00F4328B">
              <w:rPr>
                <w:rFonts w:ascii="標楷體" w:eastAsia="標楷體" w:hAnsi="標楷體"/>
              </w:rPr>
              <w:t>(合併報表上歸屬於控制權益之資本公積)並於資本公</w:t>
            </w:r>
            <w:proofErr w:type="gramStart"/>
            <w:r w:rsidRPr="00F4328B">
              <w:rPr>
                <w:rFonts w:ascii="標楷體" w:eastAsia="標楷體" w:hAnsi="標楷體" w:hint="eastAsia"/>
              </w:rPr>
              <w:t>積借記</w:t>
            </w:r>
            <w:proofErr w:type="gramEnd"/>
            <w:r w:rsidRPr="00F4328B">
              <w:rPr>
                <w:rFonts w:ascii="標楷體" w:eastAsia="標楷體" w:hAnsi="標楷體" w:hint="eastAsia"/>
              </w:rPr>
              <w:t>有不足時，</w:t>
            </w:r>
            <w:r w:rsidRPr="00F4328B">
              <w:rPr>
                <w:rFonts w:ascii="標楷體" w:eastAsia="標楷體" w:hAnsi="標楷體"/>
              </w:rPr>
              <w:t>(差額)</w:t>
            </w:r>
            <w:proofErr w:type="gramStart"/>
            <w:r w:rsidRPr="00F4328B">
              <w:rPr>
                <w:rFonts w:ascii="標楷體" w:eastAsia="標楷體" w:hAnsi="標楷體" w:hint="eastAsia"/>
              </w:rPr>
              <w:t>借記保留</w:t>
            </w:r>
            <w:proofErr w:type="gramEnd"/>
            <w:r w:rsidRPr="00F4328B">
              <w:rPr>
                <w:rFonts w:ascii="標楷體" w:eastAsia="標楷體" w:hAnsi="標楷體" w:hint="eastAsia"/>
              </w:rPr>
              <w:t>盈餘。</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w:t>
            </w:r>
            <w:proofErr w:type="gramStart"/>
            <w:r w:rsidRPr="00F4328B">
              <w:rPr>
                <w:rFonts w:ascii="標楷體" w:eastAsia="標楷體" w:hAnsi="標楷體" w:hint="eastAsia"/>
              </w:rPr>
              <w:t>應借記同</w:t>
            </w:r>
            <w:proofErr w:type="gramEnd"/>
            <w:r w:rsidRPr="00F4328B">
              <w:rPr>
                <w:rFonts w:ascii="標楷體" w:eastAsia="標楷體" w:hAnsi="標楷體" w:hint="eastAsia"/>
              </w:rPr>
              <w:t>種類交易所產生之資本公積。</w:t>
            </w:r>
          </w:p>
          <w:p w:rsidR="00F4328B" w:rsidRPr="00F4328B" w:rsidRDefault="00F4328B" w:rsidP="008B4DE4">
            <w:pPr>
              <w:snapToGrid w:val="0"/>
              <w:ind w:leftChars="1" w:left="2" w:rightChars="26" w:right="62" w:firstLine="1"/>
              <w:rPr>
                <w:rFonts w:ascii="標楷體" w:eastAsia="標楷體" w:hAnsi="標楷體"/>
              </w:rPr>
            </w:pP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母公司對子公司所有權權益之變動資本公積</w:t>
            </w:r>
          </w:p>
        </w:tc>
        <w:tc>
          <w:tcPr>
            <w:tcW w:w="1417" w:type="dxa"/>
          </w:tcPr>
          <w:p w:rsidR="00F4328B" w:rsidRPr="00F4328B" w:rsidRDefault="00F4328B" w:rsidP="008B4DE4">
            <w:pPr>
              <w:snapToGrid w:val="0"/>
              <w:ind w:leftChars="1" w:left="2" w:rightChars="26" w:right="62" w:firstLine="1"/>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17</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於</w:t>
            </w:r>
            <w:r w:rsidRPr="00F4328B">
              <w:rPr>
                <w:rFonts w:ascii="標楷體" w:eastAsia="標楷體" w:hAnsi="標楷體"/>
              </w:rPr>
              <w:t>IFRSs</w:t>
            </w:r>
            <w:proofErr w:type="gramStart"/>
            <w:r w:rsidRPr="00F4328B">
              <w:rPr>
                <w:rFonts w:ascii="標楷體" w:eastAsia="標楷體" w:hAnsi="標楷體" w:hint="eastAsia"/>
              </w:rPr>
              <w:t>開帳</w:t>
            </w:r>
            <w:proofErr w:type="gramEnd"/>
            <w:r w:rsidRPr="00F4328B">
              <w:rPr>
                <w:rFonts w:ascii="標楷體" w:eastAsia="標楷體" w:hAnsi="標楷體" w:hint="eastAsia"/>
              </w:rPr>
              <w:t>時，企業並無「</w:t>
            </w:r>
            <w:r w:rsidRPr="00F4328B">
              <w:rPr>
                <w:rFonts w:ascii="標楷體" w:eastAsia="標楷體" w:hAnsi="標楷體"/>
              </w:rPr>
              <w:t xml:space="preserve">3230 </w:t>
            </w:r>
            <w:r w:rsidRPr="00F4328B">
              <w:rPr>
                <w:rFonts w:ascii="標楷體" w:eastAsia="標楷體" w:hAnsi="標楷體" w:hint="eastAsia"/>
              </w:rPr>
              <w:t>資本公積－實</w:t>
            </w:r>
            <w:r w:rsidRPr="00F4328B">
              <w:rPr>
                <w:rFonts w:ascii="標楷體" w:eastAsia="標楷體" w:hAnsi="標楷體"/>
              </w:rPr>
              <w:t>際</w:t>
            </w:r>
            <w:r w:rsidRPr="00F4328B">
              <w:rPr>
                <w:rFonts w:ascii="標楷體" w:eastAsia="標楷體" w:hAnsi="標楷體" w:hint="eastAsia"/>
              </w:rPr>
              <w:t>取</w:t>
            </w:r>
            <w:r w:rsidRPr="00F4328B">
              <w:rPr>
                <w:rFonts w:ascii="標楷體" w:eastAsia="標楷體" w:hAnsi="標楷體"/>
              </w:rPr>
              <w:t>得或</w:t>
            </w:r>
            <w:r w:rsidRPr="00F4328B">
              <w:rPr>
                <w:rFonts w:ascii="標楷體" w:eastAsia="標楷體" w:hAnsi="標楷體" w:hint="eastAsia"/>
              </w:rPr>
              <w:t>處分子公司股權價格與</w:t>
            </w:r>
            <w:proofErr w:type="gramStart"/>
            <w:r w:rsidRPr="00F4328B">
              <w:rPr>
                <w:rFonts w:ascii="標楷體" w:eastAsia="標楷體" w:hAnsi="標楷體" w:hint="eastAsia"/>
              </w:rPr>
              <w:t>帳面</w:t>
            </w:r>
            <w:proofErr w:type="gramEnd"/>
            <w:r w:rsidRPr="00F4328B">
              <w:rPr>
                <w:rFonts w:ascii="標楷體" w:eastAsia="標楷體" w:hAnsi="標楷體" w:hint="eastAsia"/>
              </w:rPr>
              <w:t>價值差額」帳列餘額，按IFRS10</w:t>
            </w:r>
            <w:r w:rsidR="00F077C5">
              <w:rPr>
                <w:rFonts w:ascii="標楷體" w:eastAsia="標楷體" w:hAnsi="標楷體" w:hint="eastAsia"/>
              </w:rPr>
              <w:t>第</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及IFRS10</w:t>
            </w:r>
            <w:r w:rsidR="00F077C5">
              <w:rPr>
                <w:rFonts w:ascii="標楷體" w:eastAsia="標楷體" w:hAnsi="標楷體" w:hint="eastAsia"/>
              </w:rPr>
              <w:t>第</w:t>
            </w:r>
            <w:r w:rsidRPr="00F4328B">
              <w:rPr>
                <w:rFonts w:ascii="標楷體" w:eastAsia="標楷體" w:hAnsi="標楷體" w:hint="eastAsia"/>
              </w:rPr>
              <w:t>B96</w:t>
            </w:r>
            <w:r w:rsidR="00F077C5">
              <w:rPr>
                <w:rFonts w:ascii="標楷體" w:eastAsia="標楷體" w:hAnsi="標楷體" w:hint="eastAsia"/>
              </w:rPr>
              <w:t>段</w:t>
            </w:r>
            <w:r w:rsidRPr="00F4328B">
              <w:rPr>
                <w:rFonts w:ascii="標楷體" w:eastAsia="標楷體" w:hAnsi="標楷體"/>
              </w:rPr>
              <w:t>之規定調整時，可能立即產生借方餘額。</w:t>
            </w:r>
            <w:r w:rsidR="00F077C5">
              <w:rPr>
                <w:rFonts w:ascii="標楷體" w:eastAsia="標楷體" w:hAnsi="標楷體" w:hint="eastAsia"/>
              </w:rPr>
              <w:t>請問</w:t>
            </w:r>
            <w:r w:rsidRPr="00F4328B">
              <w:rPr>
                <w:rFonts w:ascii="標楷體" w:eastAsia="標楷體" w:hAnsi="標楷體" w:hint="eastAsia"/>
              </w:rPr>
              <w:t>：</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1.該科目是否得產生借方餘額？</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2.該</w:t>
            </w:r>
            <w:proofErr w:type="gramStart"/>
            <w:r w:rsidRPr="00F4328B">
              <w:rPr>
                <w:rFonts w:ascii="標楷體" w:eastAsia="標楷體" w:hAnsi="標楷體"/>
              </w:rPr>
              <w:t>科目續後應</w:t>
            </w:r>
            <w:proofErr w:type="gramEnd"/>
            <w:r w:rsidRPr="00F4328B">
              <w:rPr>
                <w:rFonts w:ascii="標楷體" w:eastAsia="標楷體" w:hAnsi="標楷體"/>
              </w:rPr>
              <w:t>如何處理？</w:t>
            </w:r>
            <w:proofErr w:type="gramStart"/>
            <w:r w:rsidRPr="00F4328B">
              <w:rPr>
                <w:rFonts w:ascii="標楷體" w:eastAsia="標楷體" w:hAnsi="標楷體" w:hint="eastAsia"/>
              </w:rPr>
              <w:t>（</w:t>
            </w:r>
            <w:proofErr w:type="gramEnd"/>
            <w:r w:rsidRPr="00F4328B">
              <w:rPr>
                <w:rFonts w:ascii="標楷體" w:eastAsia="標楷體" w:hAnsi="標楷體" w:hint="eastAsia"/>
              </w:rPr>
              <w:t>若應轉列保留盈餘，應於何時轉列？若無須轉列保留盈餘，是否為已實現之資本公積？）</w:t>
            </w:r>
          </w:p>
        </w:tc>
        <w:tc>
          <w:tcPr>
            <w:tcW w:w="5245" w:type="dxa"/>
          </w:tcPr>
          <w:p w:rsidR="00F077C5" w:rsidRDefault="00F077C5"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w:t>
            </w:r>
            <w:r w:rsidR="00F4328B" w:rsidRPr="00F4328B">
              <w:rPr>
                <w:rFonts w:ascii="標楷體" w:eastAsia="標楷體" w:hAnsi="標楷體"/>
              </w:rPr>
              <w:t>3230資本公積-</w:t>
            </w:r>
            <w:r w:rsidR="00F4328B" w:rsidRPr="00F4328B">
              <w:rPr>
                <w:rFonts w:ascii="標楷體" w:eastAsia="標楷體" w:hAnsi="標楷體" w:hint="eastAsia"/>
              </w:rPr>
              <w:t>實</w:t>
            </w:r>
            <w:r w:rsidR="00F4328B" w:rsidRPr="00F4328B">
              <w:rPr>
                <w:rFonts w:ascii="標楷體" w:eastAsia="標楷體" w:hAnsi="標楷體"/>
              </w:rPr>
              <w:t>際取得或處分子公司股權價格與</w:t>
            </w:r>
            <w:proofErr w:type="gramStart"/>
            <w:r w:rsidR="00F4328B" w:rsidRPr="00F4328B">
              <w:rPr>
                <w:rFonts w:ascii="標楷體" w:eastAsia="標楷體" w:hAnsi="標楷體" w:hint="eastAsia"/>
              </w:rPr>
              <w:t>帳面</w:t>
            </w:r>
            <w:proofErr w:type="gramEnd"/>
            <w:r w:rsidR="00F4328B" w:rsidRPr="00F4328B">
              <w:rPr>
                <w:rFonts w:ascii="標楷體" w:eastAsia="標楷體" w:hAnsi="標楷體" w:hint="eastAsia"/>
              </w:rPr>
              <w:t>價值差額」如有借方餘額時應轉列保留盈餘</w:t>
            </w:r>
            <w:r w:rsidR="00496EAB">
              <w:rPr>
                <w:rFonts w:ascii="標楷體" w:eastAsia="標楷體" w:hAnsi="標楷體" w:hint="eastAsia"/>
              </w:rPr>
              <w:t>。</w:t>
            </w:r>
          </w:p>
          <w:p w:rsidR="00F4328B" w:rsidRPr="00F4328B" w:rsidRDefault="00F077C5"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另該會計項目之運用請依</w:t>
            </w:r>
            <w:proofErr w:type="gramStart"/>
            <w:r w:rsidR="00F4328B" w:rsidRPr="00F4328B">
              <w:rPr>
                <w:rFonts w:ascii="標楷體" w:eastAsia="標楷體" w:hAnsi="標楷體" w:hint="eastAsia"/>
              </w:rPr>
              <w:t>證期局</w:t>
            </w:r>
            <w:r>
              <w:rPr>
                <w:rFonts w:ascii="標楷體" w:eastAsia="標楷體" w:hAnsi="標楷體" w:hint="eastAsia"/>
              </w:rPr>
              <w:t>發布</w:t>
            </w:r>
            <w:proofErr w:type="gramEnd"/>
            <w:r>
              <w:rPr>
                <w:rFonts w:ascii="標楷體" w:eastAsia="標楷體" w:hAnsi="標楷體" w:hint="eastAsia"/>
              </w:rPr>
              <w:t>之</w:t>
            </w:r>
            <w:r w:rsidR="00F4328B" w:rsidRPr="00F4328B">
              <w:rPr>
                <w:rFonts w:ascii="標楷體" w:eastAsia="標楷體" w:hAnsi="標楷體" w:hint="eastAsia"/>
              </w:rPr>
              <w:t>「公司對子公司所有權權益之變動所產生之資本公積，適用公司法規定情形問答集 (104.9.30)」辦理。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母公司對子公司所有權權益之變動資本公積</w:t>
            </w:r>
          </w:p>
        </w:tc>
        <w:tc>
          <w:tcPr>
            <w:tcW w:w="1417" w:type="dxa"/>
          </w:tcPr>
          <w:p w:rsidR="00F4328B" w:rsidRPr="00F4328B" w:rsidRDefault="00F4328B" w:rsidP="008B4DE4">
            <w:pPr>
              <w:snapToGrid w:val="0"/>
              <w:rPr>
                <w:rFonts w:ascii="標楷體" w:eastAsia="標楷體" w:hAnsi="標楷體"/>
              </w:rPr>
            </w:pPr>
          </w:p>
        </w:tc>
      </w:tr>
      <w:tr w:rsidR="00F4328B" w:rsidRPr="00F4328B" w:rsidTr="003D0A5A">
        <w:trPr>
          <w:trHeight w:val="1176"/>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18</w:t>
            </w:r>
          </w:p>
        </w:tc>
        <w:tc>
          <w:tcPr>
            <w:tcW w:w="5953"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企業如因會計錯誤已依IAS8規定追溯適用並調整前期資訊時，是否仍應依證交法施行細則第6條規定辦理？</w:t>
            </w:r>
          </w:p>
        </w:tc>
        <w:tc>
          <w:tcPr>
            <w:tcW w:w="5245"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請依</w:t>
            </w:r>
            <w:r w:rsidRPr="00F4328B">
              <w:rPr>
                <w:rFonts w:ascii="標楷體" w:eastAsia="標楷體" w:hAnsi="標楷體"/>
              </w:rPr>
              <w:t>證券交易法施行細則第6條規定</w:t>
            </w:r>
            <w:r w:rsidRPr="00F4328B">
              <w:rPr>
                <w:rFonts w:ascii="標楷體" w:eastAsia="標楷體" w:hAnsi="標楷體" w:hint="eastAsia"/>
              </w:rPr>
              <w:t>辦理。</w:t>
            </w: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會計變動</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19</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首次採用IFRSs而變更會計政策或會計估計時，是否</w:t>
            </w:r>
            <w:proofErr w:type="gramStart"/>
            <w:r w:rsidRPr="00F4328B">
              <w:rPr>
                <w:rFonts w:ascii="標楷體" w:eastAsia="標楷體" w:hAnsi="標楷體" w:hint="eastAsia"/>
              </w:rPr>
              <w:t>須依金管</w:t>
            </w:r>
            <w:proofErr w:type="gramEnd"/>
            <w:r w:rsidRPr="00F4328B">
              <w:rPr>
                <w:rFonts w:ascii="標楷體" w:eastAsia="標楷體" w:hAnsi="標楷體" w:hint="eastAsia"/>
              </w:rPr>
              <w:t>會發布之各</w:t>
            </w:r>
            <w:proofErr w:type="gramStart"/>
            <w:r w:rsidRPr="00F4328B">
              <w:rPr>
                <w:rFonts w:ascii="標楷體" w:eastAsia="標楷體" w:hAnsi="標楷體" w:hint="eastAsia"/>
              </w:rPr>
              <w:t>業別編製</w:t>
            </w:r>
            <w:proofErr w:type="gramEnd"/>
            <w:r w:rsidRPr="00F4328B">
              <w:rPr>
                <w:rFonts w:ascii="標楷體" w:eastAsia="標楷體" w:hAnsi="標楷體" w:hint="eastAsia"/>
              </w:rPr>
              <w:t>準則辦理公告申報或申請核准等程序?</w:t>
            </w:r>
          </w:p>
        </w:tc>
        <w:tc>
          <w:tcPr>
            <w:tcW w:w="5245"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企業於首次採用IFRSs，而依IFRS 1規定重新評估會計政策之採用或變更其會計估計時，因係依公報規定所為之會計政策或會計估計變動，尚非自願改變，故無須適用金管會發布之各</w:t>
            </w:r>
            <w:proofErr w:type="gramStart"/>
            <w:r w:rsidRPr="00F4328B">
              <w:rPr>
                <w:rFonts w:ascii="標楷體" w:eastAsia="標楷體" w:hAnsi="標楷體" w:hint="eastAsia"/>
              </w:rPr>
              <w:t>業別編製</w:t>
            </w:r>
            <w:proofErr w:type="gramEnd"/>
            <w:r w:rsidRPr="00F4328B">
              <w:rPr>
                <w:rFonts w:ascii="標楷體" w:eastAsia="標楷體" w:hAnsi="標楷體" w:hint="eastAsia"/>
              </w:rPr>
              <w:t>準則第6條規定，至於自願改變會計政策或估計，應依該規定辦理。</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會計變動</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20</w:t>
            </w:r>
          </w:p>
        </w:tc>
        <w:tc>
          <w:tcPr>
            <w:tcW w:w="5953" w:type="dxa"/>
          </w:tcPr>
          <w:p w:rsid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 34「期中財務報導」規定，企業可選擇發布整份（如同年度財務報表，包含四大表及附註）或簡</w:t>
            </w:r>
            <w:r w:rsidR="00F4328B" w:rsidRPr="00F4328B">
              <w:rPr>
                <w:rFonts w:ascii="標楷體" w:eastAsia="標楷體" w:hAnsi="標楷體" w:hint="eastAsia"/>
              </w:rPr>
              <w:t>明期中財務報表。我國未來採用IFRSs後，是否可依IAS 34「期中財務報導」規定，選擇簡明期中財務報表？</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主管機關初步決定未來仍維持期中報表為整份之財務報表，惟IFRSs下之揭露要求較我國為多，且需要公司花很多時間準備，如IFR</w:t>
            </w:r>
            <w:r w:rsidR="00F4328B" w:rsidRPr="00F4328B">
              <w:rPr>
                <w:rFonts w:ascii="標楷體" w:eastAsia="標楷體" w:hAnsi="標楷體"/>
              </w:rPr>
              <w:t>S 7等，是否考慮</w:t>
            </w:r>
            <w:proofErr w:type="gramStart"/>
            <w:r w:rsidR="00F4328B" w:rsidRPr="00F4328B">
              <w:rPr>
                <w:rFonts w:ascii="標楷體" w:eastAsia="標楷體" w:hAnsi="標楷體" w:hint="eastAsia"/>
              </w:rPr>
              <w:t>採</w:t>
            </w:r>
            <w:proofErr w:type="gramEnd"/>
            <w:r w:rsidR="00F4328B" w:rsidRPr="00F4328B">
              <w:rPr>
                <w:rFonts w:ascii="標楷體" w:eastAsia="標楷體" w:hAnsi="標楷體" w:hint="eastAsia"/>
              </w:rPr>
              <w:t>韓國模式全面採用</w:t>
            </w:r>
            <w:r w:rsidR="00F4328B" w:rsidRPr="00F4328B">
              <w:rPr>
                <w:rFonts w:ascii="標楷體" w:eastAsia="標楷體" w:hAnsi="標楷體"/>
              </w:rPr>
              <w:t>IFRSs下之簡</w:t>
            </w:r>
            <w:r w:rsidR="00F4328B" w:rsidRPr="00F4328B">
              <w:rPr>
                <w:rFonts w:ascii="標楷體" w:eastAsia="標楷體" w:hAnsi="標楷體" w:hint="eastAsia"/>
              </w:rPr>
              <w:t>明期中報表( Condensed financial report) ？例如對第一季及第三季</w:t>
            </w:r>
            <w:proofErr w:type="gramStart"/>
            <w:r w:rsidR="00F4328B" w:rsidRPr="00F4328B">
              <w:rPr>
                <w:rFonts w:ascii="標楷體" w:eastAsia="標楷體" w:hAnsi="標楷體" w:hint="eastAsia"/>
              </w:rPr>
              <w:t>季</w:t>
            </w:r>
            <w:proofErr w:type="gramEnd"/>
            <w:r w:rsidR="00F4328B" w:rsidRPr="00F4328B">
              <w:rPr>
                <w:rFonts w:ascii="標楷體" w:eastAsia="標楷體" w:hAnsi="標楷體" w:hint="eastAsia"/>
              </w:rPr>
              <w:t>報採用簡式期中報表，而半年報及年報仍維持整份之財務報表？</w:t>
            </w:r>
          </w:p>
          <w:p w:rsidR="00F4328B" w:rsidRPr="0095541D"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hint="eastAsia"/>
              </w:rPr>
              <w:t>在適用IFRS後，期中報表若不採用IAS 34編製簡明期中財務報表，而依</w:t>
            </w:r>
            <w:r w:rsidR="00F4328B" w:rsidRPr="00F4328B">
              <w:rPr>
                <w:rFonts w:ascii="標楷體" w:eastAsia="標楷體" w:hAnsi="標楷體"/>
              </w:rPr>
              <w:t>IAS 1編製整份財務報表，許多附註揭露內容編製難度較高（</w:t>
            </w:r>
            <w:proofErr w:type="gramStart"/>
            <w:r w:rsidR="00F4328B" w:rsidRPr="00F4328B">
              <w:rPr>
                <w:rFonts w:ascii="標楷體" w:eastAsia="標楷體" w:hAnsi="標楷體" w:hint="eastAsia"/>
              </w:rPr>
              <w:t>例舉</w:t>
            </w:r>
            <w:proofErr w:type="gramEnd"/>
            <w:r w:rsidR="00F4328B" w:rsidRPr="00F4328B">
              <w:rPr>
                <w:rFonts w:ascii="標楷體" w:eastAsia="標楷體" w:hAnsi="標楷體" w:hint="eastAsia"/>
              </w:rPr>
              <w:t>如下），是否有其他可行作法？</w:t>
            </w:r>
            <w:r w:rsidR="00F4328B" w:rsidRPr="00F4328B">
              <w:rPr>
                <w:rFonts w:ascii="標楷體" w:eastAsia="標楷體" w:hAnsi="標楷體"/>
              </w:rPr>
              <w:br/>
              <w:t>(1)IFRS 8；</w:t>
            </w:r>
            <w:r w:rsidR="00F4328B" w:rsidRPr="00F4328B">
              <w:rPr>
                <w:rFonts w:ascii="標楷體" w:eastAsia="標楷體" w:hAnsi="標楷體"/>
              </w:rPr>
              <w:br/>
              <w:t>(2)IAS 19</w:t>
            </w:r>
            <w:r>
              <w:rPr>
                <w:rFonts w:ascii="標楷體" w:eastAsia="標楷體" w:hAnsi="標楷體" w:hint="eastAsia"/>
              </w:rPr>
              <w:t>第</w:t>
            </w:r>
            <w:r w:rsidR="00F4328B" w:rsidRPr="00F4328B">
              <w:rPr>
                <w:rFonts w:ascii="標楷體" w:eastAsia="標楷體" w:hAnsi="標楷體"/>
              </w:rPr>
              <w:t>120A</w:t>
            </w:r>
            <w:r>
              <w:rPr>
                <w:rFonts w:ascii="標楷體" w:eastAsia="標楷體" w:hAnsi="標楷體" w:hint="eastAsia"/>
              </w:rPr>
              <w:t>段</w:t>
            </w:r>
            <w:r w:rsidR="00F4328B" w:rsidRPr="00F4328B">
              <w:rPr>
                <w:rFonts w:ascii="標楷體" w:eastAsia="標楷體" w:hAnsi="標楷體"/>
              </w:rPr>
              <w:t>確定給付計畫相關義務與資產的精</w:t>
            </w:r>
            <w:r w:rsidR="00F4328B" w:rsidRPr="0095541D">
              <w:rPr>
                <w:rFonts w:ascii="標楷體" w:eastAsia="標楷體" w:hAnsi="標楷體"/>
              </w:rPr>
              <w:t>算資訊；</w:t>
            </w:r>
            <w:r w:rsidR="00F4328B" w:rsidRPr="0095541D">
              <w:rPr>
                <w:rFonts w:ascii="標楷體" w:eastAsia="標楷體" w:hAnsi="標楷體"/>
              </w:rPr>
              <w:br/>
              <w:t>(3)IAS 1</w:t>
            </w:r>
            <w:r>
              <w:rPr>
                <w:rFonts w:ascii="標楷體" w:eastAsia="標楷體" w:hAnsi="標楷體" w:hint="eastAsia"/>
              </w:rPr>
              <w:t>第</w:t>
            </w:r>
            <w:r w:rsidR="00F4328B" w:rsidRPr="0095541D">
              <w:rPr>
                <w:rFonts w:ascii="標楷體" w:eastAsia="標楷體" w:hAnsi="標楷體"/>
              </w:rPr>
              <w:t>39</w:t>
            </w:r>
            <w:r>
              <w:rPr>
                <w:rFonts w:ascii="標楷體" w:eastAsia="標楷體" w:hAnsi="標楷體" w:hint="eastAsia"/>
              </w:rPr>
              <w:t>段</w:t>
            </w:r>
            <w:r w:rsidR="00F4328B" w:rsidRPr="0095541D">
              <w:rPr>
                <w:rFonts w:ascii="標楷體" w:eastAsia="標楷體" w:hAnsi="標楷體" w:hint="eastAsia"/>
              </w:rPr>
              <w:t>會計追溯適用或財務報表追溯重編、重分類時，應列報三期之財務狀況表。</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F4328B">
              <w:rPr>
                <w:rFonts w:ascii="標楷體" w:eastAsia="標楷體" w:hAnsi="標楷體" w:hint="eastAsia"/>
              </w:rPr>
              <w:t>未來期中財務報表將為整份之財務報表，因</w:t>
            </w:r>
            <w:r w:rsidR="00F4328B" w:rsidRPr="00F4328B">
              <w:rPr>
                <w:rFonts w:ascii="標楷體" w:eastAsia="標楷體" w:hAnsi="標楷體"/>
              </w:rPr>
              <w:t>IFRSs許多附註揭露內容編製難度較高，是否參考韓國作法簡化期中財務報表之揭露。</w:t>
            </w:r>
          </w:p>
        </w:tc>
        <w:tc>
          <w:tcPr>
            <w:tcW w:w="5245"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1.因IFRSs之制訂適用於全世界，惟</w:t>
            </w:r>
            <w:r w:rsidRPr="00F4328B">
              <w:rPr>
                <w:rFonts w:ascii="標楷體" w:eastAsia="標楷體" w:hAnsi="標楷體" w:hint="eastAsia"/>
              </w:rPr>
              <w:t>各證券市場發展情況不一，</w:t>
            </w:r>
            <w:r w:rsidRPr="00F4328B">
              <w:rPr>
                <w:rFonts w:ascii="標楷體" w:eastAsia="標楷體" w:hAnsi="標楷體"/>
              </w:rPr>
              <w:t>部分國家原本</w:t>
            </w:r>
            <w:r w:rsidRPr="00F4328B">
              <w:rPr>
                <w:rFonts w:ascii="標楷體" w:eastAsia="標楷體" w:hAnsi="標楷體" w:hint="eastAsia"/>
              </w:rPr>
              <w:t>並</w:t>
            </w:r>
            <w:r w:rsidRPr="00F4328B">
              <w:rPr>
                <w:rFonts w:ascii="標楷體" w:eastAsia="標楷體" w:hAnsi="標楷體"/>
              </w:rPr>
              <w:t>無期中財務報表之規範，為使</w:t>
            </w:r>
            <w:r w:rsidRPr="00F4328B">
              <w:rPr>
                <w:rFonts w:ascii="標楷體" w:eastAsia="標楷體" w:hAnsi="標楷體" w:hint="eastAsia"/>
              </w:rPr>
              <w:t>各個</w:t>
            </w:r>
            <w:proofErr w:type="gramStart"/>
            <w:r w:rsidRPr="00F4328B">
              <w:rPr>
                <w:rFonts w:ascii="標楷體" w:eastAsia="標楷體" w:hAnsi="標楷體" w:hint="eastAsia"/>
              </w:rPr>
              <w:t>國家均能</w:t>
            </w:r>
            <w:r w:rsidRPr="00F4328B">
              <w:rPr>
                <w:rFonts w:ascii="標楷體" w:eastAsia="標楷體" w:hAnsi="標楷體"/>
              </w:rPr>
              <w:t>順利</w:t>
            </w:r>
            <w:proofErr w:type="gramEnd"/>
            <w:r w:rsidRPr="00F4328B">
              <w:rPr>
                <w:rFonts w:ascii="標楷體" w:eastAsia="標楷體" w:hAnsi="標楷體"/>
              </w:rPr>
              <w:t>採用IFRSs</w:t>
            </w:r>
            <w:r w:rsidRPr="00F4328B">
              <w:rPr>
                <w:rFonts w:ascii="標楷體" w:eastAsia="標楷體" w:hAnsi="標楷體" w:hint="eastAsia"/>
              </w:rPr>
              <w:t>，</w:t>
            </w:r>
            <w:r w:rsidRPr="00F4328B">
              <w:rPr>
                <w:rFonts w:ascii="標楷體" w:eastAsia="標楷體" w:hAnsi="標楷體"/>
              </w:rPr>
              <w:t>IAS 34</w:t>
            </w:r>
            <w:proofErr w:type="gramStart"/>
            <w:r w:rsidRPr="00F4328B">
              <w:rPr>
                <w:rFonts w:ascii="標楷體" w:eastAsia="標楷體" w:hAnsi="標楷體" w:hint="eastAsia"/>
              </w:rPr>
              <w:t>爰</w:t>
            </w:r>
            <w:proofErr w:type="gramEnd"/>
            <w:r w:rsidRPr="00F4328B">
              <w:rPr>
                <w:rFonts w:ascii="標楷體" w:eastAsia="標楷體" w:hAnsi="標楷體" w:hint="eastAsia"/>
              </w:rPr>
              <w:t>有簡明財務報表之選擇。基於我國公開發行公司自實施期中財務報表以來，半年度財務報告即提供整份期中財務報表，季</w:t>
            </w:r>
            <w:proofErr w:type="gramStart"/>
            <w:r w:rsidRPr="00F4328B">
              <w:rPr>
                <w:rFonts w:ascii="標楷體" w:eastAsia="標楷體" w:hAnsi="標楷體" w:hint="eastAsia"/>
              </w:rPr>
              <w:t>報亦除未</w:t>
            </w:r>
            <w:proofErr w:type="gramEnd"/>
            <w:r w:rsidRPr="00F4328B">
              <w:rPr>
                <w:rFonts w:ascii="標楷體" w:eastAsia="標楷體" w:hAnsi="標楷體" w:hint="eastAsia"/>
              </w:rPr>
              <w:t>提供股東權益變動表外，其餘大表及</w:t>
            </w:r>
            <w:proofErr w:type="gramStart"/>
            <w:r w:rsidRPr="00F4328B">
              <w:rPr>
                <w:rFonts w:ascii="標楷體" w:eastAsia="標楷體" w:hAnsi="標楷體" w:hint="eastAsia"/>
              </w:rPr>
              <w:t>附註均與整</w:t>
            </w:r>
            <w:proofErr w:type="gramEnd"/>
            <w:r w:rsidRPr="00F4328B">
              <w:rPr>
                <w:rFonts w:ascii="標楷體" w:eastAsia="標楷體" w:hAnsi="標楷體" w:hint="eastAsia"/>
              </w:rPr>
              <w:t>份財務報表相同，並無適用上之困難，為避免降低資訊透明度及完整性，主管機關已修正發布證券發行人財務報告編製準則，包括年度及期中報表範圍及揭露之規範。</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2.依證券發行人財務報告編製準則第7條及第</w:t>
            </w:r>
            <w:r w:rsidRPr="00F4328B">
              <w:rPr>
                <w:rFonts w:ascii="標楷體" w:eastAsia="標楷體" w:hAnsi="標楷體"/>
              </w:rPr>
              <w:t>20條，期中財務報告之編製應依第2章、第3章及IAS34</w:t>
            </w:r>
            <w:r w:rsidRPr="00F4328B">
              <w:rPr>
                <w:rFonts w:ascii="標楷體" w:eastAsia="標楷體" w:hAnsi="標楷體" w:hint="eastAsia"/>
              </w:rPr>
              <w:t>規定辦理，包括資產負債表、綜合損益表、權益變動表及現金流量表等完整財務報表。期中財務報表附註應依</w:t>
            </w:r>
            <w:r w:rsidRPr="00F4328B">
              <w:rPr>
                <w:rFonts w:ascii="標楷體" w:eastAsia="標楷體" w:hAnsi="標楷體"/>
              </w:rPr>
              <w:t>IAS 34</w:t>
            </w:r>
            <w:r w:rsidRPr="00F4328B">
              <w:rPr>
                <w:rFonts w:ascii="標楷體" w:eastAsia="標楷體" w:hAnsi="標楷體" w:hint="eastAsia"/>
              </w:rPr>
              <w:t>及編製準則規定揭露。</w:t>
            </w:r>
          </w:p>
          <w:p w:rsidR="00F4328B" w:rsidRPr="00F4328B" w:rsidRDefault="00F4328B" w:rsidP="008B4DE4">
            <w:pPr>
              <w:snapToGrid w:val="0"/>
              <w:ind w:right="62"/>
              <w:rPr>
                <w:rFonts w:ascii="標楷體" w:eastAsia="標楷體" w:hAnsi="標楷體"/>
              </w:rPr>
            </w:pP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期中財報</w:t>
            </w:r>
          </w:p>
        </w:tc>
        <w:tc>
          <w:tcPr>
            <w:tcW w:w="1417" w:type="dxa"/>
          </w:tcPr>
          <w:p w:rsidR="00F4328B" w:rsidRPr="00F4328B" w:rsidRDefault="00F4328B" w:rsidP="008B4DE4">
            <w:pPr>
              <w:snapToGrid w:val="0"/>
              <w:ind w:left="360" w:right="62" w:hangingChars="150" w:hanging="36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21</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rPr>
              <w:t>IAS 24</w:t>
            </w:r>
            <w:r w:rsidR="008B4DE4">
              <w:rPr>
                <w:rFonts w:ascii="標楷體" w:eastAsia="標楷體" w:hAnsi="標楷體" w:hint="eastAsia"/>
              </w:rPr>
              <w:t>第</w:t>
            </w:r>
            <w:r w:rsidRPr="00F4328B">
              <w:rPr>
                <w:rFonts w:ascii="標楷體" w:eastAsia="標楷體" w:hAnsi="標楷體"/>
              </w:rPr>
              <w:t>17</w:t>
            </w:r>
            <w:r w:rsidR="008B4DE4">
              <w:rPr>
                <w:rFonts w:ascii="標楷體" w:eastAsia="標楷體" w:hAnsi="標楷體" w:hint="eastAsia"/>
              </w:rPr>
              <w:t>段規定</w:t>
            </w:r>
            <w:r w:rsidRPr="00F4328B">
              <w:rPr>
                <w:rFonts w:ascii="標楷體" w:eastAsia="標楷體" w:hAnsi="標楷體"/>
              </w:rPr>
              <w:t>「個體應揭露主要管理</w:t>
            </w:r>
            <w:r w:rsidRPr="00F4328B">
              <w:rPr>
                <w:rFonts w:ascii="標楷體" w:eastAsia="標楷體" w:hAnsi="標楷體" w:hint="eastAsia"/>
              </w:rPr>
              <w:t>人員薪酬之總額」資訊，惟期中財務報表是否仍需依IAS 24</w:t>
            </w:r>
            <w:r w:rsidR="008B4DE4">
              <w:rPr>
                <w:rFonts w:ascii="標楷體" w:eastAsia="標楷體" w:hAnsi="標楷體" w:hint="eastAsia"/>
              </w:rPr>
              <w:t>第</w:t>
            </w:r>
            <w:r w:rsidRPr="00F4328B">
              <w:rPr>
                <w:rFonts w:ascii="標楷體" w:eastAsia="標楷體" w:hAnsi="標楷體" w:hint="eastAsia"/>
              </w:rPr>
              <w:t>17</w:t>
            </w:r>
            <w:r w:rsidR="008B4DE4">
              <w:rPr>
                <w:rFonts w:ascii="標楷體" w:eastAsia="標楷體" w:hAnsi="標楷體" w:hint="eastAsia"/>
              </w:rPr>
              <w:t>段</w:t>
            </w:r>
            <w:r w:rsidRPr="00F4328B">
              <w:rPr>
                <w:rFonts w:ascii="標楷體" w:eastAsia="標楷體" w:hAnsi="標楷體" w:hint="eastAsia"/>
              </w:rPr>
              <w:t>於關係人交易資訊揭露主要管理人員薪酬資訊？</w:t>
            </w:r>
          </w:p>
        </w:tc>
        <w:tc>
          <w:tcPr>
            <w:tcW w:w="5245"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1.依證券發行人財務報告編製準則第7條第3項規定，發行人編製期中財務報告應依第2章、第3章及IAS34規定辦理。</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2.依IAS34第</w:t>
            </w:r>
            <w:r w:rsidRPr="00F4328B">
              <w:rPr>
                <w:rFonts w:ascii="標楷體" w:eastAsia="標楷體" w:hAnsi="標楷體"/>
              </w:rPr>
              <w:t>15</w:t>
            </w:r>
            <w:r w:rsidRPr="00F4328B">
              <w:rPr>
                <w:rFonts w:ascii="標楷體" w:eastAsia="標楷體" w:hAnsi="標楷體" w:hint="eastAsia"/>
              </w:rPr>
              <w:t>B段段規定須揭露關係人交易，</w:t>
            </w:r>
            <w:proofErr w:type="gramStart"/>
            <w:r w:rsidRPr="00F4328B">
              <w:rPr>
                <w:rFonts w:ascii="標楷體" w:eastAsia="標楷體" w:hAnsi="標楷體" w:hint="eastAsia"/>
              </w:rPr>
              <w:t>爰</w:t>
            </w:r>
            <w:proofErr w:type="gramEnd"/>
            <w:r w:rsidRPr="00F4328B">
              <w:rPr>
                <w:rFonts w:ascii="標楷體" w:eastAsia="標楷體" w:hAnsi="標楷體" w:hint="eastAsia"/>
              </w:rPr>
              <w:t>有關IAS24第17段所須揭露之項目，期中財務報告亦應揭露。</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期中財報</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653"/>
        </w:trPr>
        <w:tc>
          <w:tcPr>
            <w:tcW w:w="710" w:type="dxa"/>
            <w:shd w:val="clear" w:color="auto" w:fill="auto"/>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22</w:t>
            </w:r>
          </w:p>
        </w:tc>
        <w:tc>
          <w:tcPr>
            <w:tcW w:w="5953" w:type="dxa"/>
            <w:shd w:val="clear" w:color="auto" w:fill="auto"/>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在適用</w:t>
            </w:r>
            <w:r w:rsidRPr="00F4328B">
              <w:rPr>
                <w:rFonts w:ascii="標楷體" w:eastAsia="標楷體" w:hAnsi="標楷體"/>
              </w:rPr>
              <w:t>IFRSs後，IAS 34規定的期中財務報表表達期間為當期期中期間結束日之財務狀況表及前一財務年度結束日之比</w:t>
            </w:r>
            <w:r w:rsidRPr="00F4328B">
              <w:rPr>
                <w:rFonts w:ascii="標楷體" w:eastAsia="標楷體" w:hAnsi="標楷體" w:hint="eastAsia"/>
              </w:rPr>
              <w:t>較財務狀況表。因此在出具對期中財務報告的會計師意見時，會出現當期僅</w:t>
            </w:r>
            <w:proofErr w:type="gramStart"/>
            <w:r w:rsidRPr="00F4328B">
              <w:rPr>
                <w:rFonts w:ascii="標楷體" w:eastAsia="標楷體" w:hAnsi="標楷體" w:hint="eastAsia"/>
              </w:rPr>
              <w:t>作核閱但</w:t>
            </w:r>
            <w:proofErr w:type="gramEnd"/>
            <w:r w:rsidRPr="00F4328B">
              <w:rPr>
                <w:rFonts w:ascii="標楷體" w:eastAsia="標楷體" w:hAnsi="標楷體" w:hint="eastAsia"/>
              </w:rPr>
              <w:t>比較期間執行查核的情況。會計師在這種情況下應該如何</w:t>
            </w:r>
            <w:proofErr w:type="gramStart"/>
            <w:r w:rsidRPr="00F4328B">
              <w:rPr>
                <w:rFonts w:ascii="標楷體" w:eastAsia="標楷體" w:hAnsi="標楷體" w:hint="eastAsia"/>
              </w:rPr>
              <w:t>出具核閱</w:t>
            </w:r>
            <w:proofErr w:type="gramEnd"/>
            <w:r w:rsidRPr="00F4328B">
              <w:rPr>
                <w:rFonts w:ascii="標楷體" w:eastAsia="標楷體" w:hAnsi="標楷體" w:hint="eastAsia"/>
              </w:rPr>
              <w:t>結論？</w:t>
            </w:r>
            <w:r w:rsidRPr="00F4328B">
              <w:rPr>
                <w:rFonts w:ascii="標楷體" w:eastAsia="標楷體" w:hAnsi="標楷體"/>
              </w:rPr>
              <w:t xml:space="preserve">                                   </w:t>
            </w:r>
          </w:p>
        </w:tc>
        <w:tc>
          <w:tcPr>
            <w:tcW w:w="5245" w:type="dxa"/>
            <w:shd w:val="clear" w:color="auto" w:fill="auto"/>
          </w:tcPr>
          <w:p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t>審計準則公報第六十五號「財務報表之核閱」並未強制要求會計師於核閱報告中敘明對比較期間執行查核，會計師是否於核閱報告中敘明前一年度之查核意見可交由會計師自行依照個別需求及情況決定。</w:t>
            </w:r>
          </w:p>
        </w:tc>
        <w:tc>
          <w:tcPr>
            <w:tcW w:w="1418" w:type="dxa"/>
            <w:shd w:val="clear" w:color="auto" w:fill="auto"/>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會計師審計</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653"/>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23</w:t>
            </w:r>
          </w:p>
        </w:tc>
        <w:tc>
          <w:tcPr>
            <w:tcW w:w="5953" w:type="dxa"/>
          </w:tcPr>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hint="eastAsia"/>
              </w:rPr>
              <w:t>公司首次適用IFRS之財報中含有由先前一般公認會計原則調整為IFRS之比較資訊，是否會要求會計師查核或核閱比較資訊？</w:t>
            </w:r>
          </w:p>
          <w:p w:rsidR="00F4328B" w:rsidRPr="00F741AC" w:rsidRDefault="008B4DE4" w:rsidP="008B4DE4">
            <w:pPr>
              <w:pStyle w:val="af1"/>
              <w:snapToGrid w:val="0"/>
              <w:ind w:leftChars="0" w:left="240" w:hangingChars="100" w:hanging="240"/>
              <w:rPr>
                <w:rFonts w:ascii="標楷體" w:eastAsia="標楷體" w:hAnsi="標楷體"/>
              </w:rPr>
            </w:pPr>
            <w:r>
              <w:rPr>
                <w:rFonts w:ascii="標楷體" w:eastAsia="標楷體" w:hAnsi="標楷體" w:hint="eastAsia"/>
              </w:rPr>
              <w:t>2.</w:t>
            </w:r>
            <w:r w:rsidR="00F4328B" w:rsidRPr="00F741AC">
              <w:rPr>
                <w:rFonts w:ascii="標楷體" w:eastAsia="標楷體" w:hAnsi="標楷體" w:hint="eastAsia"/>
              </w:rPr>
              <w:t>回台上市公司</w:t>
            </w:r>
            <w:proofErr w:type="gramStart"/>
            <w:r w:rsidR="00F4328B" w:rsidRPr="00F741AC">
              <w:rPr>
                <w:rFonts w:ascii="標楷體" w:eastAsia="標楷體" w:hAnsi="標楷體" w:hint="eastAsia"/>
              </w:rPr>
              <w:t>於出具首</w:t>
            </w:r>
            <w:proofErr w:type="gramEnd"/>
            <w:r w:rsidR="00F4328B" w:rsidRPr="00F741AC">
              <w:rPr>
                <w:rFonts w:ascii="標楷體" w:eastAsia="標楷體" w:hAnsi="標楷體" w:hint="eastAsia"/>
              </w:rPr>
              <w:t>份IFRS期中</w:t>
            </w:r>
            <w:proofErr w:type="gramStart"/>
            <w:r w:rsidR="00F4328B" w:rsidRPr="00F741AC">
              <w:rPr>
                <w:rFonts w:ascii="標楷體" w:eastAsia="標楷體" w:hAnsi="標楷體" w:hint="eastAsia"/>
              </w:rPr>
              <w:t>財報時</w:t>
            </w:r>
            <w:proofErr w:type="gramEnd"/>
            <w:r w:rsidR="00F4328B" w:rsidRPr="00F741AC">
              <w:rPr>
                <w:rFonts w:ascii="標楷體" w:eastAsia="標楷體" w:hAnsi="標楷體" w:hint="eastAsia"/>
              </w:rPr>
              <w:t>，其</w:t>
            </w:r>
            <w:proofErr w:type="gramStart"/>
            <w:r w:rsidR="00F4328B" w:rsidRPr="00F741AC">
              <w:rPr>
                <w:rFonts w:ascii="標楷體" w:eastAsia="標楷體" w:hAnsi="標楷體" w:hint="eastAsia"/>
              </w:rPr>
              <w:t>附列比</w:t>
            </w:r>
            <w:proofErr w:type="gramEnd"/>
            <w:r w:rsidR="00F741AC" w:rsidRPr="00F741AC">
              <w:rPr>
                <w:rFonts w:ascii="標楷體" w:eastAsia="標楷體" w:hAnsi="標楷體" w:hint="eastAsia"/>
              </w:rPr>
              <w:t xml:space="preserve"> </w:t>
            </w:r>
            <w:r w:rsidR="00F4328B" w:rsidRPr="00F741AC">
              <w:rPr>
                <w:rFonts w:ascii="標楷體" w:eastAsia="標楷體" w:hAnsi="標楷體" w:hint="eastAsia"/>
              </w:rPr>
              <w:t>較資訊是否仍依原法令得未經核閱?</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基於首份IFRS財報亦包括比較期數據，</w:t>
            </w:r>
            <w:proofErr w:type="gramStart"/>
            <w:r w:rsidRPr="00F4328B">
              <w:rPr>
                <w:rFonts w:ascii="標楷體" w:eastAsia="標楷體" w:hAnsi="標楷體" w:hint="eastAsia"/>
              </w:rPr>
              <w:t>且均須符合</w:t>
            </w:r>
            <w:proofErr w:type="gramEnd"/>
            <w:r w:rsidRPr="00F4328B">
              <w:rPr>
                <w:rFonts w:ascii="標楷體" w:eastAsia="標楷體" w:hAnsi="標楷體" w:hint="eastAsia"/>
              </w:rPr>
              <w:t>IFRSs之規定，</w:t>
            </w:r>
            <w:proofErr w:type="gramStart"/>
            <w:r w:rsidRPr="00F4328B">
              <w:rPr>
                <w:rFonts w:ascii="標楷體" w:eastAsia="標楷體" w:hAnsi="標楷體" w:hint="eastAsia"/>
              </w:rPr>
              <w:t>爰</w:t>
            </w:r>
            <w:proofErr w:type="gramEnd"/>
            <w:r w:rsidRPr="00F4328B">
              <w:rPr>
                <w:rFonts w:ascii="標楷體" w:eastAsia="標楷體" w:hAnsi="標楷體" w:hint="eastAsia"/>
              </w:rPr>
              <w:t>皆應經會計師查核或核</w:t>
            </w:r>
            <w:proofErr w:type="gramStart"/>
            <w:r w:rsidRPr="00F4328B">
              <w:rPr>
                <w:rFonts w:ascii="標楷體" w:eastAsia="標楷體" w:hAnsi="標楷體" w:hint="eastAsia"/>
              </w:rPr>
              <w:t>閱</w:t>
            </w:r>
            <w:proofErr w:type="gramEnd"/>
            <w:r w:rsidRPr="00F4328B">
              <w:rPr>
                <w:rFonts w:ascii="標楷體" w:eastAsia="標楷體" w:hAnsi="標楷體" w:hint="eastAsia"/>
              </w:rPr>
              <w:t>。</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會計師審計</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1637"/>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24</w:t>
            </w:r>
          </w:p>
        </w:tc>
        <w:tc>
          <w:tcPr>
            <w:tcW w:w="5953" w:type="dxa"/>
          </w:tcPr>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企業為導入</w:t>
            </w:r>
            <w:r w:rsidR="00F4328B" w:rsidRPr="00F4328B">
              <w:rPr>
                <w:rFonts w:ascii="標楷體" w:eastAsia="標楷體" w:hAnsi="標楷體"/>
              </w:rPr>
              <w:t>IFRSs而整</w:t>
            </w:r>
            <w:proofErr w:type="gramStart"/>
            <w:r w:rsidR="00F4328B" w:rsidRPr="00F4328B">
              <w:rPr>
                <w:rFonts w:ascii="標楷體" w:eastAsia="標楷體" w:hAnsi="標楷體" w:hint="eastAsia"/>
              </w:rPr>
              <w:t>併</w:t>
            </w:r>
            <w:proofErr w:type="gramEnd"/>
            <w:r w:rsidR="00F4328B" w:rsidRPr="00F4328B">
              <w:rPr>
                <w:rFonts w:ascii="標楷體" w:eastAsia="標楷體" w:hAnsi="標楷體" w:hint="eastAsia"/>
              </w:rPr>
              <w:t>投資結構，是否可以免除大陸投資之事前核准，以減少報備作業及等待核准之時間花費？</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應收國外營運機構之貨幣性項目</w:t>
            </w:r>
            <w:proofErr w:type="gramStart"/>
            <w:r w:rsidR="00F4328B" w:rsidRPr="00F4328B">
              <w:rPr>
                <w:rFonts w:ascii="標楷體" w:eastAsia="標楷體" w:hAnsi="標楷體" w:hint="eastAsia"/>
              </w:rPr>
              <w:t>轉列淨投資</w:t>
            </w:r>
            <w:proofErr w:type="gramEnd"/>
            <w:r w:rsidR="00F4328B" w:rsidRPr="00F4328B">
              <w:rPr>
                <w:rFonts w:ascii="標楷體" w:eastAsia="標楷體" w:hAnsi="標楷體" w:hint="eastAsia"/>
              </w:rPr>
              <w:t>，實務上若轉列後超過對大陸投資限額該如何處理？</w:t>
            </w:r>
          </w:p>
        </w:tc>
        <w:tc>
          <w:tcPr>
            <w:tcW w:w="5245" w:type="dxa"/>
          </w:tcPr>
          <w:p w:rsid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採用</w:t>
            </w:r>
            <w:r w:rsidR="00F4328B" w:rsidRPr="00F4328B">
              <w:rPr>
                <w:rFonts w:ascii="標楷體" w:eastAsia="標楷體" w:hAnsi="標楷體"/>
              </w:rPr>
              <w:t>IFRSs不宜影響其他監理措施。</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2.比</w:t>
            </w:r>
            <w:r w:rsidR="00F4328B" w:rsidRPr="00F4328B">
              <w:rPr>
                <w:rFonts w:ascii="標楷體" w:eastAsia="標楷體" w:hAnsi="標楷體" w:hint="eastAsia"/>
              </w:rPr>
              <w:t>照現行作法。</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25</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證交法</w:t>
            </w:r>
            <w:r w:rsidRPr="00F4328B">
              <w:rPr>
                <w:rFonts w:ascii="標楷體" w:eastAsia="標楷體" w:hAnsi="標楷體"/>
              </w:rPr>
              <w:t>28-4條、43-6條及公司法247條分別規定發行有擔保公司債、轉換公司債、附認股權公司債、私募普通公司債及無擔保公司債之限額。</w:t>
            </w:r>
            <w:r w:rsidR="008B4DE4">
              <w:rPr>
                <w:rFonts w:ascii="標楷體" w:eastAsia="標楷體" w:hAnsi="標楷體" w:hint="eastAsia"/>
              </w:rPr>
              <w:t>請問</w:t>
            </w:r>
            <w:r w:rsidRPr="00F4328B">
              <w:rPr>
                <w:rFonts w:ascii="標楷體" w:eastAsia="標楷體" w:hAnsi="標楷體" w:hint="eastAsia"/>
              </w:rPr>
              <w:t>：於採用</w:t>
            </w:r>
            <w:r w:rsidRPr="00F4328B">
              <w:rPr>
                <w:rFonts w:ascii="標楷體" w:eastAsia="標楷體" w:hAnsi="標楷體"/>
              </w:rPr>
              <w:t>IFRSs後，公司發行上述任</w:t>
            </w:r>
            <w:proofErr w:type="gramStart"/>
            <w:r w:rsidRPr="00F4328B">
              <w:rPr>
                <w:rFonts w:ascii="標楷體" w:eastAsia="標楷體" w:hAnsi="標楷體" w:hint="eastAsia"/>
              </w:rPr>
              <w:t>一</w:t>
            </w:r>
            <w:proofErr w:type="gramEnd"/>
            <w:r w:rsidRPr="00F4328B">
              <w:rPr>
                <w:rFonts w:ascii="標楷體" w:eastAsia="標楷體" w:hAnsi="標楷體" w:hint="eastAsia"/>
              </w:rPr>
              <w:t>種類之公司債時，其限額之計算是否改以合併報表為基礎？</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26</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轉換至</w:t>
            </w:r>
            <w:r w:rsidRPr="00F4328B">
              <w:rPr>
                <w:rFonts w:ascii="標楷體" w:eastAsia="標楷體" w:hAnsi="標楷體"/>
              </w:rPr>
              <w:t>IFRSs後，上</w:t>
            </w:r>
            <w:proofErr w:type="gramStart"/>
            <w:r w:rsidRPr="00F4328B">
              <w:rPr>
                <w:rFonts w:ascii="標楷體" w:eastAsia="標楷體" w:hAnsi="標楷體" w:hint="eastAsia"/>
              </w:rPr>
              <w:t>巿</w:t>
            </w:r>
            <w:proofErr w:type="gramEnd"/>
            <w:r w:rsidRPr="00F4328B">
              <w:rPr>
                <w:rFonts w:ascii="標楷體" w:eastAsia="標楷體" w:hAnsi="標楷體" w:hint="eastAsia"/>
              </w:rPr>
              <w:t>櫃</w:t>
            </w:r>
            <w:proofErr w:type="gramStart"/>
            <w:r w:rsidRPr="00F4328B">
              <w:rPr>
                <w:rFonts w:ascii="標楷體" w:eastAsia="標楷體" w:hAnsi="標楷體" w:hint="eastAsia"/>
              </w:rPr>
              <w:t>及興櫃公司</w:t>
            </w:r>
            <w:proofErr w:type="gramEnd"/>
            <w:r w:rsidRPr="00F4328B">
              <w:rPr>
                <w:rFonts w:ascii="標楷體" w:eastAsia="標楷體" w:hAnsi="標楷體" w:hint="eastAsia"/>
              </w:rPr>
              <w:t>於每季舉辦法說會所引用之各項財務數據</w:t>
            </w:r>
            <w:proofErr w:type="gramStart"/>
            <w:r w:rsidRPr="00F4328B">
              <w:rPr>
                <w:rFonts w:ascii="標楷體" w:eastAsia="標楷體" w:hAnsi="標楷體" w:hint="eastAsia"/>
              </w:rPr>
              <w:t>（</w:t>
            </w:r>
            <w:proofErr w:type="gramEnd"/>
            <w:r w:rsidRPr="00F4328B">
              <w:rPr>
                <w:rFonts w:ascii="標楷體" w:eastAsia="標楷體" w:hAnsi="標楷體" w:hint="eastAsia"/>
              </w:rPr>
              <w:t>例如：總資產、負債、毛利率、營收、</w:t>
            </w:r>
            <w:proofErr w:type="gramStart"/>
            <w:r w:rsidRPr="00F4328B">
              <w:rPr>
                <w:rFonts w:ascii="標楷體" w:eastAsia="標楷體" w:hAnsi="標楷體" w:hint="eastAsia"/>
              </w:rPr>
              <w:t>採</w:t>
            </w:r>
            <w:proofErr w:type="gramEnd"/>
            <w:r w:rsidRPr="00F4328B">
              <w:rPr>
                <w:rFonts w:ascii="標楷體" w:eastAsia="標楷體" w:hAnsi="標楷體" w:hint="eastAsia"/>
              </w:rPr>
              <w:t>權益法認列之投資收益及稅前淨利等</w:t>
            </w:r>
            <w:proofErr w:type="gramStart"/>
            <w:r w:rsidRPr="00F4328B">
              <w:rPr>
                <w:rFonts w:ascii="標楷體" w:eastAsia="標楷體" w:hAnsi="標楷體" w:hint="eastAsia"/>
              </w:rPr>
              <w:t>）</w:t>
            </w:r>
            <w:proofErr w:type="gramEnd"/>
            <w:r w:rsidRPr="00F4328B">
              <w:rPr>
                <w:rFonts w:ascii="標楷體" w:eastAsia="標楷體" w:hAnsi="標楷體" w:hint="eastAsia"/>
              </w:rPr>
              <w:t>是否仍得比照現行實務慣例以母公司之基礎向外界說明？或改以合併報表為基礎？</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27</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w:t>
            </w:r>
            <w:r w:rsidRPr="00F4328B">
              <w:rPr>
                <w:rFonts w:ascii="標楷體" w:eastAsia="標楷體" w:hAnsi="標楷體" w:hint="eastAsia"/>
              </w:rPr>
              <w:t>後，公司需公告每月合併營收，惟考量</w:t>
            </w:r>
            <w:r w:rsidRPr="00F4328B">
              <w:rPr>
                <w:rFonts w:ascii="標楷體" w:eastAsia="標楷體" w:hAnsi="標楷體"/>
              </w:rPr>
              <w:t>10</w:t>
            </w:r>
            <w:r w:rsidRPr="00F4328B">
              <w:rPr>
                <w:rFonts w:ascii="標楷體" w:eastAsia="標楷體" w:hAnsi="標楷體" w:hint="eastAsia"/>
              </w:rPr>
              <w:t>天內需公告，合併時程緊迫，作業上恐有困難</w:t>
            </w:r>
            <w:r w:rsidRPr="00F4328B">
              <w:rPr>
                <w:rFonts w:ascii="標楷體" w:eastAsia="標楷體" w:hAnsi="標楷體"/>
              </w:rPr>
              <w:t xml:space="preserve"> </w:t>
            </w:r>
            <w:r w:rsidRPr="00F4328B">
              <w:rPr>
                <w:rFonts w:ascii="標楷體" w:eastAsia="標楷體" w:hAnsi="標楷體" w:hint="eastAsia"/>
              </w:rPr>
              <w:t>，且此規定可能導致競爭對手可輕易取得公司集團合併營收資訊，但國外競爭對手並不需於每月做此項公告，造成企業在國際商業競爭上之弱勢，主管機關是否可考量企業之困難，而</w:t>
            </w:r>
            <w:proofErr w:type="gramStart"/>
            <w:r w:rsidRPr="00F4328B">
              <w:rPr>
                <w:rFonts w:ascii="標楷體" w:eastAsia="標楷體" w:hAnsi="標楷體" w:hint="eastAsia"/>
              </w:rPr>
              <w:t>採</w:t>
            </w:r>
            <w:proofErr w:type="gramEnd"/>
            <w:r w:rsidRPr="00F4328B">
              <w:rPr>
                <w:rFonts w:ascii="標楷體" w:eastAsia="標楷體" w:hAnsi="標楷體" w:hint="eastAsia"/>
              </w:rPr>
              <w:t>每月公告個別營收之作法</w:t>
            </w:r>
            <w:r w:rsidRPr="00F4328B">
              <w:rPr>
                <w:rFonts w:ascii="標楷體" w:eastAsia="標楷體" w:hAnsi="標楷體"/>
              </w:rPr>
              <w:t>?</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IFRSs後，依證券交易法施行細則第5條規定，應揭露合併營業收入等資訊。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28</w:t>
            </w:r>
          </w:p>
        </w:tc>
        <w:tc>
          <w:tcPr>
            <w:tcW w:w="5953" w:type="dxa"/>
          </w:tcPr>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採用IFRS後，公司除</w:t>
            </w:r>
            <w:proofErr w:type="gramStart"/>
            <w:r w:rsidR="00F4328B" w:rsidRPr="008B4DE4">
              <w:rPr>
                <w:rFonts w:ascii="標楷體" w:eastAsia="標楷體" w:hAnsi="標楷體" w:hint="eastAsia"/>
              </w:rPr>
              <w:t>每季依規定</w:t>
            </w:r>
            <w:proofErr w:type="gramEnd"/>
            <w:r w:rsidR="00F4328B" w:rsidRPr="008B4DE4">
              <w:rPr>
                <w:rFonts w:ascii="標楷體" w:eastAsia="標楷體" w:hAnsi="標楷體" w:hint="eastAsia"/>
              </w:rPr>
              <w:t>提供合併報表外，是否可自願性選擇額外提供母公司每季之個體財務報表，或是母公司之每季個體資產財務狀況表及綜合損益表</w:t>
            </w:r>
            <w:r w:rsidR="00F4328B" w:rsidRPr="008B4DE4">
              <w:rPr>
                <w:rFonts w:ascii="標楷體" w:eastAsia="標楷體" w:hAnsi="標楷體"/>
              </w:rPr>
              <w:t xml:space="preserve">?                                   </w:t>
            </w:r>
            <w:r w:rsidR="00F741AC" w:rsidRPr="008B4DE4">
              <w:rPr>
                <w:rFonts w:ascii="標楷體" w:eastAsia="標楷體" w:hAnsi="標楷體"/>
              </w:rPr>
              <w:t xml:space="preserve">           </w:t>
            </w:r>
          </w:p>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8B4DE4">
              <w:rPr>
                <w:rFonts w:ascii="標楷體" w:eastAsia="標楷體" w:hAnsi="標楷體"/>
              </w:rPr>
              <w:t>企業不得自願性公開非法規規定之財務報</w:t>
            </w:r>
            <w:r w:rsidR="00F4328B" w:rsidRPr="008B4DE4">
              <w:rPr>
                <w:rFonts w:ascii="標楷體" w:eastAsia="標楷體" w:hAnsi="標楷體" w:hint="eastAsia"/>
              </w:rPr>
              <w:t>告，但若因貸款銀行需要則得依其要求提供。請問是否可能造成投資人與債權人資訊不對稱？</w:t>
            </w:r>
            <w:r w:rsidR="00F4328B" w:rsidRPr="008B4DE4">
              <w:rPr>
                <w:rFonts w:ascii="標楷體" w:eastAsia="標楷體" w:hAnsi="標楷體"/>
              </w:rPr>
              <w:t xml:space="preserve">                              </w:t>
            </w:r>
            <w:r w:rsidR="00F741AC" w:rsidRPr="008B4DE4">
              <w:rPr>
                <w:rFonts w:ascii="標楷體" w:eastAsia="標楷體" w:hAnsi="標楷體"/>
              </w:rPr>
              <w:t xml:space="preserve">                             </w:t>
            </w:r>
          </w:p>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8B4DE4">
              <w:rPr>
                <w:rFonts w:ascii="標楷體" w:eastAsia="標楷體" w:hAnsi="標楷體"/>
              </w:rPr>
              <w:t>如有需公開財務預測者，是否亦改以合併財務預測？</w:t>
            </w:r>
            <w:r w:rsidR="00F741AC" w:rsidRPr="008B4DE4">
              <w:rPr>
                <w:rFonts w:ascii="標楷體" w:eastAsia="標楷體" w:hAnsi="標楷體"/>
              </w:rPr>
              <w:t xml:space="preserve">                            </w:t>
            </w:r>
          </w:p>
          <w:p w:rsidR="00F4328B"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8B4DE4">
              <w:rPr>
                <w:rFonts w:ascii="標楷體" w:eastAsia="標楷體" w:hAnsi="標楷體"/>
              </w:rPr>
              <w:t>若投資人詢問有關母公司個體財務資訊，公司可否提供？</w:t>
            </w:r>
          </w:p>
        </w:tc>
        <w:tc>
          <w:tcPr>
            <w:tcW w:w="5245"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1.基於IFRSs係以合併報表為主，</w:t>
            </w:r>
            <w:proofErr w:type="gramStart"/>
            <w:r w:rsidRPr="00F4328B">
              <w:rPr>
                <w:rFonts w:ascii="標楷體" w:eastAsia="標楷體" w:hAnsi="標楷體" w:hint="eastAsia"/>
              </w:rPr>
              <w:t>且母公司</w:t>
            </w:r>
            <w:proofErr w:type="gramEnd"/>
            <w:r w:rsidRPr="00F4328B">
              <w:rPr>
                <w:rFonts w:ascii="標楷體" w:eastAsia="標楷體" w:hAnsi="標楷體" w:hint="eastAsia"/>
              </w:rPr>
              <w:t>之營運狀況亦可透過營運部門資訊取得，資訊應稱充足。目前編製準則中並無企業每季個體財務報告編製及</w:t>
            </w:r>
            <w:r w:rsidRPr="00F4328B">
              <w:rPr>
                <w:rFonts w:ascii="標楷體" w:eastAsia="標楷體" w:hAnsi="標楷體"/>
              </w:rPr>
              <w:t>CPA核閱之規範。另如各家公司做法不同，亦可能造成投資人混淆及各公司間比較之差異。企業不</w:t>
            </w:r>
            <w:r w:rsidRPr="00F4328B">
              <w:rPr>
                <w:rFonts w:ascii="標楷體" w:eastAsia="標楷體" w:hAnsi="標楷體" w:hint="eastAsia"/>
              </w:rPr>
              <w:t>得自願性公告申報非法規規定之財務報告。</w:t>
            </w:r>
          </w:p>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2.此與現行實務作法並無不同。企業在準備特殊財務報告之過程中，如有涉及股東權益或股價之重大訊息，應依規定</w:t>
            </w:r>
            <w:proofErr w:type="gramStart"/>
            <w:r w:rsidRPr="00F4328B">
              <w:rPr>
                <w:rFonts w:ascii="標楷體" w:eastAsia="標楷體" w:hAnsi="標楷體" w:hint="eastAsia"/>
              </w:rPr>
              <w:t>發布重訊</w:t>
            </w:r>
            <w:proofErr w:type="gramEnd"/>
            <w:r w:rsidRPr="00F4328B">
              <w:rPr>
                <w:rFonts w:ascii="標楷體" w:eastAsia="標楷體" w:hAnsi="標楷體" w:hint="eastAsia"/>
              </w:rPr>
              <w:t>。</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3.以合併財務報表為基礎。</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4.母公司年度個體財務資訊已可透過公開資訊觀測站取得，公司不可自行提供法令未規定須公告之財務報表</w:t>
            </w:r>
            <w:proofErr w:type="gramStart"/>
            <w:r w:rsidRPr="00F4328B">
              <w:rPr>
                <w:rFonts w:ascii="標楷體" w:eastAsia="標楷體" w:hAnsi="標楷體" w:hint="eastAsia"/>
              </w:rPr>
              <w:t>（</w:t>
            </w:r>
            <w:proofErr w:type="gramEnd"/>
            <w:r w:rsidRPr="00F4328B">
              <w:rPr>
                <w:rFonts w:ascii="標楷體" w:eastAsia="標楷體" w:hAnsi="標楷體" w:hint="eastAsia"/>
              </w:rPr>
              <w:t>例如：期中個體財務報表</w:t>
            </w:r>
            <w:proofErr w:type="gramStart"/>
            <w:r w:rsidRPr="00F4328B">
              <w:rPr>
                <w:rFonts w:ascii="標楷體" w:eastAsia="標楷體" w:hAnsi="標楷體" w:hint="eastAsia"/>
              </w:rPr>
              <w:t>）</w:t>
            </w:r>
            <w:proofErr w:type="gramEnd"/>
            <w:r w:rsidRPr="00F4328B">
              <w:rPr>
                <w:rFonts w:ascii="標楷體" w:eastAsia="標楷體" w:hAnsi="標楷體" w:hint="eastAsia"/>
              </w:rPr>
              <w:t>予投資人。</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1206"/>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29</w:t>
            </w:r>
          </w:p>
        </w:tc>
        <w:tc>
          <w:tcPr>
            <w:tcW w:w="5953" w:type="dxa"/>
          </w:tcPr>
          <w:p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t>在適用IFRS9後，有關公債發行前交易是否適用慣例交易之規定或衍生工具會計處理</w:t>
            </w:r>
            <w:r w:rsidRPr="00F4328B">
              <w:rPr>
                <w:rFonts w:ascii="標楷體" w:eastAsia="標楷體" w:hAnsi="標楷體"/>
              </w:rPr>
              <w:t xml:space="preserve">?                                               </w:t>
            </w:r>
          </w:p>
        </w:tc>
        <w:tc>
          <w:tcPr>
            <w:tcW w:w="5245"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1.因IFRS 9對慣例交易之規定與IAS 39相同，依據公債發行前交易辦法及櫃買中心相關規定，具有下列特性之公債發行前交易，應不適用衍生工具會計處理：</w:t>
            </w:r>
          </w:p>
          <w:p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(1)其作業方式與股票市場型態相同</w:t>
            </w:r>
            <w:r w:rsidR="005614ED">
              <w:rPr>
                <w:rFonts w:ascii="標楷體" w:eastAsia="標楷體" w:hAnsi="標楷體" w:hint="eastAsia"/>
              </w:rPr>
              <w:t>。</w:t>
            </w:r>
          </w:p>
          <w:p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(2)其交割時間固定</w:t>
            </w:r>
            <w:r w:rsidR="005614ED">
              <w:rPr>
                <w:rFonts w:ascii="標楷體" w:eastAsia="標楷體" w:hAnsi="標楷體" w:hint="eastAsia"/>
              </w:rPr>
              <w:t>。</w:t>
            </w:r>
          </w:p>
          <w:p w:rsidR="00091662"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(3)採用交易日會計</w:t>
            </w:r>
            <w:r w:rsidR="005614ED">
              <w:rPr>
                <w:rFonts w:ascii="標楷體" w:eastAsia="標楷體" w:hAnsi="標楷體" w:hint="eastAsia"/>
              </w:rPr>
              <w:t>。</w:t>
            </w:r>
            <w:r w:rsidR="00091662">
              <w:rPr>
                <w:rFonts w:ascii="標楷體" w:eastAsia="標楷體" w:hAnsi="標楷體"/>
              </w:rPr>
              <w:t xml:space="preserve">                            </w:t>
            </w:r>
          </w:p>
          <w:p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 xml:space="preserve">2.惟如嗣後企業實際進行之公債發行前交易條件與前述情形不同，仍應回歸公報判斷其適當之會計處理。      </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rPr>
                <w:rFonts w:ascii="標楷體" w:eastAsia="標楷體" w:hAnsi="標楷體"/>
              </w:rPr>
            </w:pPr>
          </w:p>
        </w:tc>
      </w:tr>
      <w:tr w:rsidR="00F4328B" w:rsidRPr="00F4328B" w:rsidTr="00091662">
        <w:trPr>
          <w:trHeight w:val="1034"/>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30</w:t>
            </w:r>
          </w:p>
        </w:tc>
        <w:tc>
          <w:tcPr>
            <w:tcW w:w="5953" w:type="dxa"/>
            <w:tcBorders>
              <w:bottom w:val="single" w:sz="4" w:space="0" w:color="auto"/>
            </w:tcBorders>
          </w:tcPr>
          <w:p w:rsidR="0040117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 xml:space="preserve">功能性貨幣是否明確建議公司採用新台幣？                                                                  </w:t>
            </w:r>
            <w:r w:rsidR="0040117C" w:rsidRPr="008B4DE4">
              <w:rPr>
                <w:rFonts w:ascii="標楷體" w:eastAsia="標楷體" w:hAnsi="標楷體"/>
              </w:rPr>
              <w:t xml:space="preserve">                           </w:t>
            </w:r>
          </w:p>
          <w:p w:rsidR="00F4328B" w:rsidRPr="008B4DE4" w:rsidRDefault="008B4DE4" w:rsidP="008B4DE4">
            <w:pPr>
              <w:snapToGrid w:val="0"/>
              <w:ind w:left="240" w:hangingChars="100" w:hanging="240"/>
              <w:rPr>
                <w:rFonts w:ascii="標楷體" w:eastAsia="標楷體" w:hAnsi="標楷體" w:cs="新細明體"/>
              </w:rPr>
            </w:pPr>
            <w:r>
              <w:rPr>
                <w:rFonts w:ascii="標楷體" w:eastAsia="標楷體" w:hAnsi="標楷體" w:hint="eastAsia"/>
              </w:rPr>
              <w:t>2.</w:t>
            </w:r>
            <w:r w:rsidR="00F4328B" w:rsidRPr="008B4DE4">
              <w:rPr>
                <w:rFonts w:ascii="標楷體" w:eastAsia="標楷體" w:hAnsi="標楷體"/>
              </w:rPr>
              <w:t xml:space="preserve">功能性貨幣選用原則及其與目前台幣不同時所衍生之相關問題應如何解決？ </w:t>
            </w:r>
          </w:p>
        </w:tc>
        <w:tc>
          <w:tcPr>
            <w:tcW w:w="5245"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 xml:space="preserve">1.公司應依公報規定決定其功能性貨幣。                                        2.採用IFRSs後: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(1)</w:t>
            </w:r>
            <w:r w:rsidR="00F4328B" w:rsidRPr="00F4328B">
              <w:rPr>
                <w:rFonts w:ascii="標楷體" w:eastAsia="標楷體" w:hAnsi="標楷體"/>
              </w:rPr>
              <w:t>表達貨幣：一律以新臺幣為表達</w:t>
            </w:r>
            <w:proofErr w:type="gramStart"/>
            <w:r w:rsidR="00F4328B" w:rsidRPr="00F4328B">
              <w:rPr>
                <w:rFonts w:ascii="標楷體" w:eastAsia="標楷體" w:hAnsi="標楷體" w:hint="eastAsia"/>
              </w:rPr>
              <w:t>財務報表之幣別</w:t>
            </w:r>
            <w:proofErr w:type="gramEnd"/>
            <w:r w:rsidR="00F4328B" w:rsidRPr="00F4328B">
              <w:rPr>
                <w:rFonts w:ascii="標楷體" w:eastAsia="標楷體" w:hAnsi="標楷體" w:hint="eastAsia"/>
              </w:rPr>
              <w:t>。</w:t>
            </w:r>
            <w:r w:rsidR="00F4328B" w:rsidRPr="00F4328B">
              <w:rPr>
                <w:rFonts w:ascii="標楷體" w:eastAsia="標楷體" w:hAnsi="標楷體"/>
              </w:rPr>
              <w:t xml:space="preserve">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(2)</w:t>
            </w:r>
            <w:r w:rsidR="00F4328B" w:rsidRPr="00F4328B">
              <w:rPr>
                <w:rFonts w:ascii="標楷體" w:eastAsia="標楷體" w:hAnsi="標楷體"/>
              </w:rPr>
              <w:t xml:space="preserve">記帳貨幣：得以外幣為記帳貨幣。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(3)</w:t>
            </w:r>
            <w:r w:rsidR="00F4328B" w:rsidRPr="00F4328B">
              <w:rPr>
                <w:rFonts w:ascii="標楷體" w:eastAsia="標楷體" w:hAnsi="標楷體"/>
              </w:rPr>
              <w:t xml:space="preserve">繳稅貨幣：新臺幣。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(4)</w:t>
            </w:r>
            <w:r w:rsidR="00F4328B" w:rsidRPr="00F4328B">
              <w:rPr>
                <w:rFonts w:ascii="標楷體" w:eastAsia="標楷體" w:hAnsi="標楷體"/>
              </w:rPr>
              <w:t xml:space="preserve">股利派發貨幣：可與股東約定。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(5)</w:t>
            </w:r>
            <w:r w:rsidR="00F4328B" w:rsidRPr="00F4328B">
              <w:rPr>
                <w:rFonts w:ascii="標楷體" w:eastAsia="標楷體" w:hAnsi="標楷體"/>
              </w:rPr>
              <w:t>盈餘分配基礎：為避免因匯率變動而導致超額分配之問題，股利分配宜以功能性貨幣財務報表作為計算股利分配基礎，當企業之功能性貨幣為外幣時，如章程訂明以外幣財務報表作為股利分派基礎，於申請盈餘轉作股本登記時，可將</w:t>
            </w:r>
            <w:proofErr w:type="gramStart"/>
            <w:r w:rsidR="00F4328B" w:rsidRPr="00F4328B">
              <w:rPr>
                <w:rFonts w:ascii="標楷體" w:eastAsia="標楷體" w:hAnsi="標楷體" w:hint="eastAsia"/>
              </w:rPr>
              <w:t>其所檢送</w:t>
            </w:r>
            <w:proofErr w:type="gramEnd"/>
            <w:r w:rsidR="00F4328B" w:rsidRPr="00F4328B">
              <w:rPr>
                <w:rFonts w:ascii="標楷體" w:eastAsia="標楷體" w:hAnsi="標楷體" w:hint="eastAsia"/>
              </w:rPr>
              <w:t>之盈餘分派表，以功能性貨幣與單一匯率簡易換算之新臺幣二欄</w:t>
            </w:r>
            <w:proofErr w:type="gramStart"/>
            <w:r w:rsidR="00F4328B" w:rsidRPr="00F4328B">
              <w:rPr>
                <w:rFonts w:ascii="標楷體" w:eastAsia="標楷體" w:hAnsi="標楷體" w:hint="eastAsia"/>
              </w:rPr>
              <w:t>併</w:t>
            </w:r>
            <w:proofErr w:type="gramEnd"/>
            <w:r w:rsidR="00F4328B" w:rsidRPr="00F4328B">
              <w:rPr>
                <w:rFonts w:ascii="標楷體" w:eastAsia="標楷體" w:hAnsi="標楷體" w:hint="eastAsia"/>
              </w:rPr>
              <w:t>列方式表達。</w:t>
            </w:r>
            <w:r w:rsidR="00F4328B" w:rsidRPr="00F4328B">
              <w:rPr>
                <w:rFonts w:ascii="標楷體" w:eastAsia="標楷體" w:hAnsi="標楷體"/>
              </w:rPr>
              <w:t xml:space="preserve">                                                    </w:t>
            </w:r>
          </w:p>
          <w:p w:rsidR="00F4328B" w:rsidRPr="00F4328B" w:rsidRDefault="005614ED" w:rsidP="005614ED">
            <w:pPr>
              <w:snapToGrid w:val="0"/>
              <w:ind w:leftChars="100" w:left="600" w:hangingChars="150" w:hanging="360"/>
              <w:rPr>
                <w:rFonts w:ascii="標楷體" w:eastAsia="標楷體" w:hAnsi="標楷體" w:cs="新細明體"/>
              </w:rPr>
            </w:pPr>
            <w:r>
              <w:rPr>
                <w:rFonts w:ascii="標楷體" w:eastAsia="標楷體" w:hAnsi="標楷體" w:hint="eastAsia"/>
              </w:rPr>
              <w:t>(6)</w:t>
            </w:r>
            <w:r w:rsidR="00F4328B" w:rsidRPr="00F4328B">
              <w:rPr>
                <w:rFonts w:ascii="標楷體" w:eastAsia="標楷體" w:hAnsi="標楷體"/>
              </w:rPr>
              <w:t>另有關功能性貨幣為外幣時，課稅所得之決定基礎，依賦稅署說明，商業會計法第7條及稅捐</w:t>
            </w:r>
            <w:proofErr w:type="gramStart"/>
            <w:r w:rsidR="00F4328B" w:rsidRPr="00F4328B">
              <w:rPr>
                <w:rFonts w:ascii="標楷體" w:eastAsia="標楷體" w:hAnsi="標楷體" w:hint="eastAsia"/>
              </w:rPr>
              <w:t>稽</w:t>
            </w:r>
            <w:proofErr w:type="gramEnd"/>
            <w:r w:rsidR="00F4328B" w:rsidRPr="00F4328B">
              <w:rPr>
                <w:rFonts w:ascii="標楷體" w:eastAsia="標楷體" w:hAnsi="標楷體" w:hint="eastAsia"/>
              </w:rPr>
              <w:t>徵機關管理營利事業會計帳簿憑證辦法第</w:t>
            </w:r>
            <w:r w:rsidR="00F4328B" w:rsidRPr="00F4328B">
              <w:rPr>
                <w:rFonts w:ascii="標楷體" w:eastAsia="標楷體" w:hAnsi="標楷體"/>
              </w:rPr>
              <w:t>19條第2項規定，記帳本位應以新臺</w:t>
            </w:r>
            <w:r w:rsidR="00F4328B" w:rsidRPr="00F4328B">
              <w:rPr>
                <w:rFonts w:ascii="標楷體" w:eastAsia="標楷體" w:hAnsi="標楷體" w:hint="eastAsia"/>
              </w:rPr>
              <w:t>幣為主，如因業務需要而以外國貨幣計帳，仍應在其決算表中將外國貨幣折合新臺幣。依此，營利事業平時可依業務需要以外幣計帳，於財務報表決算及辦理所得稅申報時，應折合為新台幣並繳納期營利事業所得稅。</w:t>
            </w:r>
          </w:p>
        </w:tc>
        <w:tc>
          <w:tcPr>
            <w:tcW w:w="1418"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Borders>
              <w:bottom w:val="single" w:sz="4" w:space="0" w:color="auto"/>
            </w:tcBorders>
          </w:tcPr>
          <w:p w:rsidR="00F4328B" w:rsidRPr="00F4328B" w:rsidRDefault="00F4328B" w:rsidP="008B4DE4">
            <w:pPr>
              <w:snapToGrid w:val="0"/>
              <w:rPr>
                <w:rFonts w:ascii="標楷體" w:eastAsia="標楷體" w:hAnsi="標楷體"/>
              </w:rPr>
            </w:pPr>
          </w:p>
        </w:tc>
      </w:tr>
      <w:tr w:rsidR="00F4328B" w:rsidRPr="00F4328B" w:rsidTr="00AC2F26">
        <w:trPr>
          <w:trHeight w:val="369"/>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31</w:t>
            </w:r>
          </w:p>
        </w:tc>
        <w:tc>
          <w:tcPr>
            <w:tcW w:w="5953"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是否可免除關係企業三書表之編製？</w:t>
            </w:r>
            <w:r w:rsidRPr="00F4328B">
              <w:rPr>
                <w:rFonts w:ascii="標楷體" w:eastAsia="標楷體" w:hAnsi="標楷體"/>
              </w:rPr>
              <w:t xml:space="preserve">  </w:t>
            </w:r>
          </w:p>
        </w:tc>
        <w:tc>
          <w:tcPr>
            <w:tcW w:w="5245"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關係企業三書表係公司法規定之法定書件，故無法免除。惟依證券發行人財務報告編製準則第</w:t>
            </w:r>
            <w:r w:rsidRPr="00F4328B">
              <w:rPr>
                <w:rFonts w:ascii="標楷體" w:eastAsia="標楷體" w:hAnsi="標楷體"/>
              </w:rPr>
              <w:t>24</w:t>
            </w:r>
            <w:r w:rsidRPr="00F4328B">
              <w:rPr>
                <w:rFonts w:ascii="標楷體" w:eastAsia="標楷體" w:hAnsi="標楷體" w:hint="eastAsia"/>
              </w:rPr>
              <w:t>條規定，企業應納入編製關係企業合併財務報表之公司，</w:t>
            </w:r>
            <w:proofErr w:type="gramStart"/>
            <w:r w:rsidRPr="00F4328B">
              <w:rPr>
                <w:rFonts w:ascii="標楷體" w:eastAsia="標楷體" w:hAnsi="標楷體" w:hint="eastAsia"/>
              </w:rPr>
              <w:t>若與依</w:t>
            </w:r>
            <w:proofErr w:type="gramEnd"/>
            <w:r w:rsidRPr="00F4328B">
              <w:rPr>
                <w:rFonts w:ascii="標楷體" w:eastAsia="標楷體" w:hAnsi="標楷體"/>
              </w:rPr>
              <w:t>IFRS 10</w:t>
            </w:r>
            <w:r w:rsidRPr="00F4328B">
              <w:rPr>
                <w:rFonts w:ascii="標楷體" w:eastAsia="標楷體" w:hAnsi="標楷體" w:hint="eastAsia"/>
              </w:rPr>
              <w:t>應納入編製母子公司合併財務報表之公司均相同，且關係企業合併財務報表所應揭露相關資訊於前揭母子公司合併財務報表</w:t>
            </w:r>
            <w:proofErr w:type="gramStart"/>
            <w:r w:rsidRPr="00F4328B">
              <w:rPr>
                <w:rFonts w:ascii="標楷體" w:eastAsia="標楷體" w:hAnsi="標楷體" w:hint="eastAsia"/>
              </w:rPr>
              <w:t>中均已揭露</w:t>
            </w:r>
            <w:proofErr w:type="gramEnd"/>
            <w:r w:rsidRPr="00F4328B">
              <w:rPr>
                <w:rFonts w:ascii="標楷體" w:eastAsia="標楷體" w:hAnsi="標楷體" w:hint="eastAsia"/>
              </w:rPr>
              <w:t>，則企業可出具聲明書方式取代，無須另行編製關係企業合併財務報表。</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其他政策及法規</w:t>
            </w:r>
          </w:p>
        </w:tc>
        <w:tc>
          <w:tcPr>
            <w:tcW w:w="1417" w:type="dxa"/>
            <w:tcBorders>
              <w:bottom w:val="single" w:sz="4" w:space="0" w:color="auto"/>
            </w:tcBorders>
          </w:tcPr>
          <w:p w:rsidR="00F4328B" w:rsidRPr="00F4328B" w:rsidRDefault="00F4328B" w:rsidP="008B4DE4">
            <w:pPr>
              <w:snapToGrid w:val="0"/>
              <w:ind w:right="62"/>
              <w:rPr>
                <w:rFonts w:ascii="標楷體" w:eastAsia="標楷體" w:hAnsi="標楷體"/>
              </w:rPr>
            </w:pPr>
          </w:p>
        </w:tc>
      </w:tr>
      <w:tr w:rsidR="00F4328B" w:rsidRPr="00F4328B" w:rsidTr="00AC2F26">
        <w:trPr>
          <w:trHeight w:val="225"/>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32</w:t>
            </w:r>
          </w:p>
        </w:tc>
        <w:tc>
          <w:tcPr>
            <w:tcW w:w="5953" w:type="dxa"/>
            <w:tcBorders>
              <w:bottom w:val="single" w:sz="4" w:space="0" w:color="auto"/>
            </w:tcBorders>
          </w:tcPr>
          <w:p w:rsidR="00F4328B" w:rsidRPr="00F4328B" w:rsidRDefault="00F4328B" w:rsidP="00F45300">
            <w:pPr>
              <w:snapToGrid w:val="0"/>
              <w:ind w:right="62"/>
              <w:rPr>
                <w:rFonts w:ascii="標楷體" w:eastAsia="標楷體" w:hAnsi="標楷體"/>
              </w:rPr>
            </w:pPr>
            <w:r w:rsidRPr="00F4328B">
              <w:rPr>
                <w:rFonts w:ascii="標楷體" w:eastAsia="標楷體" w:hAnsi="標楷體" w:hint="eastAsia"/>
              </w:rPr>
              <w:t>企業以外幣之功能性貨幣作為記帳貨幣，並以台幣進行稅務申報及繳稅</w:t>
            </w:r>
            <w:r w:rsidR="005614ED">
              <w:rPr>
                <w:rFonts w:ascii="標楷體" w:eastAsia="標楷體" w:hAnsi="標楷體" w:hint="eastAsia"/>
              </w:rPr>
              <w:t>，</w:t>
            </w:r>
            <w:r w:rsidRPr="00F4328B">
              <w:rPr>
                <w:rFonts w:ascii="標楷體" w:eastAsia="標楷體" w:hAnsi="標楷體" w:hint="eastAsia"/>
              </w:rPr>
              <w:t>此規定是否將抵觸「稅捐</w:t>
            </w:r>
            <w:proofErr w:type="gramStart"/>
            <w:r w:rsidRPr="00F4328B">
              <w:rPr>
                <w:rFonts w:ascii="標楷體" w:eastAsia="標楷體" w:hAnsi="標楷體" w:hint="eastAsia"/>
              </w:rPr>
              <w:t>稽</w:t>
            </w:r>
            <w:proofErr w:type="gramEnd"/>
            <w:r w:rsidRPr="00F4328B">
              <w:rPr>
                <w:rFonts w:ascii="標楷體" w:eastAsia="標楷體" w:hAnsi="標楷體" w:hint="eastAsia"/>
              </w:rPr>
              <w:t>徵機關管理營利事業會計帳簿憑證辦法」第十九條，以本國貨幣為本位之規定？</w:t>
            </w:r>
          </w:p>
        </w:tc>
        <w:tc>
          <w:tcPr>
            <w:tcW w:w="5245"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企業因業務實際需要須以功能性貨幣做為記帳貨幣，尚無違反稅捐</w:t>
            </w:r>
            <w:proofErr w:type="gramStart"/>
            <w:r w:rsidRPr="00F4328B">
              <w:rPr>
                <w:rFonts w:ascii="標楷體" w:eastAsia="標楷體" w:hAnsi="標楷體" w:hint="eastAsia"/>
              </w:rPr>
              <w:t>稽</w:t>
            </w:r>
            <w:proofErr w:type="gramEnd"/>
            <w:r w:rsidRPr="00F4328B">
              <w:rPr>
                <w:rFonts w:ascii="標楷體" w:eastAsia="標楷體" w:hAnsi="標楷體" w:hint="eastAsia"/>
              </w:rPr>
              <w:t>徵機關管理營利事業會計帳簿憑證辦法第</w:t>
            </w:r>
            <w:r w:rsidRPr="00F4328B">
              <w:rPr>
                <w:rFonts w:ascii="標楷體" w:eastAsia="標楷體" w:hAnsi="標楷體"/>
              </w:rPr>
              <w:t>19條規定。</w:t>
            </w:r>
          </w:p>
          <w:p w:rsidR="00F4328B" w:rsidRPr="00F4328B" w:rsidRDefault="00F4328B" w:rsidP="008B4DE4">
            <w:pPr>
              <w:snapToGrid w:val="0"/>
              <w:ind w:right="62"/>
              <w:rPr>
                <w:rFonts w:ascii="標楷體" w:eastAsia="標楷體" w:hAnsi="標楷體"/>
              </w:rPr>
            </w:pPr>
          </w:p>
        </w:tc>
        <w:tc>
          <w:tcPr>
            <w:tcW w:w="1418"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稅務</w:t>
            </w:r>
          </w:p>
        </w:tc>
        <w:tc>
          <w:tcPr>
            <w:tcW w:w="1417" w:type="dxa"/>
            <w:tcBorders>
              <w:bottom w:val="single" w:sz="4" w:space="0" w:color="auto"/>
            </w:tcBorders>
          </w:tcPr>
          <w:p w:rsidR="00F4328B" w:rsidRPr="00F4328B" w:rsidRDefault="00F4328B" w:rsidP="008B4DE4">
            <w:pPr>
              <w:snapToGrid w:val="0"/>
              <w:ind w:right="62"/>
              <w:rPr>
                <w:rFonts w:ascii="標楷體" w:eastAsia="標楷體" w:hAnsi="標楷體"/>
              </w:rPr>
            </w:pPr>
          </w:p>
        </w:tc>
      </w:tr>
      <w:tr w:rsidR="00F4328B" w:rsidRPr="00F4328B" w:rsidTr="005769C3">
        <w:trPr>
          <w:trHeight w:val="737"/>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33</w:t>
            </w:r>
          </w:p>
        </w:tc>
        <w:tc>
          <w:tcPr>
            <w:tcW w:w="5953"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rPr>
              <w:t>OBU被視為一個國外獨立機構應依IFRS判斷其功能性貨幣時，是否將造成與過去主管機關要求同時擁有domestic banking unit (DBU)與oversea banking unit (OBU)之銀行，以美金作為OBU之報導貨幣（因此美金一向被視為是OBU之功能性貨幣）有所牴觸？</w:t>
            </w:r>
          </w:p>
        </w:tc>
        <w:tc>
          <w:tcPr>
            <w:tcW w:w="5245" w:type="dxa"/>
            <w:tcBorders>
              <w:bottom w:val="single" w:sz="4" w:space="0" w:color="auto"/>
            </w:tcBorders>
          </w:tcPr>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依「國際金融業務分行（</w:t>
            </w:r>
            <w:r w:rsidR="00F4328B" w:rsidRPr="00F4328B">
              <w:rPr>
                <w:rFonts w:ascii="標楷體" w:eastAsia="標楷體" w:hAnsi="標楷體"/>
              </w:rPr>
              <w:t>OBU）管理辦法」第4條規定發布之OBU業務相關之季報表、資產負債表及業務相關申報表，</w:t>
            </w:r>
            <w:proofErr w:type="gramStart"/>
            <w:r w:rsidR="00F4328B" w:rsidRPr="00F4328B">
              <w:rPr>
                <w:rFonts w:ascii="標楷體" w:eastAsia="標楷體" w:hAnsi="標楷體" w:hint="eastAsia"/>
              </w:rPr>
              <w:t>均係以</w:t>
            </w:r>
            <w:proofErr w:type="gramEnd"/>
            <w:r w:rsidR="00F4328B" w:rsidRPr="00F4328B">
              <w:rPr>
                <w:rFonts w:ascii="標楷體" w:eastAsia="標楷體" w:hAnsi="標楷體" w:hint="eastAsia"/>
              </w:rPr>
              <w:t>美元為報表表達貨幣。</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依據修訂之</w:t>
            </w:r>
            <w:r w:rsidR="00F4328B" w:rsidRPr="00F4328B">
              <w:rPr>
                <w:rFonts w:ascii="標楷體" w:eastAsia="標楷體" w:hAnsi="標楷體"/>
              </w:rPr>
              <w:t>IAS第21號公報「匯率變動之影響」，「報導貨幣」之概念已被「功能性貨幣」及「表達貨幣」所取代，並允許財務報表得以任何一種或多種貨幣表達。</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rPr>
              <w:t>OBU向主管機關申報之財務報表以「美元」為貨幣單位，應屬「表達貨幣」之概念，而非「功能性貨幣」。故未來</w:t>
            </w:r>
            <w:proofErr w:type="gramStart"/>
            <w:r w:rsidR="00F4328B" w:rsidRPr="00F4328B">
              <w:rPr>
                <w:rFonts w:ascii="標楷體" w:eastAsia="標楷體" w:hAnsi="標楷體" w:hint="eastAsia"/>
              </w:rPr>
              <w:t>採</w:t>
            </w:r>
            <w:proofErr w:type="gramEnd"/>
            <w:r w:rsidR="00F4328B" w:rsidRPr="00F4328B">
              <w:rPr>
                <w:rFonts w:ascii="標楷體" w:eastAsia="標楷體" w:hAnsi="標楷體" w:hint="eastAsia"/>
              </w:rPr>
              <w:t>行</w:t>
            </w:r>
            <w:r w:rsidR="00F4328B" w:rsidRPr="00F4328B">
              <w:rPr>
                <w:rFonts w:ascii="標楷體" w:eastAsia="標楷體" w:hAnsi="標楷體"/>
              </w:rPr>
              <w:t>IFRS後，OBU應依IAS 21判斷其功能性貨幣，如該貨幣非美元時，再依該公報相關規定換算，</w:t>
            </w:r>
            <w:proofErr w:type="gramStart"/>
            <w:r w:rsidR="00F4328B" w:rsidRPr="00F4328B">
              <w:rPr>
                <w:rFonts w:ascii="標楷體" w:eastAsia="標楷體" w:hAnsi="標楷體" w:hint="eastAsia"/>
              </w:rPr>
              <w:t>編製以</w:t>
            </w:r>
            <w:proofErr w:type="gramEnd"/>
            <w:r w:rsidR="00F4328B" w:rsidRPr="00F4328B">
              <w:rPr>
                <w:rFonts w:ascii="標楷體" w:eastAsia="標楷體" w:hAnsi="標楷體" w:hint="eastAsia"/>
              </w:rPr>
              <w:t>「美元」表達之報表向主管機關申報，</w:t>
            </w:r>
            <w:proofErr w:type="gramStart"/>
            <w:r w:rsidR="00F4328B" w:rsidRPr="00F4328B">
              <w:rPr>
                <w:rFonts w:ascii="標楷體" w:eastAsia="標楷體" w:hAnsi="標楷體" w:hint="eastAsia"/>
              </w:rPr>
              <w:t>兩者間似無</w:t>
            </w:r>
            <w:proofErr w:type="gramEnd"/>
            <w:r w:rsidR="00F4328B" w:rsidRPr="00F4328B">
              <w:rPr>
                <w:rFonts w:ascii="標楷體" w:eastAsia="標楷體" w:hAnsi="標楷體" w:hint="eastAsia"/>
              </w:rPr>
              <w:t>牴觸。</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金融業</w:t>
            </w:r>
          </w:p>
        </w:tc>
        <w:tc>
          <w:tcPr>
            <w:tcW w:w="1417" w:type="dxa"/>
            <w:tcBorders>
              <w:bottom w:val="single" w:sz="4" w:space="0" w:color="auto"/>
            </w:tcBorders>
          </w:tcPr>
          <w:p w:rsidR="00F4328B" w:rsidRPr="00F4328B" w:rsidRDefault="00F4328B" w:rsidP="008B4DE4">
            <w:pPr>
              <w:snapToGrid w:val="0"/>
              <w:ind w:left="360"/>
              <w:rPr>
                <w:rFonts w:ascii="標楷體" w:eastAsia="標楷體" w:hAnsi="標楷體"/>
              </w:rPr>
            </w:pPr>
          </w:p>
        </w:tc>
      </w:tr>
      <w:tr w:rsidR="00F4328B" w:rsidRPr="00F4328B" w:rsidTr="00AC2F26">
        <w:trPr>
          <w:trHeight w:val="4080"/>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34</w:t>
            </w:r>
          </w:p>
        </w:tc>
        <w:tc>
          <w:tcPr>
            <w:tcW w:w="5953"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根據銀行法第</w:t>
            </w:r>
            <w:r w:rsidRPr="00F4328B">
              <w:rPr>
                <w:rFonts w:ascii="標楷體" w:eastAsia="標楷體" w:hAnsi="標楷體"/>
              </w:rPr>
              <w:t>75條規定，銀行不得投資非自用不動產，然因集團內部政策考量而互換營業地點所致之租賃交易，是否可以</w:t>
            </w:r>
            <w:proofErr w:type="gramStart"/>
            <w:r w:rsidRPr="00F4328B">
              <w:rPr>
                <w:rFonts w:ascii="標楷體" w:eastAsia="標楷體" w:hAnsi="標楷體" w:hint="eastAsia"/>
              </w:rPr>
              <w:t>不</w:t>
            </w:r>
            <w:proofErr w:type="gramEnd"/>
            <w:r w:rsidRPr="00F4328B">
              <w:rPr>
                <w:rFonts w:ascii="標楷體" w:eastAsia="標楷體" w:hAnsi="標楷體" w:hint="eastAsia"/>
              </w:rPr>
              <w:t>於個別財務報表中依</w:t>
            </w:r>
            <w:r w:rsidRPr="00F4328B">
              <w:rPr>
                <w:rFonts w:ascii="標楷體" w:eastAsia="標楷體" w:hAnsi="標楷體"/>
              </w:rPr>
              <w:t>IFRS規定分類至投資性不動產以免有違反法令之虞？</w:t>
            </w:r>
          </w:p>
        </w:tc>
        <w:tc>
          <w:tcPr>
            <w:tcW w:w="5245" w:type="dxa"/>
            <w:tcBorders>
              <w:bottom w:val="single" w:sz="4" w:space="0" w:color="auto"/>
            </w:tcBorders>
          </w:tcPr>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第40號公報「投資性不動產」之規定，「投資性不動產」係指賺取租金或資本增值所持有之不動產；「自用不動產」則係指用於商品或勞務之生產或提供，或供管理目的，而由所有者或融資租賃之承租人所持有之不動產。</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proofErr w:type="gramStart"/>
            <w:r w:rsidR="00F4328B" w:rsidRPr="00F4328B">
              <w:rPr>
                <w:rFonts w:ascii="標楷體" w:eastAsia="標楷體" w:hAnsi="標楷體" w:hint="eastAsia"/>
              </w:rPr>
              <w:t>次依</w:t>
            </w:r>
            <w:r w:rsidR="00F4328B" w:rsidRPr="00F4328B">
              <w:rPr>
                <w:rFonts w:ascii="標楷體" w:eastAsia="標楷體" w:hAnsi="標楷體"/>
              </w:rPr>
              <w:t>89</w:t>
            </w:r>
            <w:r w:rsidR="00F4328B" w:rsidRPr="00F4328B">
              <w:rPr>
                <w:rFonts w:ascii="標楷體" w:eastAsia="標楷體" w:hAnsi="標楷體" w:hint="eastAsia"/>
              </w:rPr>
              <w:t>年</w:t>
            </w:r>
            <w:r w:rsidR="00F4328B" w:rsidRPr="00F4328B">
              <w:rPr>
                <w:rFonts w:ascii="標楷體" w:eastAsia="標楷體" w:hAnsi="標楷體"/>
              </w:rPr>
              <w:t>12</w:t>
            </w:r>
            <w:r w:rsidR="00F4328B" w:rsidRPr="00F4328B">
              <w:rPr>
                <w:rFonts w:ascii="標楷體" w:eastAsia="標楷體" w:hAnsi="標楷體" w:hint="eastAsia"/>
              </w:rPr>
              <w:t>月</w:t>
            </w:r>
            <w:r w:rsidR="00F4328B" w:rsidRPr="00F4328B">
              <w:rPr>
                <w:rFonts w:ascii="標楷體" w:eastAsia="標楷體" w:hAnsi="標楷體"/>
              </w:rPr>
              <w:t>28</w:t>
            </w:r>
            <w:r w:rsidR="00F4328B" w:rsidRPr="00F4328B">
              <w:rPr>
                <w:rFonts w:ascii="標楷體" w:eastAsia="標楷體" w:hAnsi="標楷體" w:hint="eastAsia"/>
              </w:rPr>
              <w:t>日</w:t>
            </w:r>
            <w:proofErr w:type="gramEnd"/>
            <w:r w:rsidR="00F4328B" w:rsidRPr="00F4328B">
              <w:rPr>
                <w:rFonts w:ascii="標楷體" w:eastAsia="標楷體" w:hAnsi="標楷體"/>
              </w:rPr>
              <w:t>台財融(</w:t>
            </w:r>
            <w:proofErr w:type="gramStart"/>
            <w:r w:rsidR="00F4328B" w:rsidRPr="00F4328B">
              <w:rPr>
                <w:rFonts w:ascii="標楷體" w:eastAsia="標楷體" w:hAnsi="標楷體"/>
              </w:rPr>
              <w:t>一</w:t>
            </w:r>
            <w:proofErr w:type="gramEnd"/>
            <w:r w:rsidR="00F4328B" w:rsidRPr="00F4328B">
              <w:rPr>
                <w:rFonts w:ascii="標楷體" w:eastAsia="標楷體" w:hAnsi="標楷體"/>
              </w:rPr>
              <w:t>)第89771455號函</w:t>
            </w:r>
            <w:r w:rsidR="00F4328B" w:rsidRPr="00F4328B">
              <w:rPr>
                <w:rFonts w:ascii="標楷體" w:eastAsia="標楷體" w:hAnsi="標楷體" w:hint="eastAsia"/>
              </w:rPr>
              <w:t>規定，</w:t>
            </w:r>
            <w:r w:rsidR="00F4328B" w:rsidRPr="00F4328B">
              <w:rPr>
                <w:rFonts w:ascii="標楷體" w:eastAsia="標楷體" w:hAnsi="標楷體"/>
              </w:rPr>
              <w:t>銀行法第75條所稱「自用不動產」，包括行舍、營業用倉庫及依同法第57條第2項核准之非營業用辦公場所</w:t>
            </w:r>
            <w:r w:rsidR="00F4328B" w:rsidRPr="00F4328B">
              <w:rPr>
                <w:rFonts w:ascii="標楷體" w:eastAsia="標楷體" w:hAnsi="標楷體" w:hint="eastAsia"/>
              </w:rPr>
              <w:t>；非屬自用</w:t>
            </w:r>
            <w:proofErr w:type="gramStart"/>
            <w:r w:rsidR="00F4328B" w:rsidRPr="00F4328B">
              <w:rPr>
                <w:rFonts w:ascii="標楷體" w:eastAsia="標楷體" w:hAnsi="標楷體" w:hint="eastAsia"/>
              </w:rPr>
              <w:t>不動產均屬</w:t>
            </w:r>
            <w:proofErr w:type="gramEnd"/>
            <w:r w:rsidR="00F4328B" w:rsidRPr="00F4328B">
              <w:rPr>
                <w:rFonts w:ascii="標楷體" w:eastAsia="標楷體" w:hAnsi="標楷體" w:hint="eastAsia"/>
              </w:rPr>
              <w:t>「非自用不動產」。</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proofErr w:type="gramStart"/>
            <w:r w:rsidR="00F4328B" w:rsidRPr="00F4328B">
              <w:rPr>
                <w:rFonts w:ascii="標楷體" w:eastAsia="標楷體" w:hAnsi="標楷體" w:hint="eastAsia"/>
              </w:rPr>
              <w:t>鑑</w:t>
            </w:r>
            <w:proofErr w:type="gramEnd"/>
            <w:r w:rsidR="00F4328B" w:rsidRPr="00F4328B">
              <w:rPr>
                <w:rFonts w:ascii="標楷體" w:eastAsia="標楷體" w:hAnsi="標楷體" w:hint="eastAsia"/>
              </w:rPr>
              <w:t>於銀行法及</w:t>
            </w:r>
            <w:r w:rsidR="00F4328B" w:rsidRPr="00F4328B">
              <w:rPr>
                <w:rFonts w:ascii="標楷體" w:eastAsia="標楷體" w:hAnsi="標楷體"/>
              </w:rPr>
              <w:t>IFRS對於自用不動產各有其定義，且規範之目的亦有不同，故</w:t>
            </w:r>
            <w:proofErr w:type="gramStart"/>
            <w:r w:rsidR="00F4328B" w:rsidRPr="00F4328B">
              <w:rPr>
                <w:rFonts w:ascii="標楷體" w:eastAsia="標楷體" w:hAnsi="標楷體" w:hint="eastAsia"/>
              </w:rPr>
              <w:t>銀行於編製</w:t>
            </w:r>
            <w:proofErr w:type="gramEnd"/>
            <w:r w:rsidR="00F4328B" w:rsidRPr="00F4328B">
              <w:rPr>
                <w:rFonts w:ascii="標楷體" w:eastAsia="標楷體" w:hAnsi="標楷體" w:hint="eastAsia"/>
              </w:rPr>
              <w:t>財務報告時，對於所持有之不動產仍應依</w:t>
            </w:r>
            <w:r w:rsidR="00F4328B" w:rsidRPr="00F4328B">
              <w:rPr>
                <w:rFonts w:ascii="標楷體" w:eastAsia="標楷體" w:hAnsi="標楷體"/>
              </w:rPr>
              <w:t>IFRS之相關規定，予以適當分類表達。至於計算銀行法有關自有不動產投資之相關限額時，則應依銀行法之相關規定計算。</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金融業</w:t>
            </w:r>
          </w:p>
        </w:tc>
        <w:tc>
          <w:tcPr>
            <w:tcW w:w="1417" w:type="dxa"/>
            <w:tcBorders>
              <w:bottom w:val="single" w:sz="4" w:space="0" w:color="auto"/>
            </w:tcBorders>
          </w:tcPr>
          <w:p w:rsidR="00F4328B" w:rsidRPr="00F4328B" w:rsidRDefault="00F4328B" w:rsidP="008B4DE4">
            <w:pPr>
              <w:snapToGrid w:val="0"/>
              <w:ind w:left="360"/>
              <w:rPr>
                <w:rFonts w:ascii="標楷體" w:eastAsia="標楷體" w:hAnsi="標楷體"/>
              </w:rPr>
            </w:pPr>
          </w:p>
        </w:tc>
      </w:tr>
      <w:tr w:rsidR="00F4328B" w:rsidRPr="00F4328B" w:rsidTr="00AC2F26">
        <w:trPr>
          <w:trHeight w:val="180"/>
        </w:trPr>
        <w:tc>
          <w:tcPr>
            <w:tcW w:w="710" w:type="dxa"/>
          </w:tcPr>
          <w:p w:rsidR="00F4328B" w:rsidRPr="00482393" w:rsidRDefault="00F4328B" w:rsidP="008B4DE4">
            <w:pPr>
              <w:snapToGrid w:val="0"/>
              <w:ind w:left="2" w:right="62"/>
              <w:jc w:val="center"/>
              <w:rPr>
                <w:rFonts w:ascii="標楷體" w:eastAsia="標楷體" w:hAnsi="標楷體"/>
              </w:rPr>
            </w:pPr>
            <w:r w:rsidRPr="00482393">
              <w:rPr>
                <w:rFonts w:ascii="標楷體" w:eastAsia="標楷體" w:hAnsi="標楷體" w:hint="eastAsia"/>
              </w:rPr>
              <w:t>35</w:t>
            </w:r>
          </w:p>
        </w:tc>
        <w:tc>
          <w:tcPr>
            <w:tcW w:w="5953" w:type="dxa"/>
          </w:tcPr>
          <w:p w:rsidR="00F4328B" w:rsidRPr="00482393" w:rsidRDefault="00F4328B" w:rsidP="009C77E9">
            <w:pPr>
              <w:widowControl/>
              <w:snapToGrid w:val="0"/>
              <w:rPr>
                <w:rFonts w:ascii="標楷體" w:eastAsia="標楷體" w:hAnsi="標楷體" w:cs="新細明體"/>
                <w:kern w:val="0"/>
              </w:rPr>
            </w:pPr>
            <w:r w:rsidRPr="00482393">
              <w:rPr>
                <w:rFonts w:ascii="標楷體" w:eastAsia="標楷體" w:hAnsi="標楷體" w:cs="新細明體"/>
                <w:kern w:val="0"/>
              </w:rPr>
              <w:t xml:space="preserve">IFRS下，母公司對子公司所有權權益之變動所產生之資本公積「3230 </w:t>
            </w:r>
            <w:r w:rsidRPr="00482393">
              <w:rPr>
                <w:rFonts w:ascii="標楷體" w:eastAsia="標楷體" w:hAnsi="標楷體" w:cs="新細明體" w:hint="eastAsia"/>
                <w:kern w:val="0"/>
              </w:rPr>
              <w:t>資本公積</w:t>
            </w:r>
            <w:proofErr w:type="gramStart"/>
            <w:r w:rsidRPr="00482393">
              <w:rPr>
                <w:rFonts w:ascii="標楷體" w:eastAsia="標楷體" w:hAnsi="標楷體" w:cs="新細明體" w:hint="eastAsia"/>
                <w:kern w:val="0"/>
              </w:rPr>
              <w:t>—</w:t>
            </w:r>
            <w:proofErr w:type="gramEnd"/>
            <w:r w:rsidRPr="00482393">
              <w:rPr>
                <w:rFonts w:ascii="標楷體" w:eastAsia="標楷體" w:hAnsi="標楷體" w:cs="新細明體" w:hint="eastAsia"/>
                <w:kern w:val="0"/>
              </w:rPr>
              <w:t>實際取得或處分子公司股權與</w:t>
            </w:r>
            <w:proofErr w:type="gramStart"/>
            <w:r w:rsidRPr="00482393">
              <w:rPr>
                <w:rFonts w:ascii="標楷體" w:eastAsia="標楷體" w:hAnsi="標楷體" w:cs="新細明體" w:hint="eastAsia"/>
                <w:kern w:val="0"/>
              </w:rPr>
              <w:t>帳面</w:t>
            </w:r>
            <w:proofErr w:type="gramEnd"/>
            <w:r w:rsidRPr="00482393">
              <w:rPr>
                <w:rFonts w:ascii="標楷體" w:eastAsia="標楷體" w:hAnsi="標楷體" w:cs="新細明體" w:hint="eastAsia"/>
                <w:kern w:val="0"/>
              </w:rPr>
              <w:t>價值差額」及「</w:t>
            </w:r>
            <w:r w:rsidRPr="00482393">
              <w:rPr>
                <w:rFonts w:ascii="標楷體" w:eastAsia="標楷體" w:hAnsi="標楷體" w:cs="新細明體"/>
                <w:kern w:val="0"/>
              </w:rPr>
              <w:t>3235資本公積</w:t>
            </w:r>
            <w:proofErr w:type="gramStart"/>
            <w:r w:rsidRPr="00482393">
              <w:rPr>
                <w:rFonts w:ascii="標楷體" w:eastAsia="標楷體" w:hAnsi="標楷體" w:cs="新細明體" w:hint="eastAsia"/>
                <w:kern w:val="0"/>
              </w:rPr>
              <w:t>—</w:t>
            </w:r>
            <w:proofErr w:type="gramEnd"/>
            <w:r w:rsidRPr="00482393">
              <w:rPr>
                <w:rFonts w:ascii="標楷體" w:eastAsia="標楷體" w:hAnsi="標楷體" w:cs="新細明體" w:hint="eastAsia"/>
                <w:kern w:val="0"/>
              </w:rPr>
              <w:t>認列對子公司所有權益變動數」是否比照</w:t>
            </w:r>
            <w:r w:rsidRPr="00482393">
              <w:rPr>
                <w:rFonts w:ascii="標楷體" w:eastAsia="標楷體" w:hAnsi="標楷體" w:cs="新細明體"/>
                <w:kern w:val="0"/>
              </w:rPr>
              <w:t>(82)</w:t>
            </w:r>
            <w:proofErr w:type="gramStart"/>
            <w:r w:rsidRPr="00482393">
              <w:rPr>
                <w:rFonts w:ascii="標楷體" w:eastAsia="標楷體" w:hAnsi="標楷體" w:cs="新細明體" w:hint="eastAsia"/>
                <w:kern w:val="0"/>
              </w:rPr>
              <w:t>基秘字</w:t>
            </w:r>
            <w:proofErr w:type="gramEnd"/>
            <w:r w:rsidRPr="00482393">
              <w:rPr>
                <w:rFonts w:ascii="標楷體" w:eastAsia="標楷體" w:hAnsi="標楷體" w:cs="新細明體" w:hint="eastAsia"/>
                <w:kern w:val="0"/>
              </w:rPr>
              <w:t>第</w:t>
            </w:r>
            <w:r w:rsidRPr="00482393">
              <w:rPr>
                <w:rFonts w:ascii="標楷體" w:eastAsia="標楷體" w:hAnsi="標楷體" w:cs="新細明體"/>
                <w:kern w:val="0"/>
              </w:rPr>
              <w:t>095號函解釋處理，即交易當時因無同性質資本</w:t>
            </w:r>
            <w:proofErr w:type="gramStart"/>
            <w:r w:rsidRPr="00482393">
              <w:rPr>
                <w:rFonts w:ascii="標楷體" w:eastAsia="標楷體" w:hAnsi="標楷體" w:cs="新細明體" w:hint="eastAsia"/>
                <w:kern w:val="0"/>
              </w:rPr>
              <w:t>公積可供</w:t>
            </w:r>
            <w:proofErr w:type="gramEnd"/>
            <w:r w:rsidRPr="00482393">
              <w:rPr>
                <w:rFonts w:ascii="標楷體" w:eastAsia="標楷體" w:hAnsi="標楷體" w:cs="新細明體" w:hint="eastAsia"/>
                <w:kern w:val="0"/>
              </w:rPr>
              <w:t>沖減，而減少保留盈餘者，於後續產生同性質資本</w:t>
            </w:r>
            <w:proofErr w:type="gramStart"/>
            <w:r w:rsidRPr="00482393">
              <w:rPr>
                <w:rFonts w:ascii="標楷體" w:eastAsia="標楷體" w:hAnsi="標楷體" w:cs="新細明體" w:hint="eastAsia"/>
                <w:kern w:val="0"/>
              </w:rPr>
              <w:t>公積時</w:t>
            </w:r>
            <w:proofErr w:type="gramEnd"/>
            <w:r w:rsidRPr="00482393">
              <w:rPr>
                <w:rFonts w:ascii="標楷體" w:eastAsia="標楷體" w:hAnsi="標楷體" w:cs="新細明體" w:hint="eastAsia"/>
                <w:kern w:val="0"/>
              </w:rPr>
              <w:t>，不得將先前</w:t>
            </w:r>
            <w:proofErr w:type="gramStart"/>
            <w:r w:rsidRPr="00482393">
              <w:rPr>
                <w:rFonts w:ascii="標楷體" w:eastAsia="標楷體" w:hAnsi="標楷體" w:cs="新細明體" w:hint="eastAsia"/>
                <w:kern w:val="0"/>
              </w:rPr>
              <w:t>已借記之</w:t>
            </w:r>
            <w:proofErr w:type="gramEnd"/>
            <w:r w:rsidRPr="00482393">
              <w:rPr>
                <w:rFonts w:ascii="標楷體" w:eastAsia="標楷體" w:hAnsi="標楷體" w:cs="新細明體" w:hint="eastAsia"/>
                <w:kern w:val="0"/>
              </w:rPr>
              <w:t>保留盈餘轉回</w:t>
            </w:r>
            <w:r w:rsidR="009C77E9" w:rsidRPr="00482393">
              <w:rPr>
                <w:rFonts w:ascii="標楷體" w:eastAsia="標楷體" w:hAnsi="標楷體" w:cs="新細明體"/>
                <w:kern w:val="0"/>
              </w:rPr>
              <w:t xml:space="preserve"> </w:t>
            </w:r>
            <w:r w:rsidRPr="00482393">
              <w:rPr>
                <w:rFonts w:ascii="標楷體" w:eastAsia="標楷體" w:hAnsi="標楷體" w:cs="新細明體"/>
                <w:kern w:val="0"/>
              </w:rPr>
              <w:t>(意即後續於同一月產生者亦不得轉回)</w:t>
            </w:r>
            <w:r w:rsidR="009C77E9" w:rsidRPr="00482393">
              <w:rPr>
                <w:rFonts w:ascii="標楷體" w:eastAsia="標楷體" w:hAnsi="標楷體" w:cs="新細明體" w:hint="eastAsia"/>
                <w:kern w:val="0"/>
              </w:rPr>
              <w:t>。</w:t>
            </w:r>
          </w:p>
        </w:tc>
        <w:tc>
          <w:tcPr>
            <w:tcW w:w="5245" w:type="dxa"/>
          </w:tcPr>
          <w:p w:rsidR="00091662" w:rsidRDefault="009C77E9" w:rsidP="009C77E9">
            <w:pPr>
              <w:snapToGrid w:val="0"/>
              <w:ind w:left="240" w:hangingChars="100" w:hanging="240"/>
              <w:rPr>
                <w:rFonts w:ascii="標楷體" w:eastAsia="標楷體" w:hAnsi="標楷體"/>
              </w:rPr>
            </w:pPr>
            <w:r>
              <w:rPr>
                <w:rFonts w:ascii="標楷體" w:eastAsia="標楷體" w:hAnsi="標楷體" w:hint="eastAsia"/>
              </w:rPr>
              <w:t>1.</w:t>
            </w:r>
            <w:r w:rsidR="00F4328B" w:rsidRPr="009C77E9">
              <w:rPr>
                <w:rFonts w:ascii="標楷體" w:eastAsia="標楷體" w:hAnsi="標楷體"/>
              </w:rPr>
              <w:t>企業原則上以「交易日」之權益狀況進行處理，</w:t>
            </w:r>
            <w:r w:rsidR="00F4328B" w:rsidRPr="00091662">
              <w:rPr>
                <w:rFonts w:ascii="標楷體" w:eastAsia="標楷體" w:hAnsi="標楷體"/>
              </w:rPr>
              <w:t>惟可以配合財務報告</w:t>
            </w:r>
            <w:proofErr w:type="gramStart"/>
            <w:r w:rsidR="00F4328B" w:rsidRPr="00091662">
              <w:rPr>
                <w:rFonts w:ascii="標楷體" w:eastAsia="標楷體" w:hAnsi="標楷體" w:hint="eastAsia"/>
              </w:rPr>
              <w:t>期間</w:t>
            </w:r>
            <w:r w:rsidR="00F4328B" w:rsidRPr="00091662">
              <w:rPr>
                <w:rFonts w:ascii="標楷體" w:eastAsia="標楷體" w:hAnsi="標楷體"/>
              </w:rPr>
              <w:t>(</w:t>
            </w:r>
            <w:proofErr w:type="gramEnd"/>
            <w:r w:rsidR="00F4328B" w:rsidRPr="00091662">
              <w:rPr>
                <w:rFonts w:ascii="標楷體" w:eastAsia="標楷體" w:hAnsi="標楷體" w:hint="eastAsia"/>
              </w:rPr>
              <w:t>即截至資產</w:t>
            </w:r>
            <w:proofErr w:type="gramStart"/>
            <w:r w:rsidR="00F4328B" w:rsidRPr="00091662">
              <w:rPr>
                <w:rFonts w:ascii="標楷體" w:eastAsia="標楷體" w:hAnsi="標楷體" w:hint="eastAsia"/>
              </w:rPr>
              <w:t>負債表日</w:t>
            </w:r>
            <w:proofErr w:type="gramEnd"/>
            <w:r w:rsidR="00F4328B" w:rsidRPr="00091662">
              <w:rPr>
                <w:rFonts w:ascii="標楷體" w:eastAsia="標楷體" w:hAnsi="標楷體"/>
              </w:rPr>
              <w:t>)予以判斷帳上是否有同類性質之資本</w:t>
            </w:r>
            <w:proofErr w:type="gramStart"/>
            <w:r w:rsidR="00F4328B" w:rsidRPr="00091662">
              <w:rPr>
                <w:rFonts w:ascii="標楷體" w:eastAsia="標楷體" w:hAnsi="標楷體" w:hint="eastAsia"/>
              </w:rPr>
              <w:t>公積可供</w:t>
            </w:r>
            <w:proofErr w:type="gramEnd"/>
            <w:r w:rsidR="00F4328B" w:rsidRPr="00091662">
              <w:rPr>
                <w:rFonts w:ascii="標楷體" w:eastAsia="標楷體" w:hAnsi="標楷體" w:hint="eastAsia"/>
              </w:rPr>
              <w:t>沖減。但該期間之資產負債表日後，即使產生同性質資本公積，亦不得迴轉先前已沖減之保留盈餘。</w:t>
            </w:r>
          </w:p>
          <w:p w:rsidR="00F4328B" w:rsidRPr="009C77E9" w:rsidRDefault="009C77E9" w:rsidP="009C77E9">
            <w:pPr>
              <w:snapToGrid w:val="0"/>
              <w:ind w:left="240" w:hangingChars="100" w:hanging="240"/>
              <w:rPr>
                <w:rFonts w:ascii="標楷體" w:eastAsia="標楷體" w:hAnsi="標楷體"/>
              </w:rPr>
            </w:pPr>
            <w:r>
              <w:rPr>
                <w:rFonts w:ascii="標楷體" w:eastAsia="標楷體" w:hAnsi="標楷體" w:hint="eastAsia"/>
              </w:rPr>
              <w:t>2.</w:t>
            </w:r>
            <w:r w:rsidR="00F4328B" w:rsidRPr="009C77E9">
              <w:rPr>
                <w:rFonts w:ascii="標楷體" w:eastAsia="標楷體" w:hAnsi="標楷體"/>
              </w:rPr>
              <w:t>金融保險業目的事業主管機關如有特別規定，金融保險業應從其規定。</w:t>
            </w:r>
          </w:p>
        </w:tc>
        <w:tc>
          <w:tcPr>
            <w:tcW w:w="1418" w:type="dxa"/>
          </w:tcPr>
          <w:p w:rsidR="00F4328B" w:rsidRPr="00482393" w:rsidRDefault="00F4328B" w:rsidP="008B4DE4">
            <w:pPr>
              <w:snapToGrid w:val="0"/>
              <w:ind w:left="2" w:right="62"/>
              <w:rPr>
                <w:rFonts w:ascii="標楷體" w:eastAsia="標楷體" w:hAnsi="標楷體"/>
              </w:rPr>
            </w:pPr>
            <w:r w:rsidRPr="00482393">
              <w:rPr>
                <w:rFonts w:ascii="標楷體" w:eastAsia="標楷體" w:hAnsi="標楷體" w:hint="eastAsia"/>
              </w:rPr>
              <w:t>資本</w:t>
            </w:r>
            <w:proofErr w:type="gramStart"/>
            <w:r w:rsidRPr="00482393">
              <w:rPr>
                <w:rFonts w:ascii="標楷體" w:eastAsia="標楷體" w:hAnsi="標楷體" w:hint="eastAsia"/>
              </w:rPr>
              <w:t>公積沖減</w:t>
            </w:r>
            <w:proofErr w:type="gramEnd"/>
            <w:r w:rsidRPr="00482393">
              <w:rPr>
                <w:rFonts w:ascii="標楷體" w:eastAsia="標楷體" w:hAnsi="標楷體" w:hint="eastAsia"/>
              </w:rPr>
              <w:t>與迴轉</w:t>
            </w:r>
          </w:p>
        </w:tc>
        <w:tc>
          <w:tcPr>
            <w:tcW w:w="1417" w:type="dxa"/>
          </w:tcPr>
          <w:p w:rsidR="00F4328B" w:rsidRPr="00482393" w:rsidRDefault="00F4328B" w:rsidP="008B4DE4">
            <w:pPr>
              <w:snapToGrid w:val="0"/>
              <w:rPr>
                <w:rFonts w:ascii="標楷體" w:eastAsia="標楷體" w:hAnsi="標楷體" w:cs="新細明體"/>
                <w:kern w:val="0"/>
              </w:rPr>
            </w:pPr>
          </w:p>
        </w:tc>
      </w:tr>
      <w:tr w:rsidR="00F4328B" w:rsidRPr="00F4328B" w:rsidTr="00AC2F26">
        <w:trPr>
          <w:trHeight w:val="180"/>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36</w:t>
            </w:r>
          </w:p>
        </w:tc>
        <w:tc>
          <w:tcPr>
            <w:tcW w:w="5953" w:type="dxa"/>
          </w:tcPr>
          <w:p w:rsidR="00F4328B" w:rsidRPr="00F4328B" w:rsidRDefault="00F4328B" w:rsidP="008B4DE4">
            <w:pPr>
              <w:widowControl/>
              <w:snapToGrid w:val="0"/>
              <w:rPr>
                <w:rFonts w:ascii="標楷體" w:eastAsia="標楷體" w:hAnsi="標楷體" w:cs="新細明體"/>
                <w:kern w:val="0"/>
              </w:rPr>
            </w:pPr>
            <w:r w:rsidRPr="00F4328B">
              <w:rPr>
                <w:rFonts w:ascii="標楷體" w:eastAsia="標楷體" w:hAnsi="標楷體" w:cs="新細明體" w:hint="eastAsia"/>
                <w:kern w:val="0"/>
              </w:rPr>
              <w:t>企業合併取得之投資性不動產，依</w:t>
            </w:r>
            <w:r w:rsidRPr="00F4328B">
              <w:rPr>
                <w:rFonts w:ascii="標楷體" w:eastAsia="標楷體" w:hAnsi="標楷體" w:cs="新細明體"/>
                <w:kern w:val="0"/>
              </w:rPr>
              <w:t>IFRS 3需</w:t>
            </w:r>
            <w:r w:rsidRPr="00F4328B">
              <w:rPr>
                <w:rFonts w:ascii="標楷體" w:eastAsia="標楷體" w:hAnsi="標楷體" w:cs="新細明體" w:hint="eastAsia"/>
                <w:kern w:val="0"/>
              </w:rPr>
              <w:t>按收購日之公允價值衡量，後續則依</w:t>
            </w:r>
            <w:r w:rsidRPr="00F4328B">
              <w:rPr>
                <w:rFonts w:ascii="標楷體" w:eastAsia="標楷體" w:hAnsi="標楷體" w:cs="新細明體"/>
                <w:kern w:val="0"/>
              </w:rPr>
              <w:t>IAS 4</w:t>
            </w:r>
            <w:r w:rsidRPr="00F4328B">
              <w:rPr>
                <w:rFonts w:ascii="標楷體" w:eastAsia="標楷體" w:hAnsi="標楷體" w:cs="新細明體" w:hint="eastAsia"/>
                <w:kern w:val="0"/>
              </w:rPr>
              <w:t>0</w:t>
            </w:r>
            <w:r w:rsidRPr="00F4328B">
              <w:rPr>
                <w:rFonts w:ascii="標楷體" w:eastAsia="標楷體" w:hAnsi="標楷體" w:cs="新細明體"/>
                <w:kern w:val="0"/>
              </w:rPr>
              <w:t>選擇採用成本模式或公允價值模式衡量。後續</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公允價值模式衡量之投資性不動產，於衡量收購日之公允價值時，是否需比照編製準則對投資性不動產之後續衡量採用公允價值模式之規定？另後續</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成本模式衡量之投資性不動產，於衡量收購日之公允價值時，是否需比照編製準則對投資性不動產之後續衡量採用公允價值模式之規定</w:t>
            </w:r>
            <w:r w:rsidRPr="00F4328B">
              <w:rPr>
                <w:rFonts w:ascii="標楷體" w:eastAsia="標楷體" w:hAnsi="標楷體" w:cs="新細明體"/>
                <w:kern w:val="0"/>
              </w:rPr>
              <w:t>?</w:t>
            </w:r>
          </w:p>
        </w:tc>
        <w:tc>
          <w:tcPr>
            <w:tcW w:w="5245"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企業因合併取得之投資性不動產，應依</w:t>
            </w:r>
            <w:r w:rsidRPr="00F4328B">
              <w:rPr>
                <w:rFonts w:ascii="標楷體" w:eastAsia="標楷體" w:hAnsi="標楷體" w:cs="新細明體"/>
                <w:kern w:val="0"/>
              </w:rPr>
              <w:t>IFRS 3按收</w:t>
            </w:r>
            <w:r w:rsidRPr="00F4328B">
              <w:rPr>
                <w:rFonts w:ascii="標楷體" w:eastAsia="標楷體" w:hAnsi="標楷體" w:cs="新細明體" w:hint="eastAsia"/>
                <w:kern w:val="0"/>
              </w:rPr>
              <w:t>購日之公允價值衡量，而於決定公允價值時，宜考量與續後評價方法之一致性。</w:t>
            </w: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投資性不動產</w:t>
            </w:r>
          </w:p>
        </w:tc>
        <w:tc>
          <w:tcPr>
            <w:tcW w:w="1417" w:type="dxa"/>
          </w:tcPr>
          <w:p w:rsidR="00F4328B" w:rsidRPr="00F4328B" w:rsidRDefault="00F4328B" w:rsidP="008B4DE4">
            <w:pPr>
              <w:snapToGrid w:val="0"/>
              <w:rPr>
                <w:rFonts w:ascii="標楷體" w:eastAsia="標楷體" w:hAnsi="標楷體" w:cs="新細明體"/>
                <w:kern w:val="0"/>
              </w:rPr>
            </w:pPr>
          </w:p>
        </w:tc>
      </w:tr>
      <w:tr w:rsidR="00F4328B" w:rsidRPr="00F4328B" w:rsidTr="00AC2F26">
        <w:trPr>
          <w:trHeight w:val="180"/>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37</w:t>
            </w:r>
          </w:p>
        </w:tc>
        <w:tc>
          <w:tcPr>
            <w:tcW w:w="5953"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母公司出租不動產予子公司供營業使用，於集團合併</w:t>
            </w:r>
            <w:proofErr w:type="gramStart"/>
            <w:r w:rsidRPr="00F4328B">
              <w:rPr>
                <w:rFonts w:ascii="標楷體" w:eastAsia="標楷體" w:hAnsi="標楷體" w:cs="新細明體" w:hint="eastAsia"/>
                <w:kern w:val="0"/>
              </w:rPr>
              <w:t>財報下該</w:t>
            </w:r>
            <w:proofErr w:type="gramEnd"/>
            <w:r w:rsidRPr="00F4328B">
              <w:rPr>
                <w:rFonts w:ascii="標楷體" w:eastAsia="標楷體" w:hAnsi="標楷體" w:cs="新細明體" w:hint="eastAsia"/>
                <w:kern w:val="0"/>
              </w:rPr>
              <w:t>不動產列為不動產、廠房及設備，於母公司個體</w:t>
            </w:r>
            <w:proofErr w:type="gramStart"/>
            <w:r w:rsidRPr="00F4328B">
              <w:rPr>
                <w:rFonts w:ascii="標楷體" w:eastAsia="標楷體" w:hAnsi="標楷體" w:cs="新細明體" w:hint="eastAsia"/>
                <w:kern w:val="0"/>
              </w:rPr>
              <w:t>財報下</w:t>
            </w:r>
            <w:r w:rsidRPr="00F4328B">
              <w:rPr>
                <w:rFonts w:ascii="標楷體" w:eastAsia="標楷體" w:hAnsi="標楷體" w:cs="新細明體"/>
                <w:kern w:val="0"/>
              </w:rPr>
              <w:t>須</w:t>
            </w:r>
            <w:proofErr w:type="gramEnd"/>
            <w:r w:rsidRPr="00F4328B">
              <w:rPr>
                <w:rFonts w:ascii="標楷體" w:eastAsia="標楷體" w:hAnsi="標楷體" w:cs="新細明體"/>
                <w:kern w:val="0"/>
              </w:rPr>
              <w:t>依IFRSs規定列為投資性不動產。該集團於</w:t>
            </w:r>
            <w:proofErr w:type="gramStart"/>
            <w:r w:rsidRPr="00F4328B">
              <w:rPr>
                <w:rFonts w:ascii="標楷體" w:eastAsia="標楷體" w:hAnsi="標楷體" w:cs="新細明體"/>
                <w:kern w:val="0"/>
              </w:rPr>
              <w:t>103</w:t>
            </w:r>
            <w:proofErr w:type="gramEnd"/>
            <w:r w:rsidRPr="00F4328B">
              <w:rPr>
                <w:rFonts w:ascii="標楷體" w:eastAsia="標楷體" w:hAnsi="標楷體" w:cs="新細明體" w:hint="eastAsia"/>
                <w:kern w:val="0"/>
              </w:rPr>
              <w:t>年度選擇投資性</w:t>
            </w:r>
            <w:proofErr w:type="gramStart"/>
            <w:r w:rsidRPr="00F4328B">
              <w:rPr>
                <w:rFonts w:ascii="標楷體" w:eastAsia="標楷體" w:hAnsi="標楷體" w:cs="新細明體" w:hint="eastAsia"/>
                <w:kern w:val="0"/>
              </w:rPr>
              <w:t>不動產續後衡量</w:t>
            </w:r>
            <w:proofErr w:type="gramEnd"/>
            <w:r w:rsidRPr="00F4328B">
              <w:rPr>
                <w:rFonts w:ascii="標楷體" w:eastAsia="標楷體" w:hAnsi="標楷體" w:cs="新細明體" w:hint="eastAsia"/>
                <w:kern w:val="0"/>
              </w:rPr>
              <w:t>之會計政策由成本模式改變為公允價值模式。母公司如何適用</w:t>
            </w:r>
            <w:r w:rsidRPr="00F4328B">
              <w:rPr>
                <w:rFonts w:ascii="標楷體" w:eastAsia="標楷體" w:hAnsi="標楷體" w:cs="新細明體"/>
                <w:kern w:val="0"/>
              </w:rPr>
              <w:t>103年3月18日</w:t>
            </w:r>
            <w:proofErr w:type="gramStart"/>
            <w:r w:rsidRPr="00F4328B">
              <w:rPr>
                <w:rFonts w:ascii="標楷體" w:eastAsia="標楷體" w:hAnsi="標楷體" w:cs="新細明體"/>
                <w:kern w:val="0"/>
              </w:rPr>
              <w:t>金管證發</w:t>
            </w:r>
            <w:proofErr w:type="gramEnd"/>
            <w:r w:rsidRPr="00F4328B">
              <w:rPr>
                <w:rFonts w:ascii="標楷體" w:eastAsia="標楷體" w:hAnsi="標楷體" w:cs="新細明體"/>
                <w:kern w:val="0"/>
              </w:rPr>
              <w:t xml:space="preserve">字第1030006415號函之規定提列投資性不動產相關特別盈餘公積? </w:t>
            </w:r>
            <w:r w:rsidRPr="00F4328B">
              <w:rPr>
                <w:rFonts w:ascii="標楷體" w:eastAsia="標楷體" w:hAnsi="標楷體" w:cs="新細明體"/>
                <w:kern w:val="0"/>
              </w:rPr>
              <w:br/>
            </w:r>
            <w:r w:rsidRPr="00F4328B">
              <w:rPr>
                <w:rFonts w:ascii="標楷體" w:eastAsia="標楷體" w:hAnsi="標楷體" w:cs="新細明體" w:hint="eastAsia"/>
                <w:kern w:val="0"/>
              </w:rPr>
              <w:t>舉例：</w:t>
            </w:r>
            <w:r w:rsidRPr="00F4328B">
              <w:rPr>
                <w:rFonts w:ascii="標楷體" w:eastAsia="標楷體" w:hAnsi="標楷體" w:cs="新細明體"/>
                <w:kern w:val="0"/>
              </w:rPr>
              <w:t>P母公司出租A不動產予持股100%之S1子公司及B不動產予外部第三人，另一持股90%之S2子公司出租C不動產予外部第三人。於P合併財務報表係將B及C不動產</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公允價值模式衡量。</w:t>
            </w:r>
            <w:r w:rsidRPr="00F4328B">
              <w:rPr>
                <w:rFonts w:ascii="標楷體" w:eastAsia="標楷體" w:hAnsi="標楷體" w:cs="新細明體"/>
                <w:kern w:val="0"/>
              </w:rPr>
              <w:t>P個體財務報表除B不動產外，尚須將出租予S1之A不動產列為投資性不動產，按公允價值衡量，再透過「採用權益法之投資」、「期初保留盈餘」及「投資損益」調整減少個體財務報表之權益及損益，以與合併財務報表中歸屬於母公司之權益及損益金額一致。</w:t>
            </w:r>
            <w:proofErr w:type="gramStart"/>
            <w:r w:rsidRPr="00F4328B">
              <w:rPr>
                <w:rFonts w:ascii="標楷體" w:eastAsia="標楷體" w:hAnsi="標楷體" w:cs="新細明體" w:hint="eastAsia"/>
                <w:kern w:val="0"/>
              </w:rPr>
              <w:t>此外，</w:t>
            </w:r>
            <w:proofErr w:type="gramEnd"/>
            <w:r w:rsidRPr="00F4328B">
              <w:rPr>
                <w:rFonts w:ascii="標楷體" w:eastAsia="標楷體" w:hAnsi="標楷體" w:cs="新細明體"/>
                <w:kern w:val="0"/>
              </w:rPr>
              <w:t>P於個體財務報表對於S2之</w:t>
            </w:r>
            <w:r w:rsidRPr="00F4328B">
              <w:rPr>
                <w:rFonts w:ascii="標楷體" w:eastAsia="標楷體" w:hAnsi="標楷體" w:cs="新細明體" w:hint="eastAsia"/>
                <w:kern w:val="0"/>
              </w:rPr>
              <w:t>投資性不動產公允價值衡量之變動數，亦按</w:t>
            </w:r>
            <w:r w:rsidRPr="00F4328B">
              <w:rPr>
                <w:rFonts w:ascii="標楷體" w:eastAsia="標楷體" w:hAnsi="標楷體" w:cs="新細明體"/>
                <w:kern w:val="0"/>
              </w:rPr>
              <w:t>90%認列「期初保留盈餘」及「投資損益」。P</w:t>
            </w:r>
            <w:proofErr w:type="gramStart"/>
            <w:r w:rsidRPr="00F4328B">
              <w:rPr>
                <w:rFonts w:ascii="標楷體" w:eastAsia="標楷體" w:hAnsi="標楷體" w:cs="新細明體" w:hint="eastAsia"/>
                <w:kern w:val="0"/>
              </w:rPr>
              <w:t>依金管證</w:t>
            </w:r>
            <w:proofErr w:type="gramEnd"/>
            <w:r w:rsidRPr="00F4328B">
              <w:rPr>
                <w:rFonts w:ascii="標楷體" w:eastAsia="標楷體" w:hAnsi="標楷體" w:cs="新細明體" w:hint="eastAsia"/>
                <w:kern w:val="0"/>
              </w:rPr>
              <w:t>發字</w:t>
            </w:r>
            <w:proofErr w:type="gramStart"/>
            <w:r w:rsidRPr="00F4328B">
              <w:rPr>
                <w:rFonts w:ascii="標楷體" w:eastAsia="標楷體" w:hAnsi="標楷體" w:cs="新細明體" w:hint="eastAsia"/>
                <w:kern w:val="0"/>
              </w:rPr>
              <w:t>第</w:t>
            </w:r>
            <w:r w:rsidRPr="00F4328B">
              <w:rPr>
                <w:rFonts w:ascii="標楷體" w:eastAsia="標楷體" w:hAnsi="標楷體" w:cs="新細明體"/>
                <w:kern w:val="0"/>
              </w:rPr>
              <w:t>1030006415號函提列</w:t>
            </w:r>
            <w:proofErr w:type="gramEnd"/>
            <w:r w:rsidRPr="00F4328B">
              <w:rPr>
                <w:rFonts w:ascii="標楷體" w:eastAsia="標楷體" w:hAnsi="標楷體" w:cs="新細明體" w:hint="eastAsia"/>
                <w:kern w:val="0"/>
              </w:rPr>
              <w:t>與投資性不動產相關之特別盈餘公積金額為何</w:t>
            </w:r>
            <w:r w:rsidRPr="00F4328B">
              <w:rPr>
                <w:rFonts w:ascii="標楷體" w:eastAsia="標楷體" w:hAnsi="標楷體" w:cs="新細明體"/>
                <w:kern w:val="0"/>
              </w:rPr>
              <w:t>?。</w:t>
            </w:r>
          </w:p>
          <w:p w:rsidR="00F4328B" w:rsidRPr="00F4328B" w:rsidRDefault="00F4328B" w:rsidP="008B4DE4">
            <w:pPr>
              <w:widowControl/>
              <w:snapToGrid w:val="0"/>
              <w:rPr>
                <w:rFonts w:ascii="標楷體" w:eastAsia="標楷體" w:hAnsi="標楷體" w:cs="新細明體"/>
                <w:kern w:val="0"/>
              </w:rPr>
            </w:pPr>
          </w:p>
        </w:tc>
        <w:tc>
          <w:tcPr>
            <w:tcW w:w="5245" w:type="dxa"/>
          </w:tcPr>
          <w:p w:rsidR="003C24F4"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t>1.</w:t>
            </w:r>
            <w:proofErr w:type="gramStart"/>
            <w:r w:rsidRPr="00F4328B">
              <w:rPr>
                <w:rFonts w:ascii="標楷體" w:eastAsia="標楷體" w:hAnsi="標楷體" w:cs="新細明體"/>
                <w:kern w:val="0"/>
              </w:rPr>
              <w:t>依金管</w:t>
            </w:r>
            <w:proofErr w:type="gramEnd"/>
            <w:r w:rsidRPr="00F4328B">
              <w:rPr>
                <w:rFonts w:ascii="標楷體" w:eastAsia="標楷體" w:hAnsi="標楷體" w:cs="新細明體"/>
                <w:kern w:val="0"/>
              </w:rPr>
              <w:t>會103年3月18日</w:t>
            </w:r>
            <w:proofErr w:type="gramStart"/>
            <w:r w:rsidRPr="00F4328B">
              <w:rPr>
                <w:rFonts w:ascii="標楷體" w:eastAsia="標楷體" w:hAnsi="標楷體" w:cs="新細明體" w:hint="eastAsia"/>
                <w:kern w:val="0"/>
              </w:rPr>
              <w:t>金管證發</w:t>
            </w:r>
            <w:proofErr w:type="gramEnd"/>
            <w:r w:rsidRPr="00F4328B">
              <w:rPr>
                <w:rFonts w:ascii="標楷體" w:eastAsia="標楷體" w:hAnsi="標楷體" w:cs="新細明體" w:hint="eastAsia"/>
                <w:kern w:val="0"/>
              </w:rPr>
              <w:t>字第</w:t>
            </w:r>
            <w:r w:rsidRPr="00F4328B">
              <w:rPr>
                <w:rFonts w:ascii="標楷體" w:eastAsia="標楷體" w:hAnsi="標楷體" w:cs="新細明體"/>
                <w:kern w:val="0"/>
              </w:rPr>
              <w:t>1030006415號令，公開</w:t>
            </w:r>
            <w:proofErr w:type="gramStart"/>
            <w:r w:rsidRPr="00F4328B">
              <w:rPr>
                <w:rFonts w:ascii="標楷體" w:eastAsia="標楷體" w:hAnsi="標楷體" w:cs="新細明體" w:hint="eastAsia"/>
                <w:kern w:val="0"/>
              </w:rPr>
              <w:t>發行公司就帳列</w:t>
            </w:r>
            <w:proofErr w:type="gramEnd"/>
            <w:r w:rsidRPr="00F4328B">
              <w:rPr>
                <w:rFonts w:ascii="標楷體" w:eastAsia="標楷體" w:hAnsi="標楷體" w:cs="新細明體" w:hint="eastAsia"/>
                <w:kern w:val="0"/>
              </w:rPr>
              <w:t>投資性不動產持續採用公允價值模式衡量時，應就其當年度發生之帳列公允價值淨增加數額，自當期損益與前期未分配盈餘提列相同數額之特別盈餘公積。前揭公允價值淨增加數額係指因</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公允價值模式衡量投資性不動產，而已於當年度個體財務報表認列之相關淨利益數額，包括來自因</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權益法依持股比例所認列之被投資公司同一原因所產生之投資收益。</w:t>
            </w:r>
          </w:p>
          <w:p w:rsidR="00F4328B" w:rsidRPr="00F4328B"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t>2.依前開規範，本題案例之P母公司應就其個體財務報表之投資性不動產公允價值淨增加數額扣除透過「投資損益」調整減少之損益金額(即已於個體財務報表認列之相關淨利益數額)，以及其對S2子公司所認列之投資收益中屬於S2子公司投資性不動產公允價值淨增加數額部分提列特別盈餘公積。</w:t>
            </w:r>
          </w:p>
          <w:p w:rsidR="00F4328B" w:rsidRPr="00F4328B" w:rsidRDefault="00F4328B" w:rsidP="008B4DE4">
            <w:pPr>
              <w:snapToGrid w:val="0"/>
              <w:rPr>
                <w:rFonts w:ascii="標楷體" w:eastAsia="標楷體" w:hAnsi="標楷體" w:cs="新細明體"/>
                <w:kern w:val="0"/>
              </w:rPr>
            </w:pP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特別盈餘公積</w:t>
            </w:r>
          </w:p>
        </w:tc>
        <w:tc>
          <w:tcPr>
            <w:tcW w:w="1417" w:type="dxa"/>
          </w:tcPr>
          <w:p w:rsidR="00F4328B" w:rsidRPr="00F4328B" w:rsidRDefault="00F4328B" w:rsidP="008B4DE4">
            <w:pPr>
              <w:snapToGrid w:val="0"/>
              <w:rPr>
                <w:rFonts w:ascii="標楷體" w:eastAsia="標楷體" w:hAnsi="標楷體"/>
              </w:rPr>
            </w:pPr>
          </w:p>
        </w:tc>
      </w:tr>
      <w:tr w:rsidR="00F4328B" w:rsidRPr="00F4328B" w:rsidTr="005769C3">
        <w:trPr>
          <w:trHeight w:val="1588"/>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38</w:t>
            </w:r>
          </w:p>
        </w:tc>
        <w:tc>
          <w:tcPr>
            <w:tcW w:w="5953"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公司選擇將確定福利計畫再衡量數表達於其他權益，若其為負數者，是否因其於後續期間不得重分類至損益或轉入保留盈餘，故無須依</w:t>
            </w:r>
            <w:r w:rsidRPr="00F4328B">
              <w:rPr>
                <w:rFonts w:ascii="標楷體" w:eastAsia="標楷體" w:hAnsi="標楷體" w:cs="新細明體"/>
                <w:kern w:val="0"/>
              </w:rPr>
              <w:t>101年4月6日</w:t>
            </w:r>
            <w:proofErr w:type="gramStart"/>
            <w:r w:rsidRPr="00F4328B">
              <w:rPr>
                <w:rFonts w:ascii="標楷體" w:eastAsia="標楷體" w:hAnsi="標楷體" w:cs="新細明體" w:hint="eastAsia"/>
                <w:kern w:val="0"/>
              </w:rPr>
              <w:t>金管證發</w:t>
            </w:r>
            <w:proofErr w:type="gramEnd"/>
            <w:r w:rsidRPr="00F4328B">
              <w:rPr>
                <w:rFonts w:ascii="標楷體" w:eastAsia="標楷體" w:hAnsi="標楷體" w:cs="新細明體" w:hint="eastAsia"/>
                <w:kern w:val="0"/>
              </w:rPr>
              <w:t>字第</w:t>
            </w:r>
            <w:r w:rsidRPr="00F4328B">
              <w:rPr>
                <w:rFonts w:ascii="標楷體" w:eastAsia="標楷體" w:hAnsi="標楷體" w:cs="新細明體"/>
                <w:kern w:val="0"/>
              </w:rPr>
              <w:t>1010012865</w:t>
            </w:r>
            <w:proofErr w:type="gramStart"/>
            <w:r w:rsidRPr="00F4328B">
              <w:rPr>
                <w:rFonts w:ascii="標楷體" w:eastAsia="標楷體" w:hAnsi="標楷體" w:cs="新細明體" w:hint="eastAsia"/>
                <w:kern w:val="0"/>
              </w:rPr>
              <w:t>號令就帳列</w:t>
            </w:r>
            <w:proofErr w:type="gramEnd"/>
            <w:r w:rsidRPr="00F4328B">
              <w:rPr>
                <w:rFonts w:ascii="標楷體" w:eastAsia="標楷體" w:hAnsi="標楷體" w:cs="新細明體" w:hint="eastAsia"/>
                <w:kern w:val="0"/>
              </w:rPr>
              <w:t>其他股東權益減項淨額提列特別盈餘公積？</w:t>
            </w:r>
          </w:p>
        </w:tc>
        <w:tc>
          <w:tcPr>
            <w:tcW w:w="5245"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公司若選擇將確定福利計畫再衡量數表達於其他權益，應與其他權益項目合併考量，依</w:t>
            </w:r>
            <w:r w:rsidRPr="00F4328B">
              <w:rPr>
                <w:rFonts w:ascii="標楷體" w:eastAsia="標楷體" w:hAnsi="標楷體" w:cs="新細明體"/>
                <w:kern w:val="0"/>
              </w:rPr>
              <w:t>101年4月6日</w:t>
            </w:r>
            <w:proofErr w:type="gramStart"/>
            <w:r w:rsidRPr="00F4328B">
              <w:rPr>
                <w:rFonts w:ascii="標楷體" w:eastAsia="標楷體" w:hAnsi="標楷體" w:cs="新細明體" w:hint="eastAsia"/>
                <w:kern w:val="0"/>
              </w:rPr>
              <w:t>金管證發</w:t>
            </w:r>
            <w:proofErr w:type="gramEnd"/>
            <w:r w:rsidRPr="00F4328B">
              <w:rPr>
                <w:rFonts w:ascii="標楷體" w:eastAsia="標楷體" w:hAnsi="標楷體" w:cs="新細明體" w:hint="eastAsia"/>
                <w:kern w:val="0"/>
              </w:rPr>
              <w:t>字第</w:t>
            </w:r>
            <w:r w:rsidRPr="00F4328B">
              <w:rPr>
                <w:rFonts w:ascii="標楷體" w:eastAsia="標楷體" w:hAnsi="標楷體" w:cs="新細明體"/>
                <w:kern w:val="0"/>
              </w:rPr>
              <w:t>1010012865</w:t>
            </w:r>
            <w:proofErr w:type="gramStart"/>
            <w:r w:rsidRPr="00F4328B">
              <w:rPr>
                <w:rFonts w:ascii="標楷體" w:eastAsia="標楷體" w:hAnsi="標楷體" w:cs="新細明體" w:hint="eastAsia"/>
                <w:kern w:val="0"/>
              </w:rPr>
              <w:t>號令就帳列</w:t>
            </w:r>
            <w:proofErr w:type="gramEnd"/>
            <w:r w:rsidRPr="00F4328B">
              <w:rPr>
                <w:rFonts w:ascii="標楷體" w:eastAsia="標楷體" w:hAnsi="標楷體" w:cs="新細明體" w:hint="eastAsia"/>
                <w:kern w:val="0"/>
              </w:rPr>
              <w:t>其他股東權益減項淨額提列特別盈餘公積。</w:t>
            </w:r>
          </w:p>
        </w:tc>
        <w:tc>
          <w:tcPr>
            <w:tcW w:w="1418"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hint="eastAsia"/>
              </w:rPr>
              <w:t>特別盈餘公積</w:t>
            </w:r>
          </w:p>
        </w:tc>
        <w:tc>
          <w:tcPr>
            <w:tcW w:w="1417" w:type="dxa"/>
          </w:tcPr>
          <w:p w:rsidR="00F4328B" w:rsidRPr="00F4328B" w:rsidRDefault="00F4328B" w:rsidP="008B4DE4">
            <w:pPr>
              <w:snapToGrid w:val="0"/>
              <w:rPr>
                <w:rFonts w:ascii="標楷體" w:eastAsia="標楷體" w:hAnsi="標楷體" w:cs="新細明體"/>
                <w:kern w:val="0"/>
              </w:rPr>
            </w:pPr>
          </w:p>
        </w:tc>
      </w:tr>
      <w:tr w:rsidR="00482393" w:rsidRPr="00F4328B" w:rsidTr="00AC2F26">
        <w:trPr>
          <w:trHeight w:val="2337"/>
        </w:trPr>
        <w:tc>
          <w:tcPr>
            <w:tcW w:w="710" w:type="dxa"/>
          </w:tcPr>
          <w:p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t>39</w:t>
            </w:r>
          </w:p>
        </w:tc>
        <w:tc>
          <w:tcPr>
            <w:tcW w:w="5953" w:type="dxa"/>
          </w:tcPr>
          <w:p w:rsidR="00482393" w:rsidRPr="00F012F9" w:rsidRDefault="00482393" w:rsidP="008B4DE4">
            <w:pPr>
              <w:snapToGrid w:val="0"/>
              <w:ind w:left="2" w:right="62"/>
              <w:rPr>
                <w:rFonts w:ascii="標楷體" w:eastAsia="標楷體" w:hAnsi="標楷體"/>
              </w:rPr>
            </w:pPr>
            <w:r w:rsidRPr="00F012F9">
              <w:rPr>
                <w:rFonts w:ascii="標楷體" w:eastAsia="標楷體" w:hAnsi="標楷體" w:hint="eastAsia"/>
              </w:rPr>
              <w:t>IFRS 9規定「權益工具列報於其他綜合損益中之金額後續不得移轉至損益，惟企業可於權益內移轉累積利益或損失。」該等利益是否可以分配?</w:t>
            </w:r>
          </w:p>
        </w:tc>
        <w:tc>
          <w:tcPr>
            <w:tcW w:w="5245" w:type="dxa"/>
          </w:tcPr>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482393" w:rsidRPr="009C77E9">
              <w:rPr>
                <w:rFonts w:ascii="標楷體" w:eastAsia="標楷體" w:hAnsi="標楷體" w:cs="新細明體" w:hint="eastAsia"/>
                <w:kern w:val="0"/>
              </w:rPr>
              <w:t>企業持有指定FVOCI之權益工具評價產生之損益須認列於其他綜合損益(股利收入除外)，並累積於資產負債表「其他權益」項下。</w:t>
            </w:r>
          </w:p>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482393" w:rsidRPr="009C77E9">
              <w:rPr>
                <w:rFonts w:ascii="標楷體" w:eastAsia="標楷體" w:hAnsi="標楷體" w:cs="新細明體" w:hint="eastAsia"/>
                <w:kern w:val="0"/>
              </w:rPr>
              <w:t>所列入其他權益項目，須注意依主管機關有關提列特別盈餘公積之規定辦理。</w:t>
            </w:r>
          </w:p>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3.</w:t>
            </w:r>
            <w:r w:rsidR="00482393" w:rsidRPr="009C77E9">
              <w:rPr>
                <w:rFonts w:ascii="標楷體" w:eastAsia="標楷體" w:hAnsi="標楷體" w:cs="新細明體" w:hint="eastAsia"/>
                <w:kern w:val="0"/>
              </w:rPr>
              <w:t>當企業處分該等權益工具，應將列入其他權益項目之累積金額，直接轉入保留盈餘(不得重分類至損益)，始可納入盈餘分派考量。</w:t>
            </w:r>
          </w:p>
        </w:tc>
        <w:tc>
          <w:tcPr>
            <w:tcW w:w="1418" w:type="dxa"/>
          </w:tcPr>
          <w:p w:rsidR="00482393" w:rsidRPr="00F4328B" w:rsidRDefault="00482393" w:rsidP="008B4DE4">
            <w:pPr>
              <w:snapToGrid w:val="0"/>
              <w:rPr>
                <w:rFonts w:ascii="標楷體" w:eastAsia="標楷體" w:hAnsi="標楷體"/>
              </w:rPr>
            </w:pPr>
            <w:r w:rsidRPr="00F012F9">
              <w:rPr>
                <w:rFonts w:ascii="標楷體" w:eastAsia="標楷體" w:hAnsi="標楷體" w:hint="eastAsia"/>
              </w:rPr>
              <w:t>盈餘分配</w:t>
            </w:r>
          </w:p>
        </w:tc>
        <w:tc>
          <w:tcPr>
            <w:tcW w:w="1417" w:type="dxa"/>
          </w:tcPr>
          <w:p w:rsidR="00482393" w:rsidRPr="00F4328B" w:rsidRDefault="00482393" w:rsidP="008B4DE4">
            <w:pPr>
              <w:snapToGrid w:val="0"/>
              <w:rPr>
                <w:rFonts w:ascii="標楷體" w:eastAsia="標楷體" w:hAnsi="標楷體" w:cs="新細明體"/>
                <w:kern w:val="0"/>
              </w:rPr>
            </w:pPr>
          </w:p>
        </w:tc>
      </w:tr>
      <w:tr w:rsidR="00482393" w:rsidRPr="00F4328B" w:rsidTr="005769C3">
        <w:trPr>
          <w:trHeight w:val="5131"/>
        </w:trPr>
        <w:tc>
          <w:tcPr>
            <w:tcW w:w="710" w:type="dxa"/>
          </w:tcPr>
          <w:p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t>40</w:t>
            </w:r>
          </w:p>
        </w:tc>
        <w:tc>
          <w:tcPr>
            <w:tcW w:w="5953" w:type="dxa"/>
            <w:tcBorders>
              <w:top w:val="single" w:sz="4" w:space="0" w:color="auto"/>
              <w:left w:val="single" w:sz="4" w:space="0" w:color="auto"/>
              <w:bottom w:val="single" w:sz="4" w:space="0" w:color="auto"/>
              <w:right w:val="single" w:sz="4" w:space="0" w:color="auto"/>
            </w:tcBorders>
          </w:tcPr>
          <w:p w:rsidR="00482393" w:rsidRDefault="00482393" w:rsidP="008B4DE4">
            <w:pPr>
              <w:widowControl/>
              <w:snapToGrid w:val="0"/>
              <w:jc w:val="both"/>
              <w:rPr>
                <w:rFonts w:ascii="標楷體" w:eastAsia="標楷體" w:hAnsi="標楷體"/>
              </w:rPr>
            </w:pPr>
            <w:proofErr w:type="gramStart"/>
            <w:r w:rsidRPr="00F012F9">
              <w:rPr>
                <w:rFonts w:ascii="標楷體" w:eastAsia="標楷體" w:hAnsi="標楷體" w:hint="eastAsia"/>
              </w:rPr>
              <w:t>依金管銀法字</w:t>
            </w:r>
            <w:proofErr w:type="gramEnd"/>
            <w:r w:rsidRPr="00F012F9">
              <w:rPr>
                <w:rFonts w:ascii="標楷體" w:eastAsia="標楷體" w:hAnsi="標楷體" w:hint="eastAsia"/>
              </w:rPr>
              <w:t>第10600006550號函，銀行應依「銀行資產評估損失準備提列及逾期放款催收款呆帳處理辦法」(下稱呆帳處理辦法)等相關法令規定及IFRS9規定，評估貼現及放款之減損損失，提列適當之備抵呆帳及保證責任準備，並應以</w:t>
            </w:r>
            <w:proofErr w:type="gramStart"/>
            <w:r w:rsidRPr="00F012F9">
              <w:rPr>
                <w:rFonts w:ascii="標楷體" w:eastAsia="標楷體" w:hAnsi="標楷體" w:hint="eastAsia"/>
              </w:rPr>
              <w:t>兩者孰</w:t>
            </w:r>
            <w:proofErr w:type="gramEnd"/>
            <w:r w:rsidRPr="00F012F9">
              <w:rPr>
                <w:rFonts w:ascii="標楷體" w:eastAsia="標楷體" w:hAnsi="標楷體" w:hint="eastAsia"/>
              </w:rPr>
              <w:t>高為提列數。惟因IFRS 9針對授信資產之減損規定適用範圍尚包含放款承諾、信用卡未動用額度等表外項目，故於適用IFRS 9後，針對前述</w:t>
            </w:r>
            <w:proofErr w:type="gramStart"/>
            <w:r w:rsidRPr="00F012F9">
              <w:rPr>
                <w:rFonts w:ascii="標楷體" w:eastAsia="標楷體" w:hAnsi="標楷體" w:hint="eastAsia"/>
              </w:rPr>
              <w:t>兩者取孰高</w:t>
            </w:r>
            <w:proofErr w:type="gramEnd"/>
            <w:r w:rsidRPr="00F012F9">
              <w:rPr>
                <w:rFonts w:ascii="標楷體" w:eastAsia="標楷體" w:hAnsi="標楷體" w:hint="eastAsia"/>
              </w:rPr>
              <w:t>之比較，是否應以「IFRS 9</w:t>
            </w:r>
            <w:proofErr w:type="gramStart"/>
            <w:r w:rsidRPr="00F012F9">
              <w:rPr>
                <w:rFonts w:ascii="標楷體" w:eastAsia="標楷體" w:hAnsi="標楷體" w:hint="eastAsia"/>
              </w:rPr>
              <w:t>屬授信</w:t>
            </w:r>
            <w:proofErr w:type="gramEnd"/>
            <w:r w:rsidRPr="00F012F9">
              <w:rPr>
                <w:rFonts w:ascii="標楷體" w:eastAsia="標楷體" w:hAnsi="標楷體" w:hint="eastAsia"/>
              </w:rPr>
              <w:t>資產範圍(</w:t>
            </w:r>
            <w:proofErr w:type="gramStart"/>
            <w:r w:rsidRPr="00F012F9">
              <w:rPr>
                <w:rFonts w:ascii="標楷體" w:eastAsia="標楷體" w:hAnsi="標楷體" w:hint="eastAsia"/>
              </w:rPr>
              <w:t>含表內</w:t>
            </w:r>
            <w:proofErr w:type="gramEnd"/>
            <w:r w:rsidRPr="00F012F9">
              <w:rPr>
                <w:rFonts w:ascii="標楷體" w:eastAsia="標楷體" w:hAnsi="標楷體" w:hint="eastAsia"/>
              </w:rPr>
              <w:t>放款及表外未動用額度及承諾)之應提列總數」與「呆帳處理辦法第三條之表</w:t>
            </w:r>
            <w:proofErr w:type="gramStart"/>
            <w:r w:rsidRPr="00F012F9">
              <w:rPr>
                <w:rFonts w:ascii="標楷體" w:eastAsia="標楷體" w:hAnsi="標楷體" w:hint="eastAsia"/>
              </w:rPr>
              <w:t>內外授</w:t>
            </w:r>
            <w:proofErr w:type="gramEnd"/>
            <w:r w:rsidRPr="00F012F9">
              <w:rPr>
                <w:rFonts w:ascii="標楷體" w:eastAsia="標楷體" w:hAnsi="標楷體" w:hint="eastAsia"/>
              </w:rPr>
              <w:t>信資產應提列總數」比較，以決定提列數?</w:t>
            </w:r>
          </w:p>
          <w:p w:rsidR="00482393" w:rsidRPr="00F012F9" w:rsidRDefault="00482393" w:rsidP="008B4DE4">
            <w:pPr>
              <w:widowControl/>
              <w:snapToGrid w:val="0"/>
              <w:jc w:val="both"/>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482393" w:rsidRPr="008042EC" w:rsidRDefault="00482393" w:rsidP="008B4DE4">
            <w:pPr>
              <w:pStyle w:val="Web"/>
              <w:snapToGrid w:val="0"/>
              <w:spacing w:before="0" w:beforeAutospacing="0" w:after="0" w:afterAutospacing="0"/>
              <w:ind w:leftChars="-38" w:left="111" w:hangingChars="84" w:hanging="202"/>
              <w:jc w:val="both"/>
              <w:rPr>
                <w:rFonts w:ascii="標楷體" w:eastAsia="標楷體" w:hAnsi="標楷體" w:cs="Times New Roman"/>
                <w:kern w:val="2"/>
              </w:rPr>
            </w:pPr>
            <w:r w:rsidRPr="008042EC">
              <w:rPr>
                <w:rFonts w:ascii="標楷體" w:eastAsia="標楷體" w:hAnsi="標楷體" w:hint="eastAsia"/>
              </w:rPr>
              <w:t xml:space="preserve"> </w:t>
            </w:r>
            <w:r w:rsidRPr="008042EC">
              <w:rPr>
                <w:rFonts w:ascii="標楷體" w:eastAsia="標楷體" w:hAnsi="標楷體" w:cs="Times New Roman" w:hint="eastAsia"/>
                <w:kern w:val="2"/>
              </w:rPr>
              <w:t xml:space="preserve"> 依「公開發行銀行財務報告編製準則」之規定，應收款項(含應收信用卡款項)、貼現及放款、其他金融資產中，</w:t>
            </w:r>
            <w:proofErr w:type="gramStart"/>
            <w:r w:rsidRPr="008042EC">
              <w:rPr>
                <w:rFonts w:ascii="標楷體" w:eastAsia="標楷體" w:hAnsi="標楷體" w:cs="Times New Roman" w:hint="eastAsia"/>
                <w:kern w:val="2"/>
              </w:rPr>
              <w:t>如屬授信</w:t>
            </w:r>
            <w:proofErr w:type="gramEnd"/>
            <w:r w:rsidRPr="008042EC">
              <w:rPr>
                <w:rFonts w:ascii="標楷體" w:eastAsia="標楷體" w:hAnsi="標楷體" w:cs="Times New Roman" w:hint="eastAsia"/>
                <w:kern w:val="2"/>
              </w:rPr>
              <w:t>資產者，應分項比較其法定與IFRS 9 之減損</w:t>
            </w:r>
            <w:proofErr w:type="gramStart"/>
            <w:r w:rsidRPr="008042EC">
              <w:rPr>
                <w:rFonts w:ascii="標楷體" w:eastAsia="標楷體" w:hAnsi="標楷體" w:cs="Times New Roman" w:hint="eastAsia"/>
                <w:kern w:val="2"/>
              </w:rPr>
              <w:t>金額取孰高</w:t>
            </w:r>
            <w:proofErr w:type="gramEnd"/>
            <w:r w:rsidRPr="008042EC">
              <w:rPr>
                <w:rFonts w:ascii="標楷體" w:eastAsia="標楷體" w:hAnsi="標楷體" w:cs="Times New Roman" w:hint="eastAsia"/>
                <w:kern w:val="2"/>
              </w:rPr>
              <w:t>者。所述「分項比較」應分為「應收款項」、「應收信用卡款」、「貼現及放款」及「其他金融資產」四項予以分別各自比較。而「其他金融資產」範圍，依銀行公會93年2月5日訂定發布之「銀行資產評估分類及損失準備提列工作手冊」第3條規定，包含買入匯款、其他催收款(由保證墊款、承兌墊款、買入匯款、應收信用狀款項及承購無追索權應收帳款等轉列之催收款項)。至IFRS9後負債準備提列，除應收保證款項應比較其法定與IFRS 9 之減損</w:t>
            </w:r>
            <w:proofErr w:type="gramStart"/>
            <w:r w:rsidRPr="008042EC">
              <w:rPr>
                <w:rFonts w:ascii="標楷體" w:eastAsia="標楷體" w:hAnsi="標楷體" w:cs="Times New Roman" w:hint="eastAsia"/>
                <w:kern w:val="2"/>
              </w:rPr>
              <w:t>金額取孰高</w:t>
            </w:r>
            <w:proofErr w:type="gramEnd"/>
            <w:r w:rsidRPr="008042EC">
              <w:rPr>
                <w:rFonts w:ascii="標楷體" w:eastAsia="標楷體" w:hAnsi="標楷體" w:cs="Times New Roman" w:hint="eastAsia"/>
                <w:kern w:val="2"/>
              </w:rPr>
              <w:t>者外，應收信用狀款項及表外承諾仍請依IFRS 9之規定評估並提列</w:t>
            </w:r>
            <w:proofErr w:type="gramStart"/>
            <w:r w:rsidRPr="008042EC">
              <w:rPr>
                <w:rFonts w:ascii="標楷體" w:eastAsia="標楷體" w:hAnsi="標楷體" w:cs="Times New Roman" w:hint="eastAsia"/>
                <w:kern w:val="2"/>
              </w:rPr>
              <w:t>計提數</w:t>
            </w:r>
            <w:proofErr w:type="gramEnd"/>
            <w:r w:rsidRPr="008042EC">
              <w:rPr>
                <w:rFonts w:ascii="標楷體" w:eastAsia="標楷體" w:hAnsi="標楷體" w:hint="eastAsia"/>
              </w:rPr>
              <w:t>。</w:t>
            </w:r>
          </w:p>
        </w:tc>
        <w:tc>
          <w:tcPr>
            <w:tcW w:w="1418" w:type="dxa"/>
          </w:tcPr>
          <w:p w:rsidR="00482393" w:rsidRPr="008042EC" w:rsidRDefault="00482393" w:rsidP="008B4DE4">
            <w:pPr>
              <w:snapToGrid w:val="0"/>
              <w:rPr>
                <w:rFonts w:ascii="標楷體" w:eastAsia="標楷體" w:hAnsi="標楷體"/>
              </w:rPr>
            </w:pPr>
            <w:r w:rsidRPr="008042EC">
              <w:rPr>
                <w:rFonts w:ascii="標楷體" w:eastAsia="標楷體" w:hAnsi="標楷體" w:hint="eastAsia"/>
              </w:rPr>
              <w:t>金融資產</w:t>
            </w:r>
            <w:r w:rsidRPr="008042EC">
              <w:rPr>
                <w:rFonts w:ascii="標楷體" w:eastAsia="標楷體" w:hAnsi="標楷體"/>
              </w:rPr>
              <w:t>減損</w:t>
            </w:r>
          </w:p>
        </w:tc>
        <w:tc>
          <w:tcPr>
            <w:tcW w:w="1417" w:type="dxa"/>
          </w:tcPr>
          <w:p w:rsidR="00482393" w:rsidRPr="00F4328B" w:rsidRDefault="00482393" w:rsidP="008B4DE4">
            <w:pPr>
              <w:snapToGrid w:val="0"/>
              <w:rPr>
                <w:rFonts w:ascii="標楷體" w:eastAsia="標楷體" w:hAnsi="標楷體" w:cs="新細明體"/>
                <w:kern w:val="0"/>
              </w:rPr>
            </w:pPr>
          </w:p>
        </w:tc>
      </w:tr>
      <w:tr w:rsidR="00E637BA" w:rsidRPr="00F4328B" w:rsidTr="00E637BA">
        <w:trPr>
          <w:trHeight w:val="4848"/>
        </w:trPr>
        <w:tc>
          <w:tcPr>
            <w:tcW w:w="710" w:type="dxa"/>
          </w:tcPr>
          <w:p w:rsidR="00E637BA" w:rsidRPr="00D66A1A" w:rsidRDefault="00E637BA" w:rsidP="008B4DE4">
            <w:pPr>
              <w:snapToGrid w:val="0"/>
              <w:ind w:left="2" w:right="62"/>
              <w:jc w:val="center"/>
              <w:rPr>
                <w:rFonts w:ascii="標楷體" w:eastAsia="標楷體" w:hAnsi="標楷體"/>
              </w:rPr>
            </w:pPr>
            <w:r w:rsidRPr="00D66A1A">
              <w:rPr>
                <w:rFonts w:ascii="標楷體" w:eastAsia="標楷體" w:hAnsi="標楷體" w:hint="eastAsia"/>
              </w:rPr>
              <w:t>41</w:t>
            </w:r>
          </w:p>
        </w:tc>
        <w:tc>
          <w:tcPr>
            <w:tcW w:w="5953" w:type="dxa"/>
            <w:tcBorders>
              <w:top w:val="single" w:sz="4" w:space="0" w:color="auto"/>
              <w:left w:val="single" w:sz="4" w:space="0" w:color="auto"/>
              <w:bottom w:val="single" w:sz="4" w:space="0" w:color="auto"/>
              <w:right w:val="single" w:sz="4" w:space="0" w:color="auto"/>
            </w:tcBorders>
          </w:tcPr>
          <w:p w:rsidR="00E637BA" w:rsidRPr="00D66A1A" w:rsidRDefault="00E637BA" w:rsidP="00E637BA">
            <w:pPr>
              <w:widowControl/>
              <w:snapToGrid w:val="0"/>
              <w:jc w:val="both"/>
              <w:rPr>
                <w:rFonts w:ascii="標楷體" w:eastAsia="標楷體" w:hAnsi="標楷體"/>
              </w:rPr>
            </w:pPr>
            <w:r w:rsidRPr="00D66A1A">
              <w:rPr>
                <w:rFonts w:ascii="標楷體" w:eastAsia="標楷體" w:hAnsi="標楷體" w:hint="eastAsia"/>
              </w:rPr>
              <w:t>IFRS 15自107年1月1日起適用，企業若已依合約約定移轉商品或勞務予客戶，並滿足履約義務而認列收入，惟因未具有無條件收取對價之權利，故僅能認列合約資產，而無法同步認列應收帳款，致產生企業</w:t>
            </w:r>
            <w:proofErr w:type="gramStart"/>
            <w:r w:rsidRPr="00D66A1A">
              <w:rPr>
                <w:rFonts w:ascii="標楷體" w:eastAsia="標楷體" w:hAnsi="標楷體" w:hint="eastAsia"/>
              </w:rPr>
              <w:t>認列銷貨</w:t>
            </w:r>
            <w:proofErr w:type="gramEnd"/>
            <w:r w:rsidRPr="00D66A1A">
              <w:rPr>
                <w:rFonts w:ascii="標楷體" w:eastAsia="標楷體" w:hAnsi="標楷體" w:hint="eastAsia"/>
              </w:rPr>
              <w:t>收入，卻未同步認列應收帳款之情形，可能使年報及公開說明書中揭露相關財務比率分析與未採用IFRS 15之年度產生差異，相關財務比率之計算方式是否配合調整？</w:t>
            </w:r>
          </w:p>
          <w:p w:rsidR="00E637BA" w:rsidRPr="00D66A1A" w:rsidRDefault="00E637BA" w:rsidP="00E637BA">
            <w:pPr>
              <w:widowControl/>
              <w:snapToGrid w:val="0"/>
              <w:jc w:val="both"/>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E637BA" w:rsidRPr="00D66A1A" w:rsidRDefault="00E637BA" w:rsidP="0073558C">
            <w:pPr>
              <w:pStyle w:val="af1"/>
              <w:widowControl/>
              <w:numPr>
                <w:ilvl w:val="0"/>
                <w:numId w:val="6"/>
              </w:numPr>
              <w:snapToGrid w:val="0"/>
              <w:ind w:leftChars="0"/>
              <w:jc w:val="both"/>
              <w:rPr>
                <w:rFonts w:ascii="標楷體" w:eastAsia="標楷體" w:hAnsi="標楷體"/>
              </w:rPr>
            </w:pPr>
            <w:r w:rsidRPr="00D66A1A">
              <w:rPr>
                <w:rFonts w:ascii="標楷體" w:eastAsia="標楷體" w:hAnsi="標楷體" w:hint="eastAsia"/>
              </w:rPr>
              <w:t>我國股東會年報及公開說明書因需揭露最近</w:t>
            </w:r>
            <w:proofErr w:type="gramStart"/>
            <w:r w:rsidRPr="00D66A1A">
              <w:rPr>
                <w:rFonts w:ascii="標楷體" w:eastAsia="標楷體" w:hAnsi="標楷體" w:hint="eastAsia"/>
              </w:rPr>
              <w:t>5</w:t>
            </w:r>
            <w:proofErr w:type="gramEnd"/>
            <w:r w:rsidRPr="00D66A1A">
              <w:rPr>
                <w:rFonts w:ascii="標楷體" w:eastAsia="標楷體" w:hAnsi="標楷體" w:hint="eastAsia"/>
              </w:rPr>
              <w:t>年度財務分析，可能導致採用IFRS 15前後年度之會計項目認列方式不同，致相關財務比率因會計項目變動產生計算上差異，屬於採用新會計公報過渡期之差異。</w:t>
            </w:r>
          </w:p>
          <w:p w:rsidR="00E637BA" w:rsidRPr="00D66A1A" w:rsidRDefault="00E637BA" w:rsidP="0073558C">
            <w:pPr>
              <w:pStyle w:val="af1"/>
              <w:widowControl/>
              <w:numPr>
                <w:ilvl w:val="0"/>
                <w:numId w:val="6"/>
              </w:numPr>
              <w:snapToGrid w:val="0"/>
              <w:ind w:leftChars="0"/>
              <w:jc w:val="both"/>
              <w:rPr>
                <w:rFonts w:ascii="標楷體" w:eastAsia="標楷體" w:hAnsi="標楷體"/>
              </w:rPr>
            </w:pPr>
            <w:r w:rsidRPr="00D66A1A">
              <w:rPr>
                <w:rFonts w:ascii="標楷體" w:eastAsia="標楷體" w:hAnsi="標楷體" w:hint="eastAsia"/>
              </w:rPr>
              <w:t>衡酌目前國際尚未針對IFRS 15修正相關財務比率之計算方式，公司於揭露股東會年報及公開說明書中最近</w:t>
            </w:r>
            <w:proofErr w:type="gramStart"/>
            <w:r w:rsidRPr="00D66A1A">
              <w:rPr>
                <w:rFonts w:ascii="標楷體" w:eastAsia="標楷體" w:hAnsi="標楷體" w:hint="eastAsia"/>
              </w:rPr>
              <w:t>5</w:t>
            </w:r>
            <w:proofErr w:type="gramEnd"/>
            <w:r w:rsidRPr="00D66A1A">
              <w:rPr>
                <w:rFonts w:ascii="標楷體" w:eastAsia="標楷體" w:hAnsi="標楷體" w:hint="eastAsia"/>
              </w:rPr>
              <w:t>年度相關財務比率時，仍應依公開發行公司年報應行記載事項準則第19條第1項第2款附表23</w:t>
            </w:r>
            <w:proofErr w:type="gramStart"/>
            <w:r w:rsidRPr="00D66A1A">
              <w:rPr>
                <w:rFonts w:ascii="標楷體" w:eastAsia="標楷體" w:hAnsi="標楷體" w:hint="eastAsia"/>
              </w:rPr>
              <w:t>註</w:t>
            </w:r>
            <w:proofErr w:type="gramEnd"/>
            <w:r w:rsidRPr="00D66A1A">
              <w:rPr>
                <w:rFonts w:ascii="標楷體" w:eastAsia="標楷體" w:hAnsi="標楷體" w:hint="eastAsia"/>
              </w:rPr>
              <w:t>3及公司募集發行有價證券公開說明書應行記載事項準則第27條第4款附表56</w:t>
            </w:r>
            <w:proofErr w:type="gramStart"/>
            <w:r w:rsidRPr="00D66A1A">
              <w:rPr>
                <w:rFonts w:ascii="標楷體" w:eastAsia="標楷體" w:hAnsi="標楷體" w:hint="eastAsia"/>
              </w:rPr>
              <w:t>註</w:t>
            </w:r>
            <w:proofErr w:type="gramEnd"/>
            <w:r w:rsidRPr="00D66A1A">
              <w:rPr>
                <w:rFonts w:ascii="標楷體" w:eastAsia="標楷體" w:hAnsi="標楷體" w:hint="eastAsia"/>
              </w:rPr>
              <w:t>2規定計算，惟為利投資人瞭解，公司如因適用IFRS 15產生之會計項目變動導致相關財務比率與以往年度產生差異，得以附註揭露方式敘明差異產生之原因。</w:t>
            </w:r>
          </w:p>
        </w:tc>
        <w:tc>
          <w:tcPr>
            <w:tcW w:w="1418" w:type="dxa"/>
          </w:tcPr>
          <w:p w:rsidR="00E637BA" w:rsidRPr="00D66A1A" w:rsidRDefault="003669F5" w:rsidP="008B4DE4">
            <w:pPr>
              <w:snapToGrid w:val="0"/>
              <w:rPr>
                <w:rFonts w:ascii="標楷體" w:eastAsia="標楷體" w:hAnsi="標楷體"/>
              </w:rPr>
            </w:pPr>
            <w:r w:rsidRPr="00D66A1A">
              <w:rPr>
                <w:rFonts w:ascii="標楷體" w:eastAsia="標楷體" w:hAnsi="標楷體" w:hint="eastAsia"/>
              </w:rPr>
              <w:t xml:space="preserve">  </w:t>
            </w:r>
            <w:r w:rsidR="00855FDC" w:rsidRPr="00D66A1A">
              <w:rPr>
                <w:rFonts w:ascii="標楷體" w:eastAsia="標楷體" w:hAnsi="標楷體" w:hint="eastAsia"/>
              </w:rPr>
              <w:t>財務比率</w:t>
            </w:r>
          </w:p>
        </w:tc>
        <w:tc>
          <w:tcPr>
            <w:tcW w:w="1417" w:type="dxa"/>
          </w:tcPr>
          <w:p w:rsidR="00E637BA" w:rsidRPr="00D66A1A" w:rsidRDefault="00E637BA" w:rsidP="008B4DE4">
            <w:pPr>
              <w:snapToGrid w:val="0"/>
              <w:rPr>
                <w:rFonts w:ascii="標楷體" w:eastAsia="標楷體" w:hAnsi="標楷體" w:cs="新細明體"/>
                <w:kern w:val="0"/>
              </w:rPr>
            </w:pPr>
          </w:p>
        </w:tc>
      </w:tr>
      <w:tr w:rsidR="004608F9" w:rsidRPr="00D66A1A" w:rsidTr="00E637BA">
        <w:trPr>
          <w:trHeight w:val="4848"/>
        </w:trPr>
        <w:tc>
          <w:tcPr>
            <w:tcW w:w="710" w:type="dxa"/>
          </w:tcPr>
          <w:p w:rsidR="00D66A1A" w:rsidRPr="009165E0" w:rsidRDefault="00D66A1A" w:rsidP="008B4DE4">
            <w:pPr>
              <w:snapToGrid w:val="0"/>
              <w:ind w:left="2" w:right="62"/>
              <w:jc w:val="center"/>
              <w:rPr>
                <w:rFonts w:ascii="標楷體" w:eastAsia="標楷體" w:hAnsi="標楷體"/>
              </w:rPr>
            </w:pPr>
            <w:r w:rsidRPr="009165E0">
              <w:rPr>
                <w:rFonts w:ascii="標楷體" w:eastAsia="標楷體" w:hAnsi="標楷體" w:hint="eastAsia"/>
              </w:rPr>
              <w:t>42</w:t>
            </w:r>
          </w:p>
        </w:tc>
        <w:tc>
          <w:tcPr>
            <w:tcW w:w="5953" w:type="dxa"/>
            <w:tcBorders>
              <w:top w:val="single" w:sz="4" w:space="0" w:color="auto"/>
              <w:left w:val="single" w:sz="4" w:space="0" w:color="auto"/>
              <w:bottom w:val="single" w:sz="4" w:space="0" w:color="auto"/>
              <w:right w:val="single" w:sz="4" w:space="0" w:color="auto"/>
            </w:tcBorders>
          </w:tcPr>
          <w:p w:rsidR="00D66A1A" w:rsidRPr="009165E0" w:rsidRDefault="00D66A1A" w:rsidP="00E637BA">
            <w:pPr>
              <w:widowControl/>
              <w:snapToGrid w:val="0"/>
              <w:jc w:val="both"/>
              <w:rPr>
                <w:rFonts w:ascii="標楷體" w:eastAsia="標楷體" w:hAnsi="標楷體"/>
              </w:rPr>
            </w:pPr>
            <w:r w:rsidRPr="009165E0">
              <w:rPr>
                <w:rFonts w:ascii="標楷體" w:eastAsia="標楷體" w:hAnsi="標楷體" w:hint="eastAsia"/>
              </w:rPr>
              <w:t>企業首次適用IFRS 16時，依據IFRS 16.C9(c)之規定，對先前適用IAS 17時以營業租賃處理且自初次適用日將作為投資性不動產（採用IAS 40公允價值模式）處理之租賃，應按初次適用日之公允價值衡量使用權資產。現行針對企業採用IFRSs新公報而追溯調整以前年度會計處理所產生之保留盈餘淨增加數並未有相關法規或函令限制其盈餘分配，惟依據金管會103年3月18日</w:t>
            </w:r>
            <w:proofErr w:type="gramStart"/>
            <w:r w:rsidRPr="009165E0">
              <w:rPr>
                <w:rFonts w:ascii="標楷體" w:eastAsia="標楷體" w:hAnsi="標楷體" w:hint="eastAsia"/>
              </w:rPr>
              <w:t>金管證發</w:t>
            </w:r>
            <w:proofErr w:type="gramEnd"/>
            <w:r w:rsidRPr="009165E0">
              <w:rPr>
                <w:rFonts w:ascii="標楷體" w:eastAsia="標楷體" w:hAnsi="標楷體" w:hint="eastAsia"/>
              </w:rPr>
              <w:t>字第1030006415號令規定，對於帳列投資性不動產選擇採用公允價值模式，應就首次採用以及後續衡量之公允價值</w:t>
            </w:r>
            <w:proofErr w:type="gramStart"/>
            <w:r w:rsidRPr="009165E0">
              <w:rPr>
                <w:rFonts w:ascii="標楷體" w:eastAsia="標楷體" w:hAnsi="標楷體" w:hint="eastAsia"/>
              </w:rPr>
              <w:t>增加數提列</w:t>
            </w:r>
            <w:proofErr w:type="gramEnd"/>
            <w:r w:rsidRPr="009165E0">
              <w:rPr>
                <w:rFonts w:ascii="標楷體" w:eastAsia="標楷體" w:hAnsi="標楷體" w:hint="eastAsia"/>
              </w:rPr>
              <w:t>特別盈餘公積。針對企業首次適用IFRS 16時，於初次適用日依IFRS 16.C9(c)之規定按公允價值衡量分類為投資性不動產之使用權資產所產生之保留盈餘淨增加數，是否應參照</w:t>
            </w:r>
            <w:proofErr w:type="gramStart"/>
            <w:r w:rsidRPr="009165E0">
              <w:rPr>
                <w:rFonts w:ascii="標楷體" w:eastAsia="標楷體" w:hAnsi="標楷體" w:hint="eastAsia"/>
              </w:rPr>
              <w:t>上開函令</w:t>
            </w:r>
            <w:proofErr w:type="gramEnd"/>
            <w:r w:rsidRPr="009165E0">
              <w:rPr>
                <w:rFonts w:ascii="標楷體" w:eastAsia="標楷體" w:hAnsi="標楷體" w:hint="eastAsia"/>
              </w:rPr>
              <w:t>之精神，提列特別盈餘公積?</w:t>
            </w:r>
          </w:p>
        </w:tc>
        <w:tc>
          <w:tcPr>
            <w:tcW w:w="5245" w:type="dxa"/>
            <w:tcBorders>
              <w:top w:val="single" w:sz="4" w:space="0" w:color="auto"/>
              <w:left w:val="single" w:sz="4" w:space="0" w:color="auto"/>
              <w:bottom w:val="single" w:sz="4" w:space="0" w:color="auto"/>
              <w:right w:val="single" w:sz="4" w:space="0" w:color="auto"/>
            </w:tcBorders>
          </w:tcPr>
          <w:p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1.</w:t>
            </w:r>
            <w:r w:rsidRPr="009165E0">
              <w:rPr>
                <w:rFonts w:ascii="標楷體" w:eastAsia="標楷體" w:hAnsi="標楷體" w:cs="新細明體" w:hint="eastAsia"/>
                <w:kern w:val="0"/>
              </w:rPr>
              <w:t>依103年3月18日</w:t>
            </w:r>
            <w:proofErr w:type="gramStart"/>
            <w:r w:rsidRPr="009165E0">
              <w:rPr>
                <w:rFonts w:ascii="標楷體" w:eastAsia="標楷體" w:hAnsi="標楷體" w:cs="新細明體" w:hint="eastAsia"/>
                <w:kern w:val="0"/>
              </w:rPr>
              <w:t>金管證發</w:t>
            </w:r>
            <w:proofErr w:type="gramEnd"/>
            <w:r w:rsidRPr="009165E0">
              <w:rPr>
                <w:rFonts w:ascii="標楷體" w:eastAsia="標楷體" w:hAnsi="標楷體" w:cs="新細明體" w:hint="eastAsia"/>
                <w:kern w:val="0"/>
              </w:rPr>
              <w:t>字第1030006415號令規定，公開發行公司帳列投資性不動產首次就後續衡量選擇採用公允價值模式衡量時，應就其公允價值淨增加數額轉入保留盈餘部分，提列相同數額之特別盈餘公積。</w:t>
            </w:r>
          </w:p>
          <w:p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2.</w:t>
            </w:r>
            <w:r w:rsidRPr="009165E0">
              <w:rPr>
                <w:rFonts w:ascii="標楷體" w:eastAsia="標楷體" w:hAnsi="標楷體" w:cs="新細明體" w:hint="eastAsia"/>
                <w:kern w:val="0"/>
              </w:rPr>
              <w:t>公開發行公司首次採用IFRS 16時，依IFRS 16.C9(c)之規定，就先前適用IAS 17之營業租賃，於初次適用日認列為投資性不動產，</w:t>
            </w:r>
            <w:proofErr w:type="gramStart"/>
            <w:r w:rsidRPr="009165E0">
              <w:rPr>
                <w:rFonts w:ascii="標楷體" w:eastAsia="標楷體" w:hAnsi="標楷體" w:cs="新細明體" w:hint="eastAsia"/>
                <w:kern w:val="0"/>
              </w:rPr>
              <w:t>續後並</w:t>
            </w:r>
            <w:proofErr w:type="gramEnd"/>
            <w:r w:rsidRPr="009165E0">
              <w:rPr>
                <w:rFonts w:ascii="標楷體" w:eastAsia="標楷體" w:hAnsi="標楷體" w:cs="新細明體" w:hint="eastAsia"/>
                <w:kern w:val="0"/>
              </w:rPr>
              <w:t>採用公允價值模式衡量，且按初次適用日之公允價值衡量該使用權資產者，因前揭營業租賃於首次採用IFRS 16</w:t>
            </w:r>
            <w:proofErr w:type="gramStart"/>
            <w:r w:rsidRPr="009165E0">
              <w:rPr>
                <w:rFonts w:ascii="標楷體" w:eastAsia="標楷體" w:hAnsi="標楷體" w:cs="新細明體" w:hint="eastAsia"/>
                <w:kern w:val="0"/>
              </w:rPr>
              <w:t>係帳列為</w:t>
            </w:r>
            <w:proofErr w:type="gramEnd"/>
            <w:r w:rsidRPr="009165E0">
              <w:rPr>
                <w:rFonts w:ascii="標楷體" w:eastAsia="標楷體" w:hAnsi="標楷體" w:cs="新細明體" w:hint="eastAsia"/>
                <w:kern w:val="0"/>
              </w:rPr>
              <w:t>投資性不動產，且係首次就其後續衡量選擇採用公允價值模式衡量，與</w:t>
            </w:r>
            <w:proofErr w:type="gramStart"/>
            <w:r w:rsidRPr="009165E0">
              <w:rPr>
                <w:rFonts w:ascii="標楷體" w:eastAsia="標楷體" w:hAnsi="標楷體" w:cs="新細明體" w:hint="eastAsia"/>
                <w:kern w:val="0"/>
              </w:rPr>
              <w:t>上開令所</w:t>
            </w:r>
            <w:proofErr w:type="gramEnd"/>
            <w:r w:rsidRPr="009165E0">
              <w:rPr>
                <w:rFonts w:ascii="標楷體" w:eastAsia="標楷體" w:hAnsi="標楷體" w:cs="新細明體" w:hint="eastAsia"/>
                <w:kern w:val="0"/>
              </w:rPr>
              <w:t>稱「公開發行公司帳列投資性不動產首次就後續衡量選擇採用公允價值模式衡量」之情況尚屬一致，</w:t>
            </w:r>
            <w:proofErr w:type="gramStart"/>
            <w:r w:rsidRPr="009165E0">
              <w:rPr>
                <w:rFonts w:ascii="標楷體" w:eastAsia="標楷體" w:hAnsi="標楷體" w:cs="新細明體" w:hint="eastAsia"/>
                <w:kern w:val="0"/>
              </w:rPr>
              <w:t>爰</w:t>
            </w:r>
            <w:proofErr w:type="gramEnd"/>
            <w:r w:rsidRPr="009165E0">
              <w:rPr>
                <w:rFonts w:ascii="標楷體" w:eastAsia="標楷體" w:hAnsi="標楷體" w:cs="新細明體" w:hint="eastAsia"/>
                <w:kern w:val="0"/>
              </w:rPr>
              <w:t>應依上開規定，就前揭投資性不動產公允價值淨增加數額轉入保留盈餘部分，提列相同數額之特別盈餘公積。</w:t>
            </w:r>
          </w:p>
          <w:p w:rsidR="004608F9" w:rsidRPr="009165E0" w:rsidRDefault="004608F9" w:rsidP="00D66A1A">
            <w:pPr>
              <w:snapToGrid w:val="0"/>
              <w:ind w:left="240" w:hangingChars="100" w:hanging="240"/>
              <w:rPr>
                <w:rFonts w:ascii="標楷體" w:eastAsia="標楷體" w:hAnsi="標楷體"/>
              </w:rPr>
            </w:pPr>
          </w:p>
        </w:tc>
        <w:tc>
          <w:tcPr>
            <w:tcW w:w="1418" w:type="dxa"/>
          </w:tcPr>
          <w:p w:rsidR="004608F9" w:rsidRPr="009165E0" w:rsidRDefault="004608F9" w:rsidP="004608F9">
            <w:pPr>
              <w:snapToGrid w:val="0"/>
              <w:rPr>
                <w:rFonts w:ascii="標楷體" w:eastAsia="標楷體" w:hAnsi="標楷體"/>
              </w:rPr>
            </w:pPr>
            <w:r w:rsidRPr="009165E0">
              <w:rPr>
                <w:rFonts w:ascii="標楷體" w:eastAsia="標楷體" w:hAnsi="標楷體" w:cs="新細明體" w:hint="eastAsia"/>
                <w:kern w:val="0"/>
              </w:rPr>
              <w:t>特別盈餘公積</w:t>
            </w:r>
          </w:p>
        </w:tc>
        <w:tc>
          <w:tcPr>
            <w:tcW w:w="1417" w:type="dxa"/>
          </w:tcPr>
          <w:p w:rsidR="00D66A1A" w:rsidRPr="009165E0" w:rsidRDefault="00D66A1A" w:rsidP="008B4DE4">
            <w:pPr>
              <w:snapToGrid w:val="0"/>
              <w:rPr>
                <w:rFonts w:ascii="標楷體" w:eastAsia="標楷體" w:hAnsi="標楷體" w:cs="新細明體"/>
                <w:kern w:val="0"/>
              </w:rPr>
            </w:pPr>
          </w:p>
        </w:tc>
      </w:tr>
      <w:tr w:rsidR="00482393" w:rsidRPr="00F4328B" w:rsidTr="00AC2F26">
        <w:trPr>
          <w:trHeight w:val="427"/>
        </w:trPr>
        <w:tc>
          <w:tcPr>
            <w:tcW w:w="14743" w:type="dxa"/>
            <w:gridSpan w:val="5"/>
            <w:tcBorders>
              <w:top w:val="single" w:sz="4" w:space="0" w:color="auto"/>
              <w:left w:val="single" w:sz="4" w:space="0" w:color="auto"/>
              <w:bottom w:val="single" w:sz="4" w:space="0" w:color="auto"/>
              <w:right w:val="single" w:sz="4" w:space="0" w:color="auto"/>
            </w:tcBorders>
          </w:tcPr>
          <w:p w:rsidR="00482393" w:rsidRPr="00931DD9" w:rsidRDefault="00482393" w:rsidP="008B4DE4">
            <w:pPr>
              <w:snapToGrid w:val="0"/>
              <w:jc w:val="center"/>
              <w:rPr>
                <w:rFonts w:ascii="標楷體" w:eastAsia="標楷體" w:hAnsi="標楷體"/>
                <w:b/>
                <w:sz w:val="28"/>
                <w:szCs w:val="28"/>
              </w:rPr>
            </w:pPr>
            <w:r w:rsidRPr="00931DD9">
              <w:rPr>
                <w:rFonts w:ascii="標楷體" w:eastAsia="標楷體" w:hAnsi="標楷體" w:hint="eastAsia"/>
                <w:b/>
                <w:sz w:val="28"/>
                <w:szCs w:val="28"/>
              </w:rPr>
              <w:t>貳、公報及會計處理</w:t>
            </w: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0650B3" w:rsidRDefault="003F755F" w:rsidP="008B4DE4">
            <w:pPr>
              <w:snapToGrid w:val="0"/>
              <w:ind w:left="2" w:right="62"/>
              <w:jc w:val="center"/>
              <w:rPr>
                <w:rFonts w:ascii="標楷體" w:eastAsia="標楷體" w:hAnsi="標楷體"/>
              </w:rPr>
            </w:pPr>
            <w:r w:rsidRPr="000650B3">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3F755F" w:rsidRPr="009C77E9">
              <w:rPr>
                <w:rFonts w:ascii="標楷體" w:eastAsia="標楷體" w:hAnsi="標楷體" w:cs="新細明體" w:hint="eastAsia"/>
                <w:kern w:val="0"/>
              </w:rPr>
              <w:t>根據</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21段之規定，為遵循國際</w:t>
            </w:r>
            <w:r w:rsidR="003F755F" w:rsidRPr="009C77E9">
              <w:rPr>
                <w:rFonts w:ascii="標楷體" w:eastAsia="標楷體" w:hAnsi="標楷體" w:cs="新細明體" w:hint="eastAsia"/>
                <w:kern w:val="0"/>
              </w:rPr>
              <w:t>會計準則第</w:t>
            </w:r>
            <w:r w:rsidR="003F755F" w:rsidRPr="009C77E9">
              <w:rPr>
                <w:rFonts w:ascii="標楷體" w:eastAsia="標楷體" w:hAnsi="標楷體" w:cs="新細明體"/>
                <w:kern w:val="0"/>
              </w:rPr>
              <w:t xml:space="preserve">1 </w:t>
            </w:r>
            <w:r w:rsidR="003F755F" w:rsidRPr="009C77E9">
              <w:rPr>
                <w:rFonts w:ascii="標楷體" w:eastAsia="標楷體" w:hAnsi="標楷體" w:cs="新細明體" w:hint="eastAsia"/>
                <w:kern w:val="0"/>
              </w:rPr>
              <w:t>號，企業按國際財務報導準則首編之財務報表應至少包括三期財務狀況表、兩期綜合損益表、兩期單獨損益表（若有提出者）、兩期現金流量表以及兩期股東權益變動表與包含比較資訊在內之相關附註。針對</w:t>
            </w:r>
            <w:r w:rsidR="003F755F" w:rsidRPr="009C77E9">
              <w:rPr>
                <w:rFonts w:ascii="標楷體" w:eastAsia="標楷體" w:hAnsi="標楷體" w:cs="新細明體"/>
                <w:kern w:val="0"/>
              </w:rPr>
              <w:t xml:space="preserve">IFRS 7 </w:t>
            </w:r>
            <w:r w:rsidR="003F755F" w:rsidRPr="009C77E9">
              <w:rPr>
                <w:rFonts w:ascii="標楷體" w:eastAsia="標楷體" w:hAnsi="標楷體" w:cs="新細明體" w:hint="eastAsia"/>
                <w:kern w:val="0"/>
              </w:rPr>
              <w:t>相關之風險管理量化揭露，是否需比照</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21段之規定，揭露轉換日(2012.01.01)之比較資訊?</w:t>
            </w:r>
          </w:p>
          <w:p w:rsidR="003F755F" w:rsidRPr="009C77E9" w:rsidRDefault="009C77E9" w:rsidP="00B4132D">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依</w:t>
            </w:r>
            <w:r w:rsidR="003F755F" w:rsidRPr="009C77E9">
              <w:rPr>
                <w:rFonts w:ascii="標楷體" w:eastAsia="標楷體" w:hAnsi="標楷體" w:cs="新細明體"/>
                <w:kern w:val="0"/>
              </w:rPr>
              <w:t>IFRS7</w:t>
            </w:r>
            <w:r>
              <w:rPr>
                <w:rFonts w:ascii="標楷體" w:eastAsia="標楷體" w:hAnsi="標楷體" w:cs="新細明體" w:hint="eastAsia"/>
                <w:kern w:val="0"/>
              </w:rPr>
              <w:t>第</w:t>
            </w:r>
            <w:r w:rsidR="003F755F" w:rsidRPr="009C77E9">
              <w:rPr>
                <w:rFonts w:ascii="標楷體" w:eastAsia="標楷體" w:hAnsi="標楷體" w:cs="新細明體"/>
                <w:kern w:val="0"/>
              </w:rPr>
              <w:t>40</w:t>
            </w:r>
            <w:r>
              <w:rPr>
                <w:rFonts w:ascii="標楷體" w:eastAsia="標楷體" w:hAnsi="標楷體" w:cs="新細明體" w:hint="eastAsia"/>
                <w:kern w:val="0"/>
              </w:rPr>
              <w:t>段</w:t>
            </w:r>
            <w:r w:rsidR="003F755F" w:rsidRPr="009C77E9">
              <w:rPr>
                <w:rFonts w:ascii="標楷體" w:eastAsia="標楷體" w:hAnsi="標楷體" w:cs="新細明體"/>
                <w:kern w:val="0"/>
              </w:rPr>
              <w:t>之規定，有關市場風險應揭露，「報導期間結束日企業所暴露之每一類型市場風險之敏感度分析，列示</w:t>
            </w:r>
            <w:proofErr w:type="gramStart"/>
            <w:r w:rsidR="003F755F" w:rsidRPr="009C77E9">
              <w:rPr>
                <w:rFonts w:ascii="標楷體" w:eastAsia="標楷體" w:hAnsi="標楷體" w:cs="新細明體" w:hint="eastAsia"/>
                <w:kern w:val="0"/>
              </w:rPr>
              <w:t>攸</w:t>
            </w:r>
            <w:proofErr w:type="gramEnd"/>
            <w:r w:rsidR="003F755F" w:rsidRPr="009C77E9">
              <w:rPr>
                <w:rFonts w:ascii="標楷體" w:eastAsia="標楷體" w:hAnsi="標楷體" w:cs="新細明體" w:hint="eastAsia"/>
                <w:kern w:val="0"/>
              </w:rPr>
              <w:t>關之風險變數若於該日發生合理可能之變動時，將如何影響損益及權益；編製敏感度分析所使用之方法與假設；</w:t>
            </w:r>
            <w:r>
              <w:rPr>
                <w:rFonts w:ascii="標楷體" w:eastAsia="標楷體" w:hAnsi="標楷體" w:cs="新細明體" w:hint="eastAsia"/>
                <w:kern w:val="0"/>
              </w:rPr>
              <w:t>及所使用之方法與假設兩者自前期以來之變動及該等變動之理由</w:t>
            </w:r>
            <w:r w:rsidR="003F755F" w:rsidRPr="009C77E9">
              <w:rPr>
                <w:rFonts w:ascii="標楷體" w:eastAsia="標楷體" w:hAnsi="標楷體" w:cs="新細明體" w:hint="eastAsia"/>
                <w:kern w:val="0"/>
              </w:rPr>
              <w:t>」相關資訊。</w:t>
            </w:r>
            <w:r>
              <w:rPr>
                <w:rFonts w:ascii="標楷體" w:eastAsia="標楷體" w:hAnsi="標楷體" w:cs="新細明體" w:hint="eastAsia"/>
                <w:kern w:val="0"/>
              </w:rPr>
              <w:t>請問</w:t>
            </w:r>
            <w:r w:rsidR="003F755F" w:rsidRPr="009C77E9">
              <w:rPr>
                <w:rFonts w:ascii="標楷體" w:eastAsia="標楷體" w:hAnsi="標楷體" w:cs="新細明體" w:hint="eastAsia"/>
                <w:kern w:val="0"/>
              </w:rPr>
              <w:t>：</w:t>
            </w:r>
            <w:proofErr w:type="gramStart"/>
            <w:r w:rsidR="003F755F" w:rsidRPr="009C77E9">
              <w:rPr>
                <w:rFonts w:ascii="標楷體" w:eastAsia="標楷體" w:hAnsi="標楷體" w:cs="新細明體" w:hint="eastAsia"/>
                <w:kern w:val="0"/>
              </w:rPr>
              <w:t>企業於編製</w:t>
            </w:r>
            <w:proofErr w:type="gramEnd"/>
            <w:r w:rsidR="003F755F" w:rsidRPr="009C77E9">
              <w:rPr>
                <w:rFonts w:ascii="標楷體" w:eastAsia="標楷體" w:hAnsi="標楷體" w:cs="新細明體"/>
                <w:kern w:val="0"/>
              </w:rPr>
              <w:t>IFRSs報表有關金融工具之市場風險揭露時，如已依IFRS7</w:t>
            </w:r>
            <w:r w:rsidR="00B4132D">
              <w:rPr>
                <w:rFonts w:ascii="標楷體" w:eastAsia="標楷體" w:hAnsi="標楷體" w:cs="新細明體" w:hint="eastAsia"/>
                <w:kern w:val="0"/>
              </w:rPr>
              <w:t>第</w:t>
            </w:r>
            <w:r w:rsidR="003F755F" w:rsidRPr="009C77E9">
              <w:rPr>
                <w:rFonts w:ascii="標楷體" w:eastAsia="標楷體" w:hAnsi="標楷體" w:cs="新細明體"/>
                <w:kern w:val="0"/>
              </w:rPr>
              <w:t>40</w:t>
            </w:r>
            <w:r w:rsidR="00B4132D">
              <w:rPr>
                <w:rFonts w:ascii="標楷體" w:eastAsia="標楷體" w:hAnsi="標楷體" w:cs="新細明體" w:hint="eastAsia"/>
                <w:kern w:val="0"/>
              </w:rPr>
              <w:t>段</w:t>
            </w:r>
            <w:r w:rsidR="003F755F" w:rsidRPr="009C77E9">
              <w:rPr>
                <w:rFonts w:ascii="標楷體" w:eastAsia="標楷體" w:hAnsi="標楷體" w:cs="新細明體"/>
                <w:kern w:val="0"/>
              </w:rPr>
              <w:t>揭露市場匯率風險相關敏感度分析影響損益或權益資訊，是否可免「</w:t>
            </w:r>
            <w:r w:rsidR="003F755F" w:rsidRPr="009C77E9">
              <w:rPr>
                <w:rFonts w:ascii="標楷體" w:eastAsia="標楷體" w:hAnsi="標楷體" w:cs="新細明體" w:hint="eastAsia"/>
                <w:kern w:val="0"/>
              </w:rPr>
              <w:t>於財務報表附註中揭露具重大影響之相關外幣資產與負債之資訊，包括幣別、外幣金額與即期匯率」資訊？</w:t>
            </w:r>
          </w:p>
        </w:tc>
        <w:tc>
          <w:tcPr>
            <w:tcW w:w="5245" w:type="dxa"/>
            <w:tcBorders>
              <w:top w:val="single" w:sz="4" w:space="0" w:color="auto"/>
              <w:left w:val="single" w:sz="4" w:space="0" w:color="auto"/>
              <w:bottom w:val="single" w:sz="4" w:space="0" w:color="auto"/>
              <w:right w:val="single" w:sz="4" w:space="0" w:color="auto"/>
            </w:tcBorders>
          </w:tcPr>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3F755F" w:rsidRPr="009C77E9">
              <w:rPr>
                <w:rFonts w:ascii="標楷體" w:eastAsia="標楷體" w:hAnsi="標楷體" w:cs="新細明體" w:hint="eastAsia"/>
                <w:kern w:val="0"/>
              </w:rPr>
              <w:t>有關</w:t>
            </w:r>
            <w:r w:rsidR="003F755F" w:rsidRPr="009C77E9">
              <w:rPr>
                <w:rFonts w:ascii="標楷體" w:eastAsia="標楷體" w:hAnsi="標楷體" w:cs="新細明體"/>
                <w:kern w:val="0"/>
              </w:rPr>
              <w:t>IFRS 7規範風險管理量化資訊之揭露，應</w:t>
            </w:r>
            <w:r w:rsidR="003F755F" w:rsidRPr="009C77E9">
              <w:rPr>
                <w:rFonts w:ascii="標楷體" w:eastAsia="標楷體" w:hAnsi="標楷體" w:cs="新細明體" w:hint="eastAsia"/>
                <w:kern w:val="0"/>
              </w:rPr>
              <w:t>配合</w:t>
            </w:r>
            <w:r w:rsidR="003F755F" w:rsidRPr="009C77E9">
              <w:rPr>
                <w:rFonts w:ascii="標楷體" w:eastAsia="標楷體" w:hAnsi="標楷體" w:cs="新細明體"/>
                <w:kern w:val="0"/>
              </w:rPr>
              <w:t>IFRS 1財務狀況表列示轉換日之內容，揭露比較資訊。</w:t>
            </w:r>
          </w:p>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基於此部分資訊對於報告閱讀者仍屬重要，且</w:t>
            </w:r>
            <w:r w:rsidR="003F755F" w:rsidRPr="009C77E9">
              <w:rPr>
                <w:rFonts w:ascii="標楷體" w:eastAsia="標楷體" w:hAnsi="標楷體" w:cs="新細明體"/>
                <w:kern w:val="0"/>
              </w:rPr>
              <w:t>IFRS7第40段揭露內容似無法完全取代，企業</w:t>
            </w:r>
            <w:r w:rsidR="003F755F" w:rsidRPr="009C77E9">
              <w:rPr>
                <w:rFonts w:ascii="標楷體" w:eastAsia="標楷體" w:hAnsi="標楷體" w:cs="新細明體" w:hint="eastAsia"/>
                <w:kern w:val="0"/>
              </w:rPr>
              <w:t>於採用</w:t>
            </w:r>
            <w:r w:rsidR="003F755F" w:rsidRPr="009C77E9">
              <w:rPr>
                <w:rFonts w:ascii="標楷體" w:eastAsia="標楷體" w:hAnsi="標楷體" w:cs="新細明體"/>
                <w:kern w:val="0"/>
              </w:rPr>
              <w:t>IFRSs後</w:t>
            </w:r>
            <w:r w:rsidR="003F755F" w:rsidRPr="009C77E9">
              <w:rPr>
                <w:rFonts w:ascii="標楷體" w:eastAsia="標楷體" w:hAnsi="標楷體" w:cs="新細明體" w:hint="eastAsia"/>
                <w:kern w:val="0"/>
              </w:rPr>
              <w:t>仍應依財務報告編製準則第15條及第20條規定揭露此部分資訊(實務上可參酌現行格式單獨揭露或整合於其他相關之揭露中，以整合IFRS7第40段之揭露為例，格式可參考後附範例)。</w:t>
            </w:r>
          </w:p>
          <w:p w:rsidR="003F755F" w:rsidRPr="000650B3" w:rsidRDefault="003F755F" w:rsidP="008B4DE4">
            <w:pPr>
              <w:snapToGrid w:val="0"/>
              <w:rPr>
                <w:rFonts w:ascii="標楷體" w:eastAsia="標楷體" w:hAnsi="標楷體"/>
              </w:rPr>
            </w:pPr>
          </w:p>
          <w:p w:rsidR="003F755F" w:rsidRPr="000650B3" w:rsidRDefault="003F755F" w:rsidP="008B4DE4">
            <w:pPr>
              <w:snapToGrid w:val="0"/>
              <w:rPr>
                <w:rFonts w:ascii="標楷體" w:eastAsia="標楷體" w:hAnsi="標楷體"/>
              </w:rPr>
            </w:pPr>
          </w:p>
          <w:bookmarkStart w:id="0" w:name="_MON_1578749451"/>
          <w:bookmarkEnd w:id="0"/>
          <w:p w:rsidR="003F755F" w:rsidRPr="000650B3" w:rsidRDefault="00255DFB" w:rsidP="008B4DE4">
            <w:pPr>
              <w:snapToGrid w:val="0"/>
              <w:ind w:left="360"/>
              <w:rPr>
                <w:rFonts w:ascii="標楷體" w:eastAsia="標楷體" w:hAnsi="標楷體"/>
              </w:rPr>
            </w:pPr>
            <w:r w:rsidRPr="000650B3">
              <w:rPr>
                <w:rFonts w:ascii="標楷體" w:eastAsia="標楷體" w:hAnsi="標楷體"/>
              </w:rPr>
              <w:object w:dxaOrig="1513" w:dyaOrig="1032" w14:anchorId="1CE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3.75pt" o:ole="">
                  <v:imagedata r:id="rId8" o:title=""/>
                </v:shape>
                <o:OLEObject Type="Embed" ProgID="Excel.Sheet.12" ShapeID="_x0000_i1025" DrawAspect="Icon" ObjectID="_1806322531" r:id="rId9"/>
              </w:object>
            </w:r>
          </w:p>
        </w:tc>
        <w:tc>
          <w:tcPr>
            <w:tcW w:w="1418" w:type="dxa"/>
            <w:tcBorders>
              <w:top w:val="single" w:sz="4" w:space="0" w:color="auto"/>
              <w:left w:val="single" w:sz="4" w:space="0" w:color="auto"/>
              <w:bottom w:val="single" w:sz="4" w:space="0" w:color="auto"/>
              <w:right w:val="single" w:sz="4" w:space="0" w:color="auto"/>
            </w:tcBorders>
          </w:tcPr>
          <w:p w:rsidR="003F755F" w:rsidRPr="000650B3" w:rsidRDefault="003F755F" w:rsidP="008B4DE4">
            <w:pPr>
              <w:snapToGrid w:val="0"/>
              <w:rPr>
                <w:rFonts w:ascii="標楷體" w:eastAsia="標楷體" w:hAnsi="標楷體"/>
              </w:rPr>
            </w:pPr>
            <w:r w:rsidRPr="000650B3">
              <w:rPr>
                <w:rFonts w:ascii="標楷體" w:eastAsia="標楷體" w:hAnsi="標楷體" w:hint="eastAsia"/>
              </w:rPr>
              <w:t>金融工具</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IFRS 1有關累積換算差異數之豁免，是否適用於國內營運機構之累積換算差異數發生增減，投資公司按持股比例調整累積換算差異數者？</w:t>
            </w: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t>1.依IFRS1第D13段之規定，首次採用者採用此豁免，轉換至國際財務報導準則日，國外營運機構之累積換算差異數可調整為零。</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2.投資者依IAS28</w:t>
            </w:r>
            <w:r w:rsidRPr="00F4328B">
              <w:rPr>
                <w:rFonts w:ascii="標楷體" w:eastAsia="標楷體" w:hAnsi="標楷體" w:hint="eastAsia"/>
              </w:rPr>
              <w:t>規定認列關聯企業其他綜合損益之變動所享有之份額，如關聯企業</w:t>
            </w:r>
            <w:proofErr w:type="gramStart"/>
            <w:r w:rsidRPr="00F4328B">
              <w:rPr>
                <w:rFonts w:ascii="標楷體" w:eastAsia="標楷體" w:hAnsi="標楷體" w:hint="eastAsia"/>
              </w:rPr>
              <w:t>採</w:t>
            </w:r>
            <w:proofErr w:type="gramEnd"/>
            <w:r w:rsidRPr="00F4328B">
              <w:rPr>
                <w:rFonts w:ascii="標楷體" w:eastAsia="標楷體" w:hAnsi="標楷體" w:hint="eastAsia"/>
              </w:rPr>
              <w:t>上述豁免選擇，</w:t>
            </w:r>
            <w:proofErr w:type="gramStart"/>
            <w:r w:rsidRPr="00F4328B">
              <w:rPr>
                <w:rFonts w:ascii="標楷體" w:eastAsia="標楷體" w:hAnsi="標楷體" w:hint="eastAsia"/>
              </w:rPr>
              <w:t>投資者原帳列</w:t>
            </w:r>
            <w:proofErr w:type="gramEnd"/>
            <w:r w:rsidRPr="00F4328B">
              <w:rPr>
                <w:rFonts w:ascii="標楷體" w:eastAsia="標楷體" w:hAnsi="標楷體" w:hint="eastAsia"/>
              </w:rPr>
              <w:t>之份額亦應一併沖減至零，另如該關聯企業於轉換日已不符關聯企業之定義，</w:t>
            </w:r>
            <w:proofErr w:type="gramStart"/>
            <w:r w:rsidRPr="00F4328B">
              <w:rPr>
                <w:rFonts w:ascii="標楷體" w:eastAsia="標楷體" w:hAnsi="標楷體" w:hint="eastAsia"/>
              </w:rPr>
              <w:t>原帳上</w:t>
            </w:r>
            <w:proofErr w:type="gramEnd"/>
            <w:r w:rsidRPr="00F4328B">
              <w:rPr>
                <w:rFonts w:ascii="標楷體" w:eastAsia="標楷體" w:hAnsi="標楷體" w:hint="eastAsia"/>
              </w:rPr>
              <w:t>之份額</w:t>
            </w:r>
            <w:proofErr w:type="gramStart"/>
            <w:r w:rsidRPr="00F4328B">
              <w:rPr>
                <w:rFonts w:ascii="標楷體" w:eastAsia="標楷體" w:hAnsi="標楷體" w:hint="eastAsia"/>
              </w:rPr>
              <w:t>亦應沖減至零並調整</w:t>
            </w:r>
            <w:proofErr w:type="gramEnd"/>
            <w:r w:rsidRPr="00F4328B">
              <w:rPr>
                <w:rFonts w:ascii="標楷體" w:eastAsia="標楷體" w:hAnsi="標楷體" w:hint="eastAsia"/>
              </w:rPr>
              <w:t>保留盈餘。</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首次採用</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如非採用推定成本而追溯調整之企業，有關折舊方法之調整，是否屬估計變動而禁止追溯、或應追溯？</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折舊方法之調整如係因首次採用</w:t>
            </w:r>
            <w:r w:rsidRPr="00F4328B">
              <w:rPr>
                <w:rFonts w:ascii="標楷體" w:eastAsia="標楷體" w:hAnsi="標楷體"/>
              </w:rPr>
              <w:t>IFRS而發生，</w:t>
            </w:r>
            <w:proofErr w:type="gramStart"/>
            <w:r w:rsidRPr="00F4328B">
              <w:rPr>
                <w:rFonts w:ascii="標楷體" w:eastAsia="標楷體" w:hAnsi="標楷體"/>
              </w:rPr>
              <w:t>均應依</w:t>
            </w:r>
            <w:proofErr w:type="gramEnd"/>
            <w:r w:rsidRPr="00F4328B">
              <w:rPr>
                <w:rFonts w:ascii="標楷體" w:eastAsia="標楷體" w:hAnsi="標楷體"/>
              </w:rPr>
              <w:t>IFRS1規定調整，但若非因首次採用IFRS而發生，則應依IAS8之會計估計變動調整。首次採用IFRS</w:t>
            </w:r>
            <w:r w:rsidR="00B4132D">
              <w:rPr>
                <w:rFonts w:ascii="標楷體" w:eastAsia="標楷體" w:hAnsi="標楷體" w:hint="eastAsia"/>
              </w:rPr>
              <w:t>s</w:t>
            </w:r>
            <w:r w:rsidRPr="00F4328B">
              <w:rPr>
                <w:rFonts w:ascii="標楷體" w:eastAsia="標楷體" w:hAnsi="標楷體"/>
              </w:rPr>
              <w:t>非</w:t>
            </w:r>
            <w:proofErr w:type="gramStart"/>
            <w:r w:rsidRPr="00F4328B">
              <w:rPr>
                <w:rFonts w:ascii="標楷體" w:eastAsia="標楷體" w:hAnsi="標楷體" w:hint="eastAsia"/>
              </w:rPr>
              <w:t>採</w:t>
            </w:r>
            <w:proofErr w:type="gramEnd"/>
            <w:r w:rsidRPr="00F4328B">
              <w:rPr>
                <w:rFonts w:ascii="標楷體" w:eastAsia="標楷體" w:hAnsi="標楷體" w:hint="eastAsia"/>
              </w:rPr>
              <w:t>認定成本者應追溯適用</w:t>
            </w:r>
            <w:r w:rsidRPr="00F4328B">
              <w:rPr>
                <w:rFonts w:ascii="標楷體" w:eastAsia="標楷體" w:hAnsi="標楷體"/>
              </w:rPr>
              <w:t>IFRSs之規定，包括成本、折舊方法、耐用年限、殘值及減損等。</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會計政策、會計估計變動及錯誤</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於適用</w:t>
            </w:r>
            <w:r w:rsidRPr="00F4328B">
              <w:rPr>
                <w:rFonts w:ascii="標楷體" w:eastAsia="標楷體" w:hAnsi="標楷體"/>
              </w:rPr>
              <w:t>IFRS</w:t>
            </w:r>
            <w:r w:rsidRPr="00F4328B">
              <w:rPr>
                <w:rFonts w:ascii="標楷體" w:eastAsia="標楷體" w:hAnsi="標楷體" w:hint="eastAsia"/>
              </w:rPr>
              <w:t>時，是否應將關聯企業</w:t>
            </w:r>
            <w:r w:rsidRPr="00F4328B">
              <w:rPr>
                <w:rFonts w:ascii="標楷體" w:eastAsia="標楷體" w:hAnsi="標楷體"/>
              </w:rPr>
              <w:t>B公司</w:t>
            </w:r>
            <w:r w:rsidRPr="00F4328B">
              <w:rPr>
                <w:rFonts w:ascii="標楷體" w:eastAsia="標楷體" w:hAnsi="標楷體" w:hint="eastAsia"/>
              </w:rPr>
              <w:t>持有投資公司</w:t>
            </w:r>
            <w:r w:rsidRPr="00F4328B">
              <w:rPr>
                <w:rFonts w:ascii="標楷體" w:eastAsia="標楷體" w:hAnsi="標楷體"/>
              </w:rPr>
              <w:t>A公司</w:t>
            </w:r>
            <w:r w:rsidRPr="00F4328B">
              <w:rPr>
                <w:rFonts w:ascii="標楷體" w:eastAsia="標楷體" w:hAnsi="標楷體" w:hint="eastAsia"/>
              </w:rPr>
              <w:t>之股份視同庫藏股處理〔亦即</w:t>
            </w:r>
            <w:r w:rsidRPr="00F4328B">
              <w:rPr>
                <w:rFonts w:ascii="標楷體" w:eastAsia="標楷體" w:hAnsi="標楷體"/>
              </w:rPr>
              <w:t>A</w:t>
            </w:r>
            <w:r w:rsidRPr="00F4328B">
              <w:rPr>
                <w:rFonts w:ascii="標楷體" w:eastAsia="標楷體" w:hAnsi="標楷體" w:hint="eastAsia"/>
              </w:rPr>
              <w:t>公司除於投資損益認列時排除</w:t>
            </w:r>
            <w:r w:rsidRPr="00F4328B">
              <w:rPr>
                <w:rFonts w:ascii="標楷體" w:eastAsia="標楷體" w:hAnsi="標楷體"/>
              </w:rPr>
              <w:t>B</w:t>
            </w:r>
            <w:r w:rsidRPr="00F4328B">
              <w:rPr>
                <w:rFonts w:ascii="標楷體" w:eastAsia="標楷體" w:hAnsi="標楷體" w:hint="eastAsia"/>
              </w:rPr>
              <w:t>公司因持有</w:t>
            </w:r>
            <w:r w:rsidRPr="00F4328B">
              <w:rPr>
                <w:rFonts w:ascii="標楷體" w:eastAsia="標楷體" w:hAnsi="標楷體"/>
              </w:rPr>
              <w:t>A</w:t>
            </w:r>
            <w:r w:rsidRPr="00F4328B">
              <w:rPr>
                <w:rFonts w:ascii="標楷體" w:eastAsia="標楷體" w:hAnsi="標楷體" w:hint="eastAsia"/>
              </w:rPr>
              <w:t>公司股份對損益之影響外，是否須將</w:t>
            </w:r>
            <w:r w:rsidRPr="00F4328B">
              <w:rPr>
                <w:rFonts w:ascii="標楷體" w:eastAsia="標楷體" w:hAnsi="標楷體"/>
              </w:rPr>
              <w:t>B</w:t>
            </w:r>
            <w:r w:rsidRPr="00F4328B">
              <w:rPr>
                <w:rFonts w:ascii="標楷體" w:eastAsia="標楷體" w:hAnsi="標楷體" w:hint="eastAsia"/>
              </w:rPr>
              <w:t>公司持有</w:t>
            </w:r>
            <w:r w:rsidRPr="00F4328B">
              <w:rPr>
                <w:rFonts w:ascii="標楷體" w:eastAsia="標楷體" w:hAnsi="標楷體"/>
              </w:rPr>
              <w:t>A</w:t>
            </w:r>
            <w:r w:rsidRPr="00F4328B">
              <w:rPr>
                <w:rFonts w:ascii="標楷體" w:eastAsia="標楷體" w:hAnsi="標楷體" w:hint="eastAsia"/>
              </w:rPr>
              <w:t>公司股份之淨額</w:t>
            </w:r>
            <w:r w:rsidRPr="00F4328B">
              <w:rPr>
                <w:rFonts w:ascii="標楷體" w:eastAsia="標楷體" w:hAnsi="標楷體"/>
              </w:rPr>
              <w:t>(</w:t>
            </w:r>
            <w:r w:rsidRPr="00F4328B">
              <w:rPr>
                <w:rFonts w:ascii="標楷體" w:eastAsia="標楷體" w:hAnsi="標楷體" w:hint="eastAsia"/>
              </w:rPr>
              <w:t>排除對</w:t>
            </w:r>
            <w:r w:rsidRPr="00F4328B">
              <w:rPr>
                <w:rFonts w:ascii="標楷體" w:eastAsia="標楷體" w:hAnsi="標楷體"/>
              </w:rPr>
              <w:t>B</w:t>
            </w:r>
            <w:r w:rsidRPr="00F4328B">
              <w:rPr>
                <w:rFonts w:ascii="標楷體" w:eastAsia="標楷體" w:hAnsi="標楷體" w:hint="eastAsia"/>
              </w:rPr>
              <w:t>公司之損益影響後</w:t>
            </w:r>
            <w:r w:rsidRPr="00F4328B">
              <w:rPr>
                <w:rFonts w:ascii="標楷體" w:eastAsia="標楷體" w:hAnsi="標楷體"/>
              </w:rPr>
              <w:t>)</w:t>
            </w:r>
            <w:r w:rsidRPr="00F4328B">
              <w:rPr>
                <w:rFonts w:ascii="標楷體" w:eastAsia="標楷體" w:hAnsi="標楷體" w:hint="eastAsia"/>
              </w:rPr>
              <w:t>，依據</w:t>
            </w:r>
            <w:r w:rsidRPr="00F4328B">
              <w:rPr>
                <w:rFonts w:ascii="標楷體" w:eastAsia="標楷體" w:hAnsi="標楷體"/>
              </w:rPr>
              <w:t>A</w:t>
            </w:r>
            <w:r w:rsidRPr="00F4328B">
              <w:rPr>
                <w:rFonts w:ascii="標楷體" w:eastAsia="標楷體" w:hAnsi="標楷體" w:hint="eastAsia"/>
              </w:rPr>
              <w:t>公司對</w:t>
            </w:r>
            <w:r w:rsidRPr="00F4328B">
              <w:rPr>
                <w:rFonts w:ascii="標楷體" w:eastAsia="標楷體" w:hAnsi="標楷體"/>
              </w:rPr>
              <w:t>B</w:t>
            </w:r>
            <w:r w:rsidRPr="00F4328B">
              <w:rPr>
                <w:rFonts w:ascii="標楷體" w:eastAsia="標楷體" w:hAnsi="標楷體" w:hint="eastAsia"/>
              </w:rPr>
              <w:t>公司之持股比例，將部份採權益法之長期股權投資</w:t>
            </w:r>
            <w:r w:rsidRPr="00F4328B">
              <w:rPr>
                <w:rFonts w:ascii="標楷體" w:eastAsia="標楷體" w:hAnsi="標楷體"/>
              </w:rPr>
              <w:t>(B)</w:t>
            </w:r>
            <w:r w:rsidRPr="00F4328B">
              <w:rPr>
                <w:rFonts w:ascii="標楷體" w:eastAsia="標楷體" w:hAnsi="標楷體" w:hint="eastAsia"/>
              </w:rPr>
              <w:t>之金額轉列庫藏股〕</w:t>
            </w:r>
            <w:proofErr w:type="gramStart"/>
            <w:r w:rsidRPr="00F4328B">
              <w:rPr>
                <w:rFonts w:ascii="標楷體" w:eastAsia="標楷體" w:hAnsi="標楷體" w:hint="eastAsia"/>
              </w:rPr>
              <w:t>﹖</w:t>
            </w:r>
            <w:proofErr w:type="gramEnd"/>
            <w:r w:rsidRPr="00F4328B">
              <w:rPr>
                <w:rFonts w:ascii="標楷體" w:eastAsia="標楷體" w:hAnsi="標楷體"/>
              </w:rPr>
              <w:br/>
            </w:r>
            <w:proofErr w:type="gramStart"/>
            <w:r w:rsidRPr="00F4328B">
              <w:rPr>
                <w:rFonts w:ascii="標楷體" w:eastAsia="標楷體" w:hAnsi="標楷體" w:hint="eastAsia"/>
              </w:rPr>
              <w:t>此外，</w:t>
            </w:r>
            <w:proofErr w:type="gramEnd"/>
            <w:r w:rsidRPr="00F4328B">
              <w:rPr>
                <w:rFonts w:ascii="標楷體" w:eastAsia="標楷體" w:hAnsi="標楷體"/>
              </w:rPr>
              <w:t>A</w:t>
            </w:r>
            <w:r w:rsidRPr="00F4328B">
              <w:rPr>
                <w:rFonts w:ascii="標楷體" w:eastAsia="標楷體" w:hAnsi="標楷體" w:hint="eastAsia"/>
              </w:rPr>
              <w:t>公司於計算每股盈餘時，是否亦應扣除</w:t>
            </w:r>
            <w:r w:rsidRPr="00F4328B">
              <w:rPr>
                <w:rFonts w:ascii="標楷體" w:eastAsia="標楷體" w:hAnsi="標楷體"/>
              </w:rPr>
              <w:t>B</w:t>
            </w:r>
            <w:r w:rsidRPr="00F4328B">
              <w:rPr>
                <w:rFonts w:ascii="標楷體" w:eastAsia="標楷體" w:hAnsi="標楷體" w:hint="eastAsia"/>
              </w:rPr>
              <w:t>公司所持有</w:t>
            </w:r>
            <w:r w:rsidRPr="00F4328B">
              <w:rPr>
                <w:rFonts w:ascii="標楷體" w:eastAsia="標楷體" w:hAnsi="標楷體"/>
              </w:rPr>
              <w:t>A</w:t>
            </w:r>
            <w:r w:rsidRPr="00F4328B">
              <w:rPr>
                <w:rFonts w:ascii="標楷體" w:eastAsia="標楷體" w:hAnsi="標楷體" w:hint="eastAsia"/>
              </w:rPr>
              <w:t>公司之股份</w:t>
            </w:r>
            <w:r w:rsidRPr="00F4328B">
              <w:rPr>
                <w:rFonts w:ascii="標楷體" w:eastAsia="標楷體" w:hAnsi="標楷體"/>
              </w:rPr>
              <w:t>(</w:t>
            </w:r>
            <w:r w:rsidRPr="00F4328B">
              <w:rPr>
                <w:rFonts w:ascii="標楷體" w:eastAsia="標楷體" w:hAnsi="標楷體" w:hint="eastAsia"/>
              </w:rPr>
              <w:t>亦即視為未流通在外</w:t>
            </w:r>
            <w:r w:rsidRPr="00F4328B">
              <w:rPr>
                <w:rFonts w:ascii="標楷體" w:eastAsia="標楷體" w:hAnsi="標楷體"/>
              </w:rPr>
              <w:t>)</w:t>
            </w:r>
            <w:proofErr w:type="gramStart"/>
            <w:r w:rsidRPr="00F4328B">
              <w:rPr>
                <w:rFonts w:ascii="標楷體" w:eastAsia="標楷體" w:hAnsi="標楷體" w:hint="eastAsia"/>
              </w:rPr>
              <w:t>﹖</w:t>
            </w:r>
            <w:proofErr w:type="gramEnd"/>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無須視同庫藏股處理。</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40117C" w:rsidRDefault="0040117C"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rPr>
              <w:t>A、B公司交互持股並互</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hint="eastAsia"/>
              </w:rPr>
              <w:t>權益法處理，若</w:t>
            </w:r>
            <w:r w:rsidR="003F755F" w:rsidRPr="00F4328B">
              <w:rPr>
                <w:rFonts w:ascii="標楷體" w:eastAsia="標楷體" w:hAnsi="標楷體"/>
              </w:rPr>
              <w:t>A公司</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hint="eastAsia"/>
              </w:rPr>
              <w:t>庫</w:t>
            </w:r>
            <w:r>
              <w:rPr>
                <w:rFonts w:ascii="標楷體" w:eastAsia="標楷體" w:hAnsi="標楷體" w:hint="eastAsia"/>
              </w:rPr>
              <w:t xml:space="preserve">  </w:t>
            </w:r>
            <w:r w:rsidR="003F755F" w:rsidRPr="00F4328B">
              <w:rPr>
                <w:rFonts w:ascii="標楷體" w:eastAsia="標楷體" w:hAnsi="標楷體" w:hint="eastAsia"/>
              </w:rPr>
              <w:t>藏股票法處理對</w:t>
            </w:r>
            <w:r w:rsidR="003F755F" w:rsidRPr="00F4328B">
              <w:rPr>
                <w:rFonts w:ascii="標楷體" w:eastAsia="標楷體" w:hAnsi="標楷體"/>
              </w:rPr>
              <w:t>B公司之投資，則對於每股盈餘之計算</w:t>
            </w:r>
            <w:r>
              <w:rPr>
                <w:rFonts w:ascii="標楷體" w:eastAsia="標楷體" w:hAnsi="標楷體" w:hint="eastAsia"/>
              </w:rPr>
              <w:t xml:space="preserve">  </w:t>
            </w:r>
            <w:r w:rsidR="003F755F" w:rsidRPr="00F4328B">
              <w:rPr>
                <w:rFonts w:ascii="標楷體" w:eastAsia="標楷體" w:hAnsi="標楷體"/>
              </w:rPr>
              <w:t>是否亦須視為庫藏股減除?</w:t>
            </w:r>
          </w:p>
          <w:p w:rsidR="003F755F" w:rsidRPr="0040117C" w:rsidRDefault="0040117C" w:rsidP="00B4132D">
            <w:pPr>
              <w:snapToGrid w:val="0"/>
              <w:ind w:left="240" w:hangingChars="100" w:hanging="240"/>
              <w:rPr>
                <w:rFonts w:ascii="標楷體" w:eastAsia="標楷體" w:hAnsi="標楷體"/>
              </w:rPr>
            </w:pPr>
            <w:r>
              <w:rPr>
                <w:rFonts w:ascii="標楷體" w:eastAsia="標楷體" w:hAnsi="標楷體" w:hint="eastAsia"/>
              </w:rPr>
              <w:t>2.</w:t>
            </w:r>
            <w:r w:rsidRPr="0040117C">
              <w:rPr>
                <w:rFonts w:ascii="標楷體" w:eastAsia="標楷體" w:hAnsi="標楷體" w:hint="eastAsia"/>
              </w:rPr>
              <w:t>承1.</w:t>
            </w:r>
            <w:r w:rsidR="003F755F" w:rsidRPr="0040117C">
              <w:rPr>
                <w:rFonts w:ascii="標楷體" w:eastAsia="標楷體" w:hAnsi="標楷體" w:hint="eastAsia"/>
              </w:rPr>
              <w:t>，若</w:t>
            </w:r>
            <w:proofErr w:type="gramStart"/>
            <w:r w:rsidR="003F755F" w:rsidRPr="0040117C">
              <w:rPr>
                <w:rFonts w:ascii="標楷體" w:eastAsia="標楷體" w:hAnsi="標楷體" w:hint="eastAsia"/>
              </w:rPr>
              <w:t>採</w:t>
            </w:r>
            <w:proofErr w:type="gramEnd"/>
            <w:r w:rsidR="003F755F" w:rsidRPr="0040117C">
              <w:rPr>
                <w:rFonts w:ascii="標楷體" w:eastAsia="標楷體" w:hAnsi="標楷體" w:hint="eastAsia"/>
              </w:rPr>
              <w:t>庫藏股票法處理對關聯企業之投資，</w:t>
            </w:r>
            <w:proofErr w:type="gramStart"/>
            <w:r w:rsidR="003F755F" w:rsidRPr="0040117C">
              <w:rPr>
                <w:rFonts w:ascii="標楷體" w:eastAsia="標楷體" w:hAnsi="標楷體" w:hint="eastAsia"/>
              </w:rPr>
              <w:t>於計</w:t>
            </w:r>
            <w:r>
              <w:rPr>
                <w:rFonts w:ascii="標楷體" w:eastAsia="標楷體" w:hAnsi="標楷體" w:hint="eastAsia"/>
              </w:rPr>
              <w:t xml:space="preserve">  </w:t>
            </w:r>
            <w:r w:rsidR="003F755F" w:rsidRPr="0040117C">
              <w:rPr>
                <w:rFonts w:ascii="標楷體" w:eastAsia="標楷體" w:hAnsi="標楷體" w:hint="eastAsia"/>
              </w:rPr>
              <w:t>算每</w:t>
            </w:r>
            <w:proofErr w:type="gramEnd"/>
            <w:r w:rsidR="003F755F" w:rsidRPr="0040117C">
              <w:rPr>
                <w:rFonts w:ascii="標楷體" w:eastAsia="標楷體" w:hAnsi="標楷體" w:hint="eastAsia"/>
              </w:rPr>
              <w:t>股盈餘時，應將該部分視為庫藏股減除。</w:t>
            </w:r>
            <w:proofErr w:type="gramStart"/>
            <w:r w:rsidR="003F755F" w:rsidRPr="0040117C">
              <w:rPr>
                <w:rFonts w:ascii="標楷體" w:eastAsia="標楷體" w:hAnsi="標楷體" w:hint="eastAsia"/>
              </w:rPr>
              <w:t>惟</w:t>
            </w:r>
            <w:proofErr w:type="gramEnd"/>
            <w:r w:rsidR="003F755F" w:rsidRPr="0040117C">
              <w:rPr>
                <w:rFonts w:ascii="標楷體" w:eastAsia="標楷體" w:hAnsi="標楷體" w:hint="eastAsia"/>
              </w:rPr>
              <w:t>表達是否亦應一致以庫藏股票表達於權益項下</w:t>
            </w:r>
            <w:r w:rsidR="003F755F" w:rsidRPr="0040117C">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於計算每股盈餘時，應將該部分視為庫藏股減除。</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不得表達為庫藏股。</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股東可扣抵稅額是否</w:t>
            </w:r>
            <w:proofErr w:type="gramStart"/>
            <w:r w:rsidRPr="00F4328B">
              <w:rPr>
                <w:rFonts w:ascii="標楷體" w:eastAsia="標楷體" w:hAnsi="標楷體" w:hint="eastAsia"/>
              </w:rPr>
              <w:t>入帳</w:t>
            </w:r>
            <w:proofErr w:type="gramEnd"/>
            <w:r w:rsidRPr="00F4328B">
              <w:rPr>
                <w:rFonts w:ascii="標楷體" w:eastAsia="標楷體" w:hAnsi="標楷體"/>
              </w:rPr>
              <w:t>(列為股東資產)？</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股東可扣抵稅額並不符合</w:t>
            </w:r>
            <w:r w:rsidRPr="00F4328B">
              <w:rPr>
                <w:rFonts w:ascii="標楷體" w:eastAsia="標楷體" w:hAnsi="標楷體"/>
              </w:rPr>
              <w:t>IFRSs對資產之定義，故不得</w:t>
            </w:r>
            <w:proofErr w:type="gramStart"/>
            <w:r w:rsidRPr="00F4328B">
              <w:rPr>
                <w:rFonts w:ascii="標楷體" w:eastAsia="標楷體" w:hAnsi="標楷體" w:hint="eastAsia"/>
              </w:rPr>
              <w:t>入帳</w:t>
            </w:r>
            <w:proofErr w:type="gramEnd"/>
            <w:r w:rsidRPr="00F4328B">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產品保固之相關成本</w:t>
            </w:r>
            <w:proofErr w:type="gramStart"/>
            <w:r w:rsidR="003F755F" w:rsidRPr="00F4328B">
              <w:rPr>
                <w:rFonts w:ascii="標楷體" w:eastAsia="標楷體" w:hAnsi="標楷體" w:hint="eastAsia"/>
              </w:rPr>
              <w:t>應作銷貨</w:t>
            </w:r>
            <w:proofErr w:type="gramEnd"/>
            <w:r w:rsidR="003F755F" w:rsidRPr="00F4328B">
              <w:rPr>
                <w:rFonts w:ascii="標楷體" w:eastAsia="標楷體" w:hAnsi="標楷體" w:hint="eastAsia"/>
              </w:rPr>
              <w:t>成本或是推銷費用</w:t>
            </w:r>
            <w:r w:rsidR="003F755F" w:rsidRPr="00F4328B">
              <w:rPr>
                <w:rFonts w:ascii="標楷體" w:eastAsia="標楷體" w:hAnsi="標楷體"/>
              </w:rPr>
              <w:t>?</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依合約規定按相關產品銷售量支付之權利金，目前實務上將該權利金支</w:t>
            </w:r>
            <w:proofErr w:type="gramStart"/>
            <w:r w:rsidR="003F755F" w:rsidRPr="00F4328B">
              <w:rPr>
                <w:rFonts w:ascii="標楷體" w:eastAsia="標楷體" w:hAnsi="標楷體" w:hint="eastAsia"/>
              </w:rPr>
              <w:t>出帳</w:t>
            </w:r>
            <w:proofErr w:type="gramEnd"/>
            <w:r w:rsidR="003F755F" w:rsidRPr="00F4328B">
              <w:rPr>
                <w:rFonts w:ascii="標楷體" w:eastAsia="標楷體" w:hAnsi="標楷體" w:hint="eastAsia"/>
              </w:rPr>
              <w:t>列銷售費用，</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rPr>
              <w:t>IFRS後係列入銷貨成本或銷售費用？</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1.產品保固應依IFRS15規定判斷性質，若客戶並無單獨購買保固之選擇權，且所承諾之</w:t>
            </w:r>
            <w:proofErr w:type="gramStart"/>
            <w:r w:rsidRPr="00F4328B">
              <w:rPr>
                <w:rFonts w:ascii="標楷體" w:eastAsia="標楷體" w:hAnsi="標楷體" w:hint="eastAsia"/>
              </w:rPr>
              <w:t>保固僅提供</w:t>
            </w:r>
            <w:proofErr w:type="gramEnd"/>
            <w:r w:rsidRPr="00F4328B">
              <w:rPr>
                <w:rFonts w:ascii="標楷體" w:eastAsia="標楷體" w:hAnsi="標楷體" w:hint="eastAsia"/>
              </w:rPr>
              <w:t>客戶該產品與所協議之規格相符之保證，則企業應依IAS37之規定</w:t>
            </w:r>
            <w:proofErr w:type="gramStart"/>
            <w:r w:rsidRPr="00F4328B">
              <w:rPr>
                <w:rFonts w:ascii="標楷體" w:eastAsia="標楷體" w:hAnsi="標楷體" w:hint="eastAsia"/>
              </w:rPr>
              <w:t>認列保固</w:t>
            </w:r>
            <w:proofErr w:type="gramEnd"/>
            <w:r w:rsidRPr="00F4328B">
              <w:rPr>
                <w:rFonts w:ascii="標楷體" w:eastAsia="標楷體" w:hAnsi="標楷體" w:hint="eastAsia"/>
              </w:rPr>
              <w:t>義務及相關費用，其性質作為銷貨成本較為適當。</w:t>
            </w:r>
          </w:p>
          <w:p w:rsidR="003F755F" w:rsidRDefault="003F755F" w:rsidP="008B4DE4">
            <w:pPr>
              <w:snapToGrid w:val="0"/>
              <w:rPr>
                <w:rFonts w:ascii="標楷體" w:eastAsia="標楷體" w:hAnsi="標楷體"/>
              </w:rPr>
            </w:pPr>
            <w:r w:rsidRPr="00F4328B">
              <w:rPr>
                <w:rFonts w:ascii="標楷體" w:eastAsia="標楷體" w:hAnsi="標楷體"/>
              </w:rPr>
              <w:t>2.</w:t>
            </w:r>
          </w:p>
          <w:p w:rsidR="00B4132D"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(1)企業應依據其經營情況不同，判斷該權利金支出</w:t>
            </w:r>
            <w:proofErr w:type="gramStart"/>
            <w:r w:rsidRPr="00F4328B">
              <w:rPr>
                <w:rFonts w:ascii="標楷體" w:eastAsia="標楷體" w:hAnsi="標楷體" w:hint="eastAsia"/>
              </w:rPr>
              <w:t>係帳列銷</w:t>
            </w:r>
            <w:proofErr w:type="gramEnd"/>
            <w:r w:rsidRPr="00F4328B">
              <w:rPr>
                <w:rFonts w:ascii="標楷體" w:eastAsia="標楷體" w:hAnsi="標楷體" w:hint="eastAsia"/>
              </w:rPr>
              <w:t>貨成本或銷售費用。</w:t>
            </w:r>
          </w:p>
          <w:p w:rsidR="003F755F" w:rsidRPr="00F4328B"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(2)企業依合約規定按相關產品銷售量支付之</w:t>
            </w:r>
            <w:proofErr w:type="gramStart"/>
            <w:r w:rsidRPr="00F4328B">
              <w:rPr>
                <w:rFonts w:ascii="標楷體" w:eastAsia="標楷體" w:hAnsi="標楷體" w:hint="eastAsia"/>
              </w:rPr>
              <w:t>權利金若係</w:t>
            </w:r>
            <w:proofErr w:type="gramEnd"/>
            <w:r w:rsidRPr="00F4328B">
              <w:rPr>
                <w:rFonts w:ascii="標楷體" w:eastAsia="標楷體" w:hAnsi="標楷體" w:hint="eastAsia"/>
              </w:rPr>
              <w:t>用以取得生產存貨所需技術之授權，則</w:t>
            </w:r>
            <w:r w:rsidR="003D0A5A">
              <w:rPr>
                <w:rFonts w:ascii="標楷體" w:eastAsia="標楷體" w:hAnsi="標楷體" w:hint="eastAsia"/>
              </w:rPr>
              <w:t xml:space="preserve">   </w:t>
            </w:r>
            <w:r w:rsidRPr="00F4328B">
              <w:rPr>
                <w:rFonts w:ascii="標楷體" w:eastAsia="標楷體" w:hAnsi="標楷體" w:hint="eastAsia"/>
              </w:rPr>
              <w:t>其性質</w:t>
            </w:r>
            <w:proofErr w:type="gramStart"/>
            <w:r w:rsidRPr="00F4328B">
              <w:rPr>
                <w:rFonts w:ascii="標楷體" w:eastAsia="標楷體" w:hAnsi="標楷體" w:hint="eastAsia"/>
              </w:rPr>
              <w:t>應屬銷貨</w:t>
            </w:r>
            <w:proofErr w:type="gramEnd"/>
            <w:r w:rsidRPr="00F4328B">
              <w:rPr>
                <w:rFonts w:ascii="標楷體" w:eastAsia="標楷體" w:hAnsi="標楷體" w:hint="eastAsia"/>
              </w:rPr>
              <w:t>成本。</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依據公司法規定，辦理現金增資應由原股東</w:t>
            </w:r>
            <w:proofErr w:type="gramStart"/>
            <w:r w:rsidRPr="00F4328B">
              <w:rPr>
                <w:rFonts w:ascii="標楷體" w:eastAsia="標楷體" w:hAnsi="標楷體" w:hint="eastAsia"/>
              </w:rPr>
              <w:t>儘先分認之</w:t>
            </w:r>
            <w:proofErr w:type="gramEnd"/>
            <w:r w:rsidRPr="00F4328B">
              <w:rPr>
                <w:rFonts w:ascii="標楷體" w:eastAsia="標楷體" w:hAnsi="標楷體" w:hint="eastAsia"/>
              </w:rPr>
              <w:t>規定，若認購價格低於時價，是否屬</w:t>
            </w:r>
            <w:r w:rsidRPr="00F4328B">
              <w:rPr>
                <w:rFonts w:ascii="標楷體" w:eastAsia="標楷體" w:hAnsi="標楷體"/>
              </w:rPr>
              <w:t>IAS33.27(b)所稱之給現有股東之股份認購權利所含之紅利因子，於計算基本每股盈餘時應予以調整?</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發行價格已接近市價，可不予調整。</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10</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如國內可轉換公司債發行條件為五年，發行滿一個月債券持有人即可行使轉換權，則依該可轉換公司債之發行條件，是否於轉換日應重分類至流動負債項下？</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依證券發行人財務報告編製準則及</w:t>
            </w:r>
            <w:r w:rsidRPr="00F4328B">
              <w:rPr>
                <w:rFonts w:ascii="標楷體" w:eastAsia="標楷體" w:hAnsi="標楷體"/>
              </w:rPr>
              <w:t>IAS1規定，</w:t>
            </w:r>
            <w:r w:rsidRPr="00F4328B">
              <w:rPr>
                <w:rFonts w:ascii="標楷體" w:eastAsia="標楷體" w:hAnsi="標楷體" w:hint="eastAsia"/>
              </w:rPr>
              <w:t>轉換權可執行</w:t>
            </w:r>
            <w:proofErr w:type="gramStart"/>
            <w:r w:rsidRPr="00F4328B">
              <w:rPr>
                <w:rFonts w:ascii="標楷體" w:eastAsia="標楷體" w:hAnsi="標楷體" w:hint="eastAsia"/>
              </w:rPr>
              <w:t>時點非為</w:t>
            </w:r>
            <w:proofErr w:type="gramEnd"/>
            <w:r w:rsidRPr="00F4328B">
              <w:rPr>
                <w:rFonts w:ascii="標楷體" w:eastAsia="標楷體" w:hAnsi="標楷體" w:hint="eastAsia"/>
              </w:rPr>
              <w:t>該轉換公司債應分類為流動或非流動之依據。</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t>1</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適用</w:t>
            </w:r>
            <w:r w:rsidRPr="00F4328B">
              <w:rPr>
                <w:rFonts w:ascii="標楷體" w:eastAsia="標楷體" w:hAnsi="標楷體"/>
              </w:rPr>
              <w:t>IFRIC 12之特許權資產(無形資產</w:t>
            </w:r>
            <w:proofErr w:type="gramStart"/>
            <w:r w:rsidRPr="00F4328B">
              <w:rPr>
                <w:rFonts w:ascii="標楷體" w:eastAsia="標楷體" w:hAnsi="標楷體" w:hint="eastAsia"/>
              </w:rPr>
              <w:t>—</w:t>
            </w:r>
            <w:proofErr w:type="gramEnd"/>
            <w:r w:rsidRPr="00F4328B">
              <w:rPr>
                <w:rFonts w:ascii="標楷體" w:eastAsia="標楷體" w:hAnsi="標楷體" w:hint="eastAsia"/>
              </w:rPr>
              <w:t>特許權</w:t>
            </w:r>
            <w:r w:rsidRPr="00F4328B">
              <w:rPr>
                <w:rFonts w:ascii="標楷體" w:eastAsia="標楷體" w:hAnsi="標楷體"/>
              </w:rPr>
              <w:t>)，於興建期間應以何科目列示較為合宜?</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無形資產</w:t>
            </w:r>
            <w:r w:rsidRPr="00F4328B">
              <w:rPr>
                <w:rFonts w:ascii="標楷體" w:eastAsia="標楷體" w:hAnsi="標楷體"/>
              </w:rPr>
              <w:t>-特許權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t>1</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現金流量表議題：利息收入、費用需區分為營運、投資或融資所產生，實務上除非專款專用，且每筆現金明確記錄其收支過程，否則不易分類，會計上應如何處理？</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IFRSs並未對利息現金流量的分類方式規定單一方式，企業應依IAS7-31~34之規定決定其分類方式並一致採用，未必需專款專用才可分類。</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13</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w:t>
            </w:r>
            <w:r w:rsidR="003F755F" w:rsidRPr="00F4328B">
              <w:rPr>
                <w:rFonts w:ascii="標楷體" w:eastAsia="標楷體" w:hAnsi="標楷體"/>
              </w:rPr>
              <w:t>IAS 10</w:t>
            </w:r>
            <w:r w:rsidR="003F755F" w:rsidRPr="00F4328B">
              <w:rPr>
                <w:rFonts w:ascii="標楷體" w:eastAsia="標楷體" w:hAnsi="標楷體" w:hint="eastAsia"/>
              </w:rPr>
              <w:t>第</w:t>
            </w:r>
            <w:r w:rsidR="003F755F" w:rsidRPr="00F4328B">
              <w:rPr>
                <w:rFonts w:ascii="標楷體" w:eastAsia="標楷體" w:hAnsi="標楷體"/>
              </w:rPr>
              <w:t>17段之規定，企業應揭露財務報表核准者及核准提出之日期。而依該公報第5段財務報核准提出之日期係董事會通過日期，故</w:t>
            </w:r>
            <w:proofErr w:type="gramStart"/>
            <w:r w:rsidR="003F755F" w:rsidRPr="00F4328B">
              <w:rPr>
                <w:rFonts w:ascii="標楷體" w:eastAsia="標楷體" w:hAnsi="標楷體" w:hint="eastAsia"/>
              </w:rPr>
              <w:t>財報既要</w:t>
            </w:r>
            <w:proofErr w:type="gramEnd"/>
            <w:r w:rsidR="003F755F" w:rsidRPr="00F4328B">
              <w:rPr>
                <w:rFonts w:ascii="標楷體" w:eastAsia="標楷體" w:hAnsi="標楷體" w:hint="eastAsia"/>
              </w:rPr>
              <w:t>揭露核准提出日，惟核准日又是董事會當日，則會計師</w:t>
            </w:r>
            <w:proofErr w:type="gramStart"/>
            <w:r w:rsidR="003F755F" w:rsidRPr="00F4328B">
              <w:rPr>
                <w:rFonts w:ascii="標楷體" w:eastAsia="標楷體" w:hAnsi="標楷體" w:hint="eastAsia"/>
              </w:rPr>
              <w:t>查核報日之</w:t>
            </w:r>
            <w:proofErr w:type="gramEnd"/>
            <w:r w:rsidR="003F755F" w:rsidRPr="00F4328B">
              <w:rPr>
                <w:rFonts w:ascii="標楷體" w:eastAsia="標楷體" w:hAnsi="標楷體" w:hint="eastAsia"/>
              </w:rPr>
              <w:t>日期，是否需晚於財報核准日</w:t>
            </w:r>
            <w:r w:rsidR="003F755F" w:rsidRPr="00F4328B">
              <w:rPr>
                <w:rFonts w:ascii="標楷體" w:eastAsia="標楷體" w:hAnsi="標楷體"/>
              </w:rPr>
              <w:t>?</w:t>
            </w:r>
            <w:proofErr w:type="gramStart"/>
            <w:r w:rsidR="003F755F" w:rsidRPr="00F4328B">
              <w:rPr>
                <w:rFonts w:ascii="標楷體" w:eastAsia="標楷體" w:hAnsi="標楷體" w:hint="eastAsia"/>
              </w:rPr>
              <w:t>惟</w:t>
            </w:r>
            <w:proofErr w:type="gramEnd"/>
            <w:r w:rsidR="003F755F" w:rsidRPr="00F4328B">
              <w:rPr>
                <w:rFonts w:ascii="標楷體" w:eastAsia="標楷體" w:hAnsi="標楷體" w:hint="eastAsia"/>
              </w:rPr>
              <w:t>台灣實務上之報告日</w:t>
            </w:r>
            <w:r w:rsidR="003F755F" w:rsidRPr="00F4328B">
              <w:rPr>
                <w:rFonts w:ascii="標楷體" w:eastAsia="標楷體" w:hAnsi="標楷體"/>
              </w:rPr>
              <w:t>(一般為外勤工作終了日)</w:t>
            </w:r>
            <w:proofErr w:type="gramStart"/>
            <w:r w:rsidR="003F755F" w:rsidRPr="00F4328B">
              <w:rPr>
                <w:rFonts w:ascii="標楷體" w:eastAsia="標楷體" w:hAnsi="標楷體" w:hint="eastAsia"/>
              </w:rPr>
              <w:t>似早於</w:t>
            </w:r>
            <w:proofErr w:type="gramEnd"/>
            <w:r w:rsidR="003F755F" w:rsidRPr="00F4328B">
              <w:rPr>
                <w:rFonts w:ascii="標楷體" w:eastAsia="標楷體" w:hAnsi="標楷體" w:hint="eastAsia"/>
              </w:rPr>
              <w:t>公司董事會日，惟未來</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rPr>
              <w:t>IFRSs後，報告應依IAS 10</w:t>
            </w:r>
            <w:r>
              <w:rPr>
                <w:rFonts w:ascii="標楷體" w:eastAsia="標楷體" w:hAnsi="標楷體" w:hint="eastAsia"/>
              </w:rPr>
              <w:t>第</w:t>
            </w:r>
            <w:r w:rsidR="003F755F" w:rsidRPr="00F4328B">
              <w:rPr>
                <w:rFonts w:ascii="標楷體" w:eastAsia="標楷體" w:hAnsi="標楷體"/>
              </w:rPr>
              <w:t>17</w:t>
            </w:r>
            <w:r>
              <w:rPr>
                <w:rFonts w:ascii="標楷體" w:eastAsia="標楷體" w:hAnsi="標楷體" w:hint="eastAsia"/>
              </w:rPr>
              <w:t>段</w:t>
            </w:r>
            <w:r w:rsidR="003F755F" w:rsidRPr="00F4328B">
              <w:rPr>
                <w:rFonts w:ascii="標楷體" w:eastAsia="標楷體" w:hAnsi="標楷體"/>
              </w:rPr>
              <w:t xml:space="preserve">揭露財務報表核准發布日，是否會影響未來報告日之決定？如何因應？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未來查核報告之日期應於董事會提出財務報表核准日後，董事會是否還需要再召開一次，來通過會計師查核簽證後之財務報表用以提交股東會承認？</w:t>
            </w:r>
            <w:r w:rsidR="003F755F" w:rsidRPr="00F4328B">
              <w:rPr>
                <w:rFonts w:ascii="標楷體" w:eastAsia="標楷體" w:hAnsi="標楷體"/>
              </w:rPr>
              <w:t xml:space="preserve">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「未來我國會計師簽證日期應於董事會後（同一日），並未要求會計師簽證後再提董事會」，則該次董事會是否需先通過公司自結之財務報告，下一案再通過經會計師查核之財務報告，或兩案</w:t>
            </w:r>
            <w:proofErr w:type="gramStart"/>
            <w:r w:rsidR="003F755F" w:rsidRPr="00F4328B">
              <w:rPr>
                <w:rFonts w:ascii="標楷體" w:eastAsia="標楷體" w:hAnsi="標楷體" w:hint="eastAsia"/>
              </w:rPr>
              <w:t>併</w:t>
            </w:r>
            <w:proofErr w:type="gramEnd"/>
            <w:r w:rsidR="003F755F" w:rsidRPr="00F4328B">
              <w:rPr>
                <w:rFonts w:ascii="標楷體" w:eastAsia="標楷體" w:hAnsi="標楷體" w:hint="eastAsia"/>
              </w:rPr>
              <w:t>為一案通過即可？</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因</w:t>
            </w:r>
            <w:r w:rsidR="003F755F" w:rsidRPr="00F4328B">
              <w:rPr>
                <w:rFonts w:ascii="標楷體" w:eastAsia="標楷體" w:hAnsi="標楷體"/>
              </w:rPr>
              <w:t>IAS10規定報導期間後事後截至董事會通過日，而會計師意見亦應含</w:t>
            </w:r>
            <w:proofErr w:type="gramStart"/>
            <w:r w:rsidR="003F755F" w:rsidRPr="00F4328B">
              <w:rPr>
                <w:rFonts w:ascii="標楷體" w:eastAsia="標楷體" w:hAnsi="標楷體" w:hint="eastAsia"/>
              </w:rPr>
              <w:t>括</w:t>
            </w:r>
            <w:proofErr w:type="gramEnd"/>
            <w:r w:rsidR="003F755F" w:rsidRPr="00F4328B">
              <w:rPr>
                <w:rFonts w:ascii="標楷體" w:eastAsia="標楷體" w:hAnsi="標楷體" w:hint="eastAsia"/>
              </w:rPr>
              <w:t>報導期間後事項，且查國外會計師意見皆為公司董事會後或同一日，故我國會計師之簽證日期亦應於公司董事會日後。就實務而言，</w:t>
            </w:r>
            <w:r w:rsidR="003F755F" w:rsidRPr="00F4328B">
              <w:rPr>
                <w:rFonts w:ascii="標楷體" w:eastAsia="標楷體" w:hAnsi="標楷體"/>
              </w:rPr>
              <w:t>IFRS財報之查核報告日可能會延至與公司董事會核准同一天。</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w:t>
            </w:r>
            <w:r w:rsidR="003F755F" w:rsidRPr="00F4328B">
              <w:rPr>
                <w:rFonts w:ascii="標楷體" w:eastAsia="標楷體" w:hAnsi="標楷體"/>
              </w:rPr>
              <w:t>IAS10之規定，財務報告核准提出日為董事會通過日，會計師之意見應包括報導期間後之事項，是以</w:t>
            </w:r>
            <w:r w:rsidR="003F755F" w:rsidRPr="00F4328B">
              <w:rPr>
                <w:rFonts w:ascii="標楷體" w:eastAsia="標楷體" w:hAnsi="標楷體" w:hint="eastAsia"/>
              </w:rPr>
              <w:t>我國會計師簽證日期應於董事會後（或同一日），並未要求會計師簽證後再提董事會。</w:t>
            </w:r>
            <w:r w:rsidR="003F755F" w:rsidRPr="00F4328B">
              <w:rPr>
                <w:rFonts w:ascii="標楷體" w:eastAsia="標楷體" w:hAnsi="標楷體"/>
              </w:rPr>
              <w:t xml:space="preserve">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會計師查核簽證之</w:t>
            </w:r>
            <w:proofErr w:type="gramStart"/>
            <w:r w:rsidR="003F755F" w:rsidRPr="00F4328B">
              <w:rPr>
                <w:rFonts w:ascii="標楷體" w:eastAsia="標楷體" w:hAnsi="標楷體" w:hint="eastAsia"/>
              </w:rPr>
              <w:t>日期須落於</w:t>
            </w:r>
            <w:proofErr w:type="gramEnd"/>
            <w:r w:rsidR="003F755F" w:rsidRPr="00F4328B">
              <w:rPr>
                <w:rFonts w:ascii="標楷體" w:eastAsia="標楷體" w:hAnsi="標楷體" w:hint="eastAsia"/>
              </w:rPr>
              <w:t>董事會當日或之後，企業可與簽證會計師討論相關作業方式，分兩案或</w:t>
            </w:r>
            <w:proofErr w:type="gramStart"/>
            <w:r w:rsidR="003F755F" w:rsidRPr="00F4328B">
              <w:rPr>
                <w:rFonts w:ascii="標楷體" w:eastAsia="標楷體" w:hAnsi="標楷體" w:hint="eastAsia"/>
              </w:rPr>
              <w:t>併</w:t>
            </w:r>
            <w:proofErr w:type="gramEnd"/>
            <w:r w:rsidR="003F755F" w:rsidRPr="00F4328B">
              <w:rPr>
                <w:rFonts w:ascii="標楷體" w:eastAsia="標楷體" w:hAnsi="標楷體" w:hint="eastAsia"/>
              </w:rPr>
              <w:t>一案提</w:t>
            </w:r>
            <w:proofErr w:type="gramStart"/>
            <w:r w:rsidR="003F755F" w:rsidRPr="00F4328B">
              <w:rPr>
                <w:rFonts w:ascii="標楷體" w:eastAsia="標楷體" w:hAnsi="標楷體" w:hint="eastAsia"/>
              </w:rPr>
              <w:t>董事會均屬可行</w:t>
            </w:r>
            <w:proofErr w:type="gramEnd"/>
            <w:r w:rsidR="003F755F" w:rsidRPr="00F4328B">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報導期間後事項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14</w:t>
            </w:r>
          </w:p>
        </w:tc>
        <w:tc>
          <w:tcPr>
            <w:tcW w:w="5953" w:type="dxa"/>
            <w:tcBorders>
              <w:top w:val="single" w:sz="4" w:space="0" w:color="auto"/>
              <w:left w:val="single" w:sz="4" w:space="0" w:color="auto"/>
              <w:bottom w:val="single" w:sz="4" w:space="0" w:color="auto"/>
              <w:right w:val="single" w:sz="4" w:space="0" w:color="auto"/>
            </w:tcBorders>
          </w:tcPr>
          <w:p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rPr>
              <w:t>IAS12規定，公司是否應於盈餘產生年度認列未分配盈餘之所得稅費用？估計時可否考慮預期之盈餘分配？</w:t>
            </w:r>
          </w:p>
          <w:p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如公司估計未分配盈餘</w:t>
            </w:r>
            <w:r w:rsidR="003F755F" w:rsidRPr="00E52A6E">
              <w:rPr>
                <w:rFonts w:ascii="標楷體" w:eastAsia="標楷體" w:hAnsi="標楷體"/>
              </w:rPr>
              <w:t>所得稅負債時不應考量預期盈餘分配之效果，若公司訂有明確之股利政策（即公司之股利政策業經股東同意及符合公司章程規定），於計算加徵未分配盈餘</w:t>
            </w:r>
            <w:r w:rsidR="003F755F" w:rsidRPr="00E52A6E">
              <w:rPr>
                <w:rFonts w:ascii="標楷體" w:eastAsia="標楷體" w:hAnsi="標楷體" w:hint="eastAsia"/>
              </w:rPr>
              <w:t>所得稅負債時是否可先扣除該未來分配金額？</w:t>
            </w:r>
          </w:p>
          <w:p w:rsidR="00A34EF2" w:rsidRPr="00E52A6E" w:rsidRDefault="00A34EF2" w:rsidP="00EE0701">
            <w:pPr>
              <w:snapToGrid w:val="0"/>
              <w:ind w:left="240" w:hangingChars="100" w:hanging="240"/>
              <w:jc w:val="both"/>
              <w:rPr>
                <w:rFonts w:ascii="標楷體" w:eastAsia="標楷體" w:hAnsi="標楷體"/>
              </w:rPr>
            </w:pPr>
            <w:r w:rsidRPr="00E52A6E">
              <w:rPr>
                <w:rFonts w:ascii="標楷體" w:eastAsia="標楷體" w:hAnsi="標楷體" w:hint="eastAsia"/>
              </w:rPr>
              <w:t>3.我國公司法修正案業於107年7月6日三讀通過，</w:t>
            </w:r>
            <w:proofErr w:type="gramStart"/>
            <w:r w:rsidRPr="00E52A6E">
              <w:rPr>
                <w:rFonts w:ascii="標楷體" w:eastAsia="標楷體" w:hAnsi="標楷體" w:hint="eastAsia"/>
              </w:rPr>
              <w:t>其中第228</w:t>
            </w:r>
            <w:proofErr w:type="gramEnd"/>
            <w:r w:rsidRPr="00E52A6E">
              <w:rPr>
                <w:rFonts w:ascii="標楷體" w:eastAsia="標楷體" w:hAnsi="標楷體" w:hint="eastAsia"/>
              </w:rPr>
              <w:t>-1條規定公司章程得訂明盈餘分派或虧損撥補於每季或每半會計年度終了後為之，以現金分派者，經董事會決議即可。另證交所發布之「IFRSs問答集」</w:t>
            </w:r>
            <w:proofErr w:type="gramStart"/>
            <w:r w:rsidRPr="00E52A6E">
              <w:rPr>
                <w:rFonts w:ascii="標楷體" w:eastAsia="標楷體" w:hAnsi="標楷體" w:hint="eastAsia"/>
              </w:rPr>
              <w:t>之貳</w:t>
            </w:r>
            <w:proofErr w:type="gramEnd"/>
            <w:r w:rsidRPr="00E52A6E">
              <w:rPr>
                <w:rFonts w:ascii="標楷體" w:eastAsia="標楷體" w:hAnsi="標楷體" w:hint="eastAsia"/>
              </w:rPr>
              <w:t>、公報及會計處理第14題說明，當年度盈餘</w:t>
            </w:r>
            <w:proofErr w:type="gramStart"/>
            <w:r w:rsidRPr="00E52A6E">
              <w:rPr>
                <w:rFonts w:ascii="標楷體" w:eastAsia="標楷體" w:hAnsi="標楷體" w:hint="eastAsia"/>
              </w:rPr>
              <w:t>俟</w:t>
            </w:r>
            <w:proofErr w:type="gramEnd"/>
            <w:r w:rsidRPr="00E52A6E">
              <w:rPr>
                <w:rFonts w:ascii="標楷體" w:eastAsia="標楷體" w:hAnsi="標楷體" w:hint="eastAsia"/>
              </w:rPr>
              <w:t>次年度（第2年）股東會通過盈餘分配案後，企業始就實際盈餘之分配情形，認列未分配盈餘所得稅費用。</w:t>
            </w:r>
            <w:proofErr w:type="gramStart"/>
            <w:r w:rsidRPr="00E52A6E">
              <w:rPr>
                <w:rFonts w:ascii="標楷體" w:eastAsia="標楷體" w:hAnsi="標楷體" w:hint="eastAsia"/>
              </w:rPr>
              <w:t>惟</w:t>
            </w:r>
            <w:proofErr w:type="gramEnd"/>
            <w:r w:rsidRPr="00E52A6E">
              <w:rPr>
                <w:rFonts w:ascii="標楷體" w:eastAsia="標楷體" w:hAnsi="標楷體" w:hint="eastAsia"/>
              </w:rPr>
              <w:t>公司法修正案生效後，公司若於章程中</w:t>
            </w:r>
            <w:proofErr w:type="gramStart"/>
            <w:r w:rsidRPr="00E52A6E">
              <w:rPr>
                <w:rFonts w:ascii="標楷體" w:eastAsia="標楷體" w:hAnsi="標楷體" w:hint="eastAsia"/>
              </w:rPr>
              <w:t>訂明每季</w:t>
            </w:r>
            <w:proofErr w:type="gramEnd"/>
            <w:r w:rsidRPr="00E52A6E">
              <w:rPr>
                <w:rFonts w:ascii="標楷體" w:eastAsia="標楷體" w:hAnsi="標楷體" w:hint="eastAsia"/>
              </w:rPr>
              <w:t>盈餘分派比例，則是否得就未分配盈餘部分先行估列未分配盈餘所得稅費用，或應如何處理？</w:t>
            </w:r>
          </w:p>
          <w:p w:rsidR="003F755F" w:rsidRPr="00E52A6E" w:rsidRDefault="003F755F" w:rsidP="00B4132D">
            <w:pPr>
              <w:snapToGrid w:val="0"/>
              <w:ind w:left="240" w:hangingChars="100" w:hanging="24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hint="eastAsia"/>
              </w:rPr>
              <w:t>按現行台灣公司法規定，當年度盈餘分配須</w:t>
            </w:r>
            <w:proofErr w:type="gramStart"/>
            <w:r w:rsidR="003F755F" w:rsidRPr="00E52A6E">
              <w:rPr>
                <w:rFonts w:ascii="標楷體" w:eastAsia="標楷體" w:hAnsi="標楷體" w:hint="eastAsia"/>
              </w:rPr>
              <w:t>俟</w:t>
            </w:r>
            <w:proofErr w:type="gramEnd"/>
            <w:r w:rsidR="003F755F" w:rsidRPr="00E52A6E">
              <w:rPr>
                <w:rFonts w:ascii="標楷體" w:eastAsia="標楷體" w:hAnsi="標楷體" w:hint="eastAsia"/>
              </w:rPr>
              <w:t>次年股東會通過盈餘分配案後始得決定，因此適用</w:t>
            </w:r>
            <w:r w:rsidR="003F755F" w:rsidRPr="00E52A6E">
              <w:rPr>
                <w:rFonts w:ascii="標楷體" w:eastAsia="標楷體" w:hAnsi="標楷體"/>
              </w:rPr>
              <w:t>IAS 12</w:t>
            </w:r>
            <w:r w:rsidR="003F755F" w:rsidRPr="00E52A6E">
              <w:rPr>
                <w:rFonts w:ascii="標楷體" w:eastAsia="標楷體" w:hAnsi="標楷體" w:hint="eastAsia"/>
              </w:rPr>
              <w:t>之規定時，企業於盈餘產生年度（第</w:t>
            </w:r>
            <w:r w:rsidR="003F755F" w:rsidRPr="00E52A6E">
              <w:rPr>
                <w:rFonts w:ascii="標楷體" w:eastAsia="標楷體" w:hAnsi="標楷體"/>
              </w:rPr>
              <w:t>1</w:t>
            </w:r>
            <w:r w:rsidR="003F755F" w:rsidRPr="00E52A6E">
              <w:rPr>
                <w:rFonts w:ascii="標楷體" w:eastAsia="標楷體" w:hAnsi="標楷體" w:hint="eastAsia"/>
              </w:rPr>
              <w:t>年）僅須認</w:t>
            </w:r>
            <w:proofErr w:type="gramStart"/>
            <w:r w:rsidR="003F755F" w:rsidRPr="00E52A6E">
              <w:rPr>
                <w:rFonts w:ascii="標楷體" w:eastAsia="標楷體" w:hAnsi="標楷體" w:hint="eastAsia"/>
              </w:rPr>
              <w:t>列當期依所得稅法</w:t>
            </w:r>
            <w:proofErr w:type="gramEnd"/>
            <w:r w:rsidR="003F755F" w:rsidRPr="00E52A6E">
              <w:rPr>
                <w:rFonts w:ascii="標楷體" w:eastAsia="標楷體" w:hAnsi="標楷體" w:hint="eastAsia"/>
              </w:rPr>
              <w:t>第</w:t>
            </w:r>
            <w:r w:rsidR="003F755F" w:rsidRPr="00E52A6E">
              <w:rPr>
                <w:rFonts w:ascii="標楷體" w:eastAsia="標楷體" w:hAnsi="標楷體"/>
              </w:rPr>
              <w:t>5條第3項規定</w:t>
            </w:r>
            <w:r w:rsidR="003F755F" w:rsidRPr="00E52A6E">
              <w:rPr>
                <w:rFonts w:ascii="標楷體" w:eastAsia="標楷體" w:hAnsi="標楷體" w:hint="eastAsia"/>
              </w:rPr>
              <w:t>估算之所得稅，尚無須就未分配盈餘部分估列所得稅費用。</w:t>
            </w:r>
          </w:p>
          <w:p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當年盈餘</w:t>
            </w:r>
            <w:proofErr w:type="gramStart"/>
            <w:r w:rsidR="003F755F" w:rsidRPr="00E52A6E">
              <w:rPr>
                <w:rFonts w:ascii="標楷體" w:eastAsia="標楷體" w:hAnsi="標楷體" w:hint="eastAsia"/>
              </w:rPr>
              <w:t>俟</w:t>
            </w:r>
            <w:proofErr w:type="gramEnd"/>
            <w:r w:rsidR="003F755F" w:rsidRPr="00E52A6E">
              <w:rPr>
                <w:rFonts w:ascii="標楷體" w:eastAsia="標楷體" w:hAnsi="標楷體" w:hint="eastAsia"/>
              </w:rPr>
              <w:t>次年度（第</w:t>
            </w:r>
            <w:r w:rsidR="003F755F" w:rsidRPr="00E52A6E">
              <w:rPr>
                <w:rFonts w:ascii="標楷體" w:eastAsia="標楷體" w:hAnsi="標楷體"/>
              </w:rPr>
              <w:t>2年）股東會通過盈餘分配案後，企業始就實際盈餘之分配情形，認列</w:t>
            </w:r>
            <w:r w:rsidR="003F755F" w:rsidRPr="00E52A6E">
              <w:rPr>
                <w:rFonts w:ascii="標楷體" w:eastAsia="標楷體" w:hAnsi="標楷體" w:hint="eastAsia"/>
              </w:rPr>
              <w:t>未分配盈餘所得稅費用。</w:t>
            </w:r>
          </w:p>
          <w:p w:rsidR="003F755F" w:rsidRPr="00E52A6E" w:rsidRDefault="00B4132D" w:rsidP="00B4132D">
            <w:pPr>
              <w:snapToGrid w:val="0"/>
              <w:ind w:left="240" w:hangingChars="100" w:hanging="240"/>
              <w:rPr>
                <w:rFonts w:ascii="標楷體" w:eastAsia="標楷體" w:hAnsi="標楷體"/>
              </w:rPr>
            </w:pPr>
            <w:proofErr w:type="gramStart"/>
            <w:r w:rsidRPr="00E52A6E">
              <w:rPr>
                <w:rFonts w:ascii="標楷體" w:eastAsia="標楷體" w:hAnsi="標楷體" w:hint="eastAsia"/>
              </w:rPr>
              <w:t>1.</w:t>
            </w:r>
            <w:r w:rsidR="003F755F" w:rsidRPr="00E52A6E">
              <w:rPr>
                <w:rFonts w:ascii="標楷體" w:eastAsia="標楷體" w:hAnsi="標楷體"/>
              </w:rPr>
              <w:t>In</w:t>
            </w:r>
            <w:proofErr w:type="gramEnd"/>
            <w:r w:rsidR="003F755F" w:rsidRPr="00E52A6E">
              <w:rPr>
                <w:rFonts w:ascii="標楷體" w:eastAsia="標楷體" w:hAnsi="標楷體"/>
              </w:rPr>
              <w:t xml:space="preserve"> line with the Company act in Taiwan, the amount of the undistributed earnings of current year should be determined as the earning distribution proposal is approved by the Shareholders’ meeting in the subsequent year. Hence, while applying IAS 12, entities should merely </w:t>
            </w:r>
            <w:proofErr w:type="gramStart"/>
            <w:r w:rsidR="003F755F" w:rsidRPr="00E52A6E">
              <w:rPr>
                <w:rFonts w:ascii="標楷體" w:eastAsia="標楷體" w:hAnsi="標楷體"/>
              </w:rPr>
              <w:t>recognize  income</w:t>
            </w:r>
            <w:proofErr w:type="gramEnd"/>
            <w:r w:rsidR="003F755F" w:rsidRPr="00E52A6E">
              <w:rPr>
                <w:rFonts w:ascii="標楷體" w:eastAsia="標楷體" w:hAnsi="標楷體"/>
              </w:rPr>
              <w:t xml:space="preserve"> tax in the year generating earnings. Extra income tax expense of undistributed earnings of previous year calculated by subtracting dividend from earnings is not recognized until the shareholder’s meeting approves the proposal. </w:t>
            </w:r>
          </w:p>
          <w:p w:rsidR="004B4F9A" w:rsidRPr="00E52A6E" w:rsidRDefault="00B4132D" w:rsidP="004B4F9A">
            <w:pPr>
              <w:snapToGrid w:val="0"/>
              <w:ind w:left="240" w:hangingChars="100" w:hanging="240"/>
              <w:rPr>
                <w:rFonts w:ascii="標楷體" w:eastAsia="標楷體" w:hAnsi="標楷體"/>
              </w:rPr>
            </w:pPr>
            <w:proofErr w:type="gramStart"/>
            <w:r w:rsidRPr="00E52A6E">
              <w:rPr>
                <w:rFonts w:ascii="標楷體" w:eastAsia="標楷體" w:hAnsi="標楷體" w:hint="eastAsia"/>
              </w:rPr>
              <w:t>2.</w:t>
            </w:r>
            <w:r w:rsidR="003F755F" w:rsidRPr="00E52A6E">
              <w:rPr>
                <w:rFonts w:ascii="標楷體" w:eastAsia="標楷體" w:hAnsi="標楷體"/>
              </w:rPr>
              <w:t>The</w:t>
            </w:r>
            <w:proofErr w:type="gramEnd"/>
            <w:r w:rsidR="003F755F" w:rsidRPr="00E52A6E">
              <w:rPr>
                <w:rFonts w:ascii="標楷體" w:eastAsia="標楷體" w:hAnsi="標楷體"/>
              </w:rPr>
              <w:t xml:space="preserve"> income tax for undistributed earnings is recognized in the subsequent year when the distribution proposal is approved by the Shareholders’ meeting, and the amount of the undistributed earnings is determined in the meantime.</w:t>
            </w:r>
          </w:p>
          <w:p w:rsidR="00EE0701" w:rsidRPr="00E52A6E" w:rsidRDefault="00EE0701" w:rsidP="004B4F9A">
            <w:pPr>
              <w:snapToGrid w:val="0"/>
              <w:ind w:left="240" w:hangingChars="100" w:hanging="240"/>
              <w:rPr>
                <w:rFonts w:ascii="標楷體" w:eastAsia="標楷體" w:hAnsi="標楷體"/>
              </w:rPr>
            </w:pPr>
            <w:r w:rsidRPr="00E52A6E">
              <w:rPr>
                <w:rFonts w:ascii="標楷體" w:eastAsia="標楷體" w:hAnsi="標楷體" w:hint="eastAsia"/>
              </w:rPr>
              <w:t>3.公司法修正後，未分配盈餘所得稅費用之認列</w:t>
            </w:r>
            <w:r w:rsidR="004B4F9A" w:rsidRPr="00E52A6E">
              <w:rPr>
                <w:rFonts w:ascii="標楷體" w:eastAsia="標楷體" w:hAnsi="標楷體" w:hint="eastAsia"/>
              </w:rPr>
              <w:t xml:space="preserve"> </w:t>
            </w:r>
            <w:r w:rsidRPr="00E52A6E">
              <w:rPr>
                <w:rFonts w:ascii="標楷體" w:eastAsia="標楷體" w:hAnsi="標楷體" w:hint="eastAsia"/>
              </w:rPr>
              <w:t>仍按前揭方式處理。</w:t>
            </w:r>
          </w:p>
        </w:tc>
        <w:tc>
          <w:tcPr>
            <w:tcW w:w="1418" w:type="dxa"/>
            <w:tcBorders>
              <w:top w:val="single" w:sz="4" w:space="0" w:color="auto"/>
              <w:left w:val="single" w:sz="4" w:space="0" w:color="auto"/>
              <w:bottom w:val="single" w:sz="4" w:space="0" w:color="auto"/>
              <w:right w:val="single" w:sz="4" w:space="0" w:color="auto"/>
            </w:tcBorders>
          </w:tcPr>
          <w:p w:rsidR="003F755F" w:rsidRPr="00E52A6E" w:rsidRDefault="003F755F" w:rsidP="008B4DE4">
            <w:pPr>
              <w:autoSpaceDE w:val="0"/>
              <w:autoSpaceDN w:val="0"/>
              <w:adjustRightInd w:val="0"/>
              <w:snapToGrid w:val="0"/>
              <w:rPr>
                <w:rFonts w:ascii="標楷體" w:eastAsia="標楷體" w:hAnsi="標楷體"/>
              </w:rPr>
            </w:pPr>
            <w:r w:rsidRPr="00E52A6E">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E52A6E" w:rsidRDefault="00505925" w:rsidP="008B4DE4">
            <w:pPr>
              <w:snapToGrid w:val="0"/>
              <w:rPr>
                <w:rFonts w:ascii="標楷體" w:eastAsia="標楷體" w:hAnsi="標楷體"/>
              </w:rPr>
            </w:pPr>
            <w:r w:rsidRPr="00E52A6E">
              <w:rPr>
                <w:rFonts w:ascii="標楷體" w:eastAsia="標楷體" w:hAnsi="標楷體" w:hint="eastAsia"/>
              </w:rPr>
              <w:t>107.9.18新增3.</w:t>
            </w: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B4132D">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12</w:t>
            </w:r>
            <w:r w:rsidR="00B4132D">
              <w:rPr>
                <w:rFonts w:ascii="標楷體" w:eastAsia="標楷體" w:hAnsi="標楷體" w:hint="eastAsia"/>
              </w:rPr>
              <w:t>第</w:t>
            </w:r>
            <w:r w:rsidRPr="00F4328B">
              <w:rPr>
                <w:rFonts w:ascii="標楷體" w:eastAsia="標楷體" w:hAnsi="標楷體"/>
              </w:rPr>
              <w:t>4</w:t>
            </w:r>
            <w:r w:rsidR="00B4132D">
              <w:rPr>
                <w:rFonts w:ascii="標楷體" w:eastAsia="標楷體" w:hAnsi="標楷體" w:hint="eastAsia"/>
              </w:rPr>
              <w:t>段規定，</w:t>
            </w:r>
            <w:r w:rsidRPr="00F4328B">
              <w:rPr>
                <w:rFonts w:ascii="標楷體" w:eastAsia="標楷體" w:hAnsi="標楷體" w:hint="eastAsia"/>
              </w:rPr>
              <w:t>該準則不處理投資抵減之會計處理，另依</w:t>
            </w:r>
            <w:r w:rsidRPr="00F4328B">
              <w:rPr>
                <w:rFonts w:ascii="標楷體" w:eastAsia="標楷體" w:hAnsi="標楷體"/>
              </w:rPr>
              <w:t>IAS 20</w:t>
            </w:r>
            <w:r w:rsidR="00B4132D">
              <w:rPr>
                <w:rFonts w:ascii="標楷體" w:eastAsia="標楷體" w:hAnsi="標楷體" w:hint="eastAsia"/>
              </w:rPr>
              <w:t>第</w:t>
            </w:r>
            <w:r w:rsidRPr="00F4328B">
              <w:rPr>
                <w:rFonts w:ascii="標楷體" w:eastAsia="標楷體" w:hAnsi="標楷體"/>
              </w:rPr>
              <w:t>2(b)</w:t>
            </w:r>
            <w:r w:rsidR="00B4132D">
              <w:rPr>
                <w:rFonts w:ascii="標楷體" w:eastAsia="標楷體" w:hAnsi="標楷體" w:hint="eastAsia"/>
              </w:rPr>
              <w:t>段規定，</w:t>
            </w:r>
            <w:r w:rsidRPr="00F4328B">
              <w:rPr>
                <w:rFonts w:ascii="標楷體" w:eastAsia="標楷體" w:hAnsi="標楷體" w:hint="eastAsia"/>
              </w:rPr>
              <w:t>該準則不處理以給與企業可按有利之方式決定課稅所得或課稅損失，或以所得稅負債為基礎所決定或限制之政府輔助，包括投資抵減。則</w:t>
            </w:r>
            <w:r w:rsidR="00B4132D">
              <w:rPr>
                <w:rFonts w:ascii="標楷體" w:eastAsia="標楷體" w:hAnsi="標楷體" w:hint="eastAsia"/>
              </w:rPr>
              <w:t>先前</w:t>
            </w:r>
            <w:r w:rsidRPr="00F4328B">
              <w:rPr>
                <w:rFonts w:ascii="標楷體" w:eastAsia="標楷體" w:hAnsi="標楷體" w:hint="eastAsia"/>
              </w:rPr>
              <w:t>依</w:t>
            </w:r>
            <w:r w:rsidRPr="00F4328B">
              <w:rPr>
                <w:rFonts w:ascii="標楷體" w:eastAsia="標楷體" w:hAnsi="標楷體"/>
              </w:rPr>
              <w:t>ROC</w:t>
            </w:r>
            <w:r w:rsidR="00B4132D">
              <w:rPr>
                <w:rFonts w:ascii="標楷體" w:eastAsia="標楷體" w:hAnsi="標楷體" w:hint="eastAsia"/>
              </w:rPr>
              <w:t xml:space="preserve"> GAAP第</w:t>
            </w:r>
            <w:r w:rsidRPr="00F4328B">
              <w:rPr>
                <w:rFonts w:ascii="標楷體" w:eastAsia="標楷體" w:hAnsi="標楷體"/>
              </w:rPr>
              <w:t>12</w:t>
            </w:r>
            <w:r w:rsidRPr="00F4328B">
              <w:rPr>
                <w:rFonts w:ascii="標楷體" w:eastAsia="標楷體" w:hAnsi="標楷體" w:hint="eastAsia"/>
              </w:rPr>
              <w:t>號公報處理之購置設備之投資抵減，於採用</w:t>
            </w:r>
            <w:r w:rsidRPr="00F4328B">
              <w:rPr>
                <w:rFonts w:ascii="標楷體" w:eastAsia="標楷體" w:hAnsi="標楷體"/>
              </w:rPr>
              <w:t>IFRS</w:t>
            </w:r>
            <w:r w:rsidR="00B4132D">
              <w:rPr>
                <w:rFonts w:ascii="標楷體" w:eastAsia="標楷體" w:hAnsi="標楷體" w:hint="eastAsia"/>
              </w:rPr>
              <w:t>s</w:t>
            </w:r>
            <w:r w:rsidRPr="00F4328B">
              <w:rPr>
                <w:rFonts w:ascii="標楷體" w:eastAsia="標楷體" w:hAnsi="標楷體" w:hint="eastAsia"/>
              </w:rPr>
              <w:t>後，應類推適用</w:t>
            </w:r>
            <w:r w:rsidRPr="00F4328B">
              <w:rPr>
                <w:rFonts w:ascii="標楷體" w:eastAsia="標楷體" w:hAnsi="標楷體"/>
              </w:rPr>
              <w:t>IAS 12</w:t>
            </w:r>
            <w:r w:rsidRPr="00F4328B">
              <w:rPr>
                <w:rFonts w:ascii="標楷體" w:eastAsia="標楷體" w:hAnsi="標楷體" w:hint="eastAsia"/>
              </w:rPr>
              <w:t>或</w:t>
            </w:r>
            <w:r w:rsidRPr="00F4328B">
              <w:rPr>
                <w:rFonts w:ascii="標楷體" w:eastAsia="標楷體" w:hAnsi="標楷體"/>
              </w:rPr>
              <w:t>IAS 20</w:t>
            </w:r>
            <w:r w:rsidRPr="00F4328B">
              <w:rPr>
                <w:rFonts w:ascii="標楷體" w:eastAsia="標楷體" w:hAnsi="標楷體" w:hint="eastAsia"/>
              </w:rPr>
              <w:t>之會計處理？或可由企業作會計政策之選擇？</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可由企業作會計政策之選擇。</w:t>
            </w:r>
          </w:p>
          <w:p w:rsidR="003F755F" w:rsidRPr="00F4328B" w:rsidRDefault="003F755F" w:rsidP="008B4DE4">
            <w:pPr>
              <w:snapToGrid w:val="0"/>
              <w:rPr>
                <w:rFonts w:ascii="標楷體" w:eastAsia="標楷體" w:hAnsi="標楷體"/>
              </w:rPr>
            </w:pP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 xml:space="preserve">IFRS下，遞延所得稅資產及負債如何區分12個月內之部分於財務報表附註中揭露? </w:t>
            </w:r>
            <w:r w:rsidRPr="00F4328B">
              <w:rPr>
                <w:rFonts w:ascii="標楷體" w:eastAsia="標楷體" w:hAnsi="標楷體" w:hint="eastAsia"/>
              </w:rPr>
              <w:t>應按遞延所得稅產生項目之性質（原為流動科目產生者，即屬</w:t>
            </w:r>
            <w:r w:rsidRPr="00F4328B">
              <w:rPr>
                <w:rFonts w:ascii="標楷體" w:eastAsia="標楷體" w:hAnsi="標楷體"/>
              </w:rPr>
              <w:t>12個</w:t>
            </w:r>
            <w:r w:rsidRPr="00F4328B">
              <w:rPr>
                <w:rFonts w:ascii="標楷體" w:eastAsia="標楷體" w:hAnsi="標楷體" w:hint="eastAsia"/>
              </w:rPr>
              <w:t>月</w:t>
            </w:r>
            <w:r w:rsidRPr="00F4328B">
              <w:rPr>
                <w:rFonts w:ascii="標楷體" w:eastAsia="標楷體" w:hAnsi="標楷體"/>
              </w:rPr>
              <w:t>內）或是應按預期未來實現之</w:t>
            </w:r>
            <w:proofErr w:type="gramStart"/>
            <w:r w:rsidRPr="00F4328B">
              <w:rPr>
                <w:rFonts w:ascii="標楷體" w:eastAsia="標楷體" w:hAnsi="標楷體" w:hint="eastAsia"/>
              </w:rPr>
              <w:t>期間</w:t>
            </w:r>
            <w:r w:rsidRPr="00F4328B">
              <w:rPr>
                <w:rFonts w:ascii="標楷體" w:eastAsia="標楷體" w:hAnsi="標楷體"/>
              </w:rPr>
              <w:t>(</w:t>
            </w:r>
            <w:proofErr w:type="gramEnd"/>
            <w:r w:rsidRPr="00F4328B">
              <w:rPr>
                <w:rFonts w:ascii="標楷體" w:eastAsia="標楷體" w:hAnsi="標楷體"/>
              </w:rPr>
              <w:t>IAS 1第61段</w:t>
            </w:r>
            <w:proofErr w:type="gramStart"/>
            <w:r w:rsidRPr="00F4328B">
              <w:rPr>
                <w:rFonts w:ascii="標楷體" w:eastAsia="標楷體" w:hAnsi="標楷體" w:hint="eastAsia"/>
              </w:rPr>
              <w:t>）</w:t>
            </w:r>
            <w:proofErr w:type="gramEnd"/>
            <w:r w:rsidRPr="00F4328B">
              <w:rPr>
                <w:rFonts w:ascii="標楷體" w:eastAsia="標楷體" w:hAnsi="標楷體" w:hint="eastAsia"/>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w:t>
            </w:r>
            <w:r w:rsidR="00600AAA">
              <w:rPr>
                <w:rFonts w:ascii="標楷體" w:eastAsia="標楷體" w:hAnsi="標楷體" w:hint="eastAsia"/>
              </w:rPr>
              <w:t>第</w:t>
            </w:r>
            <w:r w:rsidRPr="00F4328B">
              <w:rPr>
                <w:rFonts w:ascii="標楷體" w:eastAsia="標楷體" w:hAnsi="標楷體"/>
              </w:rPr>
              <w:t>56</w:t>
            </w:r>
            <w:r w:rsidR="00600AAA">
              <w:rPr>
                <w:rFonts w:ascii="標楷體" w:eastAsia="標楷體" w:hAnsi="標楷體" w:hint="eastAsia"/>
              </w:rPr>
              <w:t>段</w:t>
            </w:r>
            <w:r w:rsidRPr="00F4328B">
              <w:rPr>
                <w:rFonts w:ascii="標楷體" w:eastAsia="標楷體" w:hAnsi="標楷體"/>
              </w:rPr>
              <w:t>「當企業於財務狀況表中按流動與非流動資產及流動與非流動負債之分類分別表達時，不得將遞延所得稅資產（負債）分類為流動資產（負債）。」，因此IAS 1中有關與流動及非流動區分之規定(包括IAS 1</w:t>
            </w:r>
            <w:r w:rsidR="00600AAA">
              <w:rPr>
                <w:rFonts w:ascii="標楷體" w:eastAsia="標楷體" w:hAnsi="標楷體" w:hint="eastAsia"/>
              </w:rPr>
              <w:t>第</w:t>
            </w:r>
            <w:r w:rsidRPr="00F4328B">
              <w:rPr>
                <w:rFonts w:ascii="標楷體" w:eastAsia="標楷體" w:hAnsi="標楷體"/>
              </w:rPr>
              <w:t>60</w:t>
            </w:r>
            <w:r w:rsidR="00600AAA">
              <w:rPr>
                <w:rFonts w:ascii="標楷體" w:eastAsia="標楷體" w:hAnsi="標楷體" w:hint="eastAsia"/>
              </w:rPr>
              <w:t>段至第</w:t>
            </w:r>
            <w:r w:rsidRPr="00F4328B">
              <w:rPr>
                <w:rFonts w:ascii="標楷體" w:eastAsia="標楷體" w:hAnsi="標楷體"/>
              </w:rPr>
              <w:t>65</w:t>
            </w:r>
            <w:r w:rsidR="00600AAA">
              <w:rPr>
                <w:rFonts w:ascii="標楷體" w:eastAsia="標楷體" w:hAnsi="標楷體" w:hint="eastAsia"/>
              </w:rPr>
              <w:t>段</w:t>
            </w:r>
            <w:r w:rsidRPr="00F4328B">
              <w:rPr>
                <w:rFonts w:ascii="標楷體" w:eastAsia="標楷體" w:hAnsi="標楷體"/>
              </w:rPr>
              <w:t>)應不適用於遞延所得稅資產（負債）。</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12</w:t>
            </w:r>
            <w:r w:rsidR="00600AAA">
              <w:rPr>
                <w:rFonts w:ascii="標楷體" w:eastAsia="標楷體" w:hAnsi="標楷體" w:hint="eastAsia"/>
              </w:rPr>
              <w:t>第</w:t>
            </w:r>
            <w:r w:rsidRPr="00F4328B">
              <w:rPr>
                <w:rFonts w:ascii="標楷體" w:eastAsia="標楷體" w:hAnsi="標楷體"/>
              </w:rPr>
              <w:t>74(a)</w:t>
            </w:r>
            <w:r w:rsidR="00600AAA">
              <w:rPr>
                <w:rFonts w:ascii="標楷體" w:eastAsia="標楷體" w:hAnsi="標楷體" w:hint="eastAsia"/>
              </w:rPr>
              <w:t>段</w:t>
            </w:r>
            <w:r w:rsidRPr="00F4328B">
              <w:rPr>
                <w:rFonts w:ascii="標楷體" w:eastAsia="標楷體" w:hAnsi="標楷體"/>
              </w:rPr>
              <w:t>及</w:t>
            </w:r>
            <w:r w:rsidR="00600AAA">
              <w:rPr>
                <w:rFonts w:ascii="標楷體" w:eastAsia="標楷體" w:hAnsi="標楷體" w:hint="eastAsia"/>
              </w:rPr>
              <w:t>第</w:t>
            </w:r>
            <w:r w:rsidRPr="00F4328B">
              <w:rPr>
                <w:rFonts w:ascii="標楷體" w:eastAsia="標楷體" w:hAnsi="標楷體"/>
              </w:rPr>
              <w:t>75</w:t>
            </w:r>
            <w:r w:rsidR="00600AAA">
              <w:rPr>
                <w:rFonts w:ascii="標楷體" w:eastAsia="標楷體" w:hAnsi="標楷體" w:hint="eastAsia"/>
              </w:rPr>
              <w:t>段</w:t>
            </w:r>
            <w:r w:rsidRPr="00F4328B">
              <w:rPr>
                <w:rFonts w:ascii="標楷體" w:eastAsia="標楷體" w:hAnsi="標楷體"/>
              </w:rPr>
              <w:t>之規定，企業在有法定執行權將當期所得稅資產及當期所得稅負債互抵時，始應將遞延所得稅資產及遞延所得稅負債互抵。</w:t>
            </w:r>
            <w:r w:rsidR="00600AAA">
              <w:rPr>
                <w:rFonts w:ascii="標楷體" w:eastAsia="標楷體" w:hAnsi="標楷體" w:hint="eastAsia"/>
              </w:rPr>
              <w:t>請問：</w:t>
            </w:r>
            <w:r w:rsidRPr="00F4328B">
              <w:rPr>
                <w:rFonts w:ascii="標楷體" w:eastAsia="標楷體" w:hAnsi="標楷體" w:hint="eastAsia"/>
              </w:rPr>
              <w:t>就台灣稅制而言，當期所得稅資產及當期所得稅負債是否具有法定執行權予以互抵？</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當期所得稅資產及當期所得稅負債不具有得予以互抵之法定執行權。</w:t>
            </w:r>
            <w:proofErr w:type="gramStart"/>
            <w:r w:rsidRPr="00F4328B">
              <w:rPr>
                <w:rFonts w:ascii="標楷體" w:eastAsia="標楷體" w:hAnsi="標楷體" w:hint="eastAsia"/>
              </w:rPr>
              <w:t>（</w:t>
            </w:r>
            <w:proofErr w:type="gramEnd"/>
            <w:r w:rsidRPr="00F4328B">
              <w:rPr>
                <w:rFonts w:ascii="標楷體" w:eastAsia="標楷體" w:hAnsi="標楷體" w:hint="eastAsia"/>
              </w:rPr>
              <w:t>依</w:t>
            </w:r>
            <w:r w:rsidRPr="00F4328B">
              <w:rPr>
                <w:rFonts w:ascii="標楷體" w:eastAsia="標楷體" w:hAnsi="標楷體"/>
              </w:rPr>
              <w:t xml:space="preserve">IAS12第12段之規定，本期及前期之當期所得稅尚未支付之範圍應認列為負債。若與本期及前期有關之已支付金額超過該等期間應付金額，則超過之部分應認列為資產。                     </w:t>
            </w:r>
            <w:r w:rsidR="00453AB8">
              <w:rPr>
                <w:rFonts w:ascii="標楷體" w:eastAsia="標楷體" w:hAnsi="標楷體" w:hint="eastAsia"/>
              </w:rPr>
              <w:t xml:space="preserve">                               </w:t>
            </w:r>
            <w:r w:rsidRPr="00F4328B">
              <w:rPr>
                <w:rFonts w:ascii="標楷體" w:eastAsia="標楷體" w:hAnsi="標楷體" w:hint="eastAsia"/>
              </w:rPr>
              <w:t>營利事業依所得稅法繳納暫繳稅額並依全年應納稅</w:t>
            </w:r>
            <w:proofErr w:type="gramStart"/>
            <w:r w:rsidRPr="00F4328B">
              <w:rPr>
                <w:rFonts w:ascii="標楷體" w:eastAsia="標楷體" w:hAnsi="標楷體" w:hint="eastAsia"/>
              </w:rPr>
              <w:t>額減除暫</w:t>
            </w:r>
            <w:proofErr w:type="gramEnd"/>
            <w:r w:rsidRPr="00F4328B">
              <w:rPr>
                <w:rFonts w:ascii="標楷體" w:eastAsia="標楷體" w:hAnsi="標楷體" w:hint="eastAsia"/>
              </w:rPr>
              <w:t>繳稅額等計算其應納之結算稅額並非當期所得稅資產與當期所得稅負債互抵。故依</w:t>
            </w:r>
            <w:r w:rsidRPr="00F4328B">
              <w:rPr>
                <w:rFonts w:ascii="標楷體" w:eastAsia="標楷體" w:hAnsi="標楷體"/>
              </w:rPr>
              <w:t>IAS12第74段之規定，企業若無法定執行權將當期所得稅資產及當期所得稅負債互抵，則不得將遞延所得稅資產及遞延所得稅負債互抵。）</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有關建設公司出售建案之土地，所產生之土地增值稅，於</w:t>
            </w:r>
            <w:r w:rsidRPr="00F4328B">
              <w:rPr>
                <w:rFonts w:ascii="標楷體" w:eastAsia="標楷體" w:hAnsi="標楷體"/>
              </w:rPr>
              <w:t>IFRS下，是否與一般非建設公司一樣，列為所得稅費用?（因該項土增稅若列為所得稅費用，將使建設公司之營業毛利上</w:t>
            </w:r>
            <w:r w:rsidRPr="00F4328B">
              <w:rPr>
                <w:rFonts w:ascii="標楷體" w:eastAsia="標楷體" w:hAnsi="標楷體" w:hint="eastAsia"/>
              </w:rPr>
              <w:t>升）</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建設公司仍應列為所得稅費用。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right="62"/>
              <w:jc w:val="center"/>
              <w:rPr>
                <w:rFonts w:ascii="標楷體" w:eastAsia="標楷體" w:hAnsi="標楷體"/>
              </w:rPr>
            </w:pPr>
            <w:r>
              <w:rPr>
                <w:rFonts w:ascii="標楷體" w:eastAsia="標楷體" w:hAnsi="標楷體"/>
              </w:rPr>
              <w:t>1</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有關於零件或備品</w:t>
            </w:r>
            <w:r w:rsidRPr="00F4328B">
              <w:rPr>
                <w:rFonts w:ascii="標楷體" w:eastAsia="標楷體" w:hAnsi="標楷體"/>
              </w:rPr>
              <w:t>(spare parts)，是否須提列折舊，</w:t>
            </w:r>
            <w:proofErr w:type="gramStart"/>
            <w:r w:rsidRPr="00F4328B">
              <w:rPr>
                <w:rFonts w:ascii="標楷體" w:eastAsia="標楷體" w:hAnsi="標楷體" w:hint="eastAsia"/>
              </w:rPr>
              <w:t>抑或至領用</w:t>
            </w:r>
            <w:proofErr w:type="gramEnd"/>
            <w:r w:rsidRPr="00F4328B">
              <w:rPr>
                <w:rFonts w:ascii="標楷體" w:eastAsia="標楷體" w:hAnsi="標楷體" w:hint="eastAsia"/>
              </w:rPr>
              <w:t>後再隨相關資產提列折舊？固定資產折舊已提列完畢，惟尚在使用中之資產是否需揭露？</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依IAS16</w:t>
            </w:r>
            <w:r>
              <w:rPr>
                <w:rFonts w:ascii="標楷體" w:eastAsia="標楷體" w:hAnsi="標楷體" w:hint="eastAsia"/>
              </w:rPr>
              <w:t>第</w:t>
            </w:r>
            <w:r w:rsidR="003F755F" w:rsidRPr="00F4328B">
              <w:rPr>
                <w:rFonts w:ascii="標楷體" w:eastAsia="標楷體" w:hAnsi="標楷體" w:hint="eastAsia"/>
              </w:rPr>
              <w:t>8</w:t>
            </w:r>
            <w:r>
              <w:rPr>
                <w:rFonts w:ascii="標楷體" w:eastAsia="標楷體" w:hAnsi="標楷體" w:hint="eastAsia"/>
              </w:rPr>
              <w:t>段</w:t>
            </w:r>
            <w:r w:rsidR="003F755F" w:rsidRPr="00F4328B">
              <w:rPr>
                <w:rFonts w:ascii="標楷體" w:eastAsia="標楷體" w:hAnsi="標楷體" w:hint="eastAsia"/>
              </w:rPr>
              <w:t>規定，備用零件或設備符合不動產、廠房及設備之定義時，應依IAS16規定認列。因此，依IAS16</w:t>
            </w:r>
            <w:r>
              <w:rPr>
                <w:rFonts w:ascii="標楷體" w:eastAsia="標楷體" w:hAnsi="標楷體" w:hint="eastAsia"/>
              </w:rPr>
              <w:t>第</w:t>
            </w:r>
            <w:r w:rsidR="003F755F" w:rsidRPr="00F4328B">
              <w:rPr>
                <w:rFonts w:ascii="標楷體" w:eastAsia="標楷體" w:hAnsi="標楷體" w:hint="eastAsia"/>
              </w:rPr>
              <w:t>55</w:t>
            </w:r>
            <w:r>
              <w:rPr>
                <w:rFonts w:ascii="標楷體" w:eastAsia="標楷體" w:hAnsi="標楷體" w:hint="eastAsia"/>
              </w:rPr>
              <w:t>段</w:t>
            </w:r>
            <w:r w:rsidR="003F755F" w:rsidRPr="00F4328B">
              <w:rPr>
                <w:rFonts w:ascii="標楷體" w:eastAsia="標楷體" w:hAnsi="標楷體" w:hint="eastAsia"/>
              </w:rPr>
              <w:t xml:space="preserve">規定，資產之折舊始於該資產達可供使用時，亦即達到能符合管理階層預期運作方式之必要狀態及地點時，並應考量減損議題。惟若備用零件或設備不符合不動產、廠房及設備之定義時，則應分類為存貨。 </w:t>
            </w:r>
          </w:p>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另有關不動產、廠房及設備折舊已提列完畢，惟尚在使用者，依IAS16第79段規定，鼓勵予以揭露。</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不動產、廠房及設備</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20</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有關短期</w:t>
            </w:r>
            <w:proofErr w:type="gramStart"/>
            <w:r w:rsidRPr="00F4328B">
              <w:rPr>
                <w:rFonts w:ascii="標楷體" w:eastAsia="標楷體" w:hAnsi="標楷體" w:hint="eastAsia"/>
              </w:rPr>
              <w:t>帶薪假</w:t>
            </w:r>
            <w:proofErr w:type="gramEnd"/>
            <w:r w:rsidRPr="00F4328B">
              <w:rPr>
                <w:rFonts w:ascii="標楷體" w:eastAsia="標楷體" w:hAnsi="標楷體" w:hint="eastAsia"/>
              </w:rPr>
              <w:t>，如某公司員工帶薪休假規定為，員工服務滿</w:t>
            </w:r>
            <w:r w:rsidRPr="00F4328B">
              <w:rPr>
                <w:rFonts w:ascii="標楷體" w:eastAsia="標楷體" w:hAnsi="標楷體"/>
              </w:rPr>
              <w:t>1</w:t>
            </w:r>
            <w:r w:rsidRPr="00F4328B">
              <w:rPr>
                <w:rFonts w:ascii="標楷體" w:eastAsia="標楷體" w:hAnsi="標楷體" w:hint="eastAsia"/>
              </w:rPr>
              <w:t>年後可依其服務年資給予</w:t>
            </w:r>
            <w:r w:rsidRPr="00F4328B">
              <w:rPr>
                <w:rFonts w:ascii="標楷體" w:eastAsia="標楷體" w:hAnsi="標楷體"/>
              </w:rPr>
              <w:t>7~30</w:t>
            </w:r>
            <w:r w:rsidRPr="00F4328B">
              <w:rPr>
                <w:rFonts w:ascii="標楷體" w:eastAsia="標楷體" w:hAnsi="標楷體" w:hint="eastAsia"/>
              </w:rPr>
              <w:t>天不等之帶薪休假，當年度未休完之帶薪休假，公司統一於</w:t>
            </w:r>
            <w:r w:rsidRPr="00F4328B">
              <w:rPr>
                <w:rFonts w:ascii="標楷體" w:eastAsia="標楷體" w:hAnsi="標楷體"/>
              </w:rPr>
              <w:t>12</w:t>
            </w:r>
            <w:r w:rsidRPr="00F4328B">
              <w:rPr>
                <w:rFonts w:ascii="標楷體" w:eastAsia="標楷體" w:hAnsi="標楷體" w:hint="eastAsia"/>
              </w:rPr>
              <w:t>月底前發給不休假獎金，但是不能保留至下年度繼續使用。依</w:t>
            </w:r>
            <w:r w:rsidRPr="00F4328B">
              <w:rPr>
                <w:rFonts w:ascii="標楷體" w:eastAsia="標楷體" w:hAnsi="標楷體"/>
              </w:rPr>
              <w:t>IAS19</w:t>
            </w:r>
            <w:r w:rsidRPr="00F4328B">
              <w:rPr>
                <w:rFonts w:ascii="標楷體" w:eastAsia="標楷體" w:hAnsi="標楷體" w:hint="eastAsia"/>
              </w:rPr>
              <w:t>號第15段規定，累積帶</w:t>
            </w:r>
            <w:proofErr w:type="gramStart"/>
            <w:r w:rsidRPr="00F4328B">
              <w:rPr>
                <w:rFonts w:ascii="標楷體" w:eastAsia="標楷體" w:hAnsi="標楷體" w:hint="eastAsia"/>
              </w:rPr>
              <w:t>薪假係</w:t>
            </w:r>
            <w:proofErr w:type="gramEnd"/>
            <w:r w:rsidRPr="00F4328B">
              <w:rPr>
                <w:rFonts w:ascii="標楷體" w:eastAsia="標楷體" w:hAnsi="標楷體" w:hint="eastAsia"/>
              </w:rPr>
              <w:t>指「若當期休假之應得權利未全數用完時，</w:t>
            </w:r>
            <w:proofErr w:type="gramStart"/>
            <w:r w:rsidRPr="00F4328B">
              <w:rPr>
                <w:rFonts w:ascii="標楷體" w:eastAsia="標楷體" w:hAnsi="標楷體" w:hint="eastAsia"/>
              </w:rPr>
              <w:t>遞轉後期</w:t>
            </w:r>
            <w:proofErr w:type="gramEnd"/>
            <w:r w:rsidRPr="00F4328B">
              <w:rPr>
                <w:rFonts w:ascii="標楷體" w:eastAsia="標楷體" w:hAnsi="標楷體" w:hint="eastAsia"/>
              </w:rPr>
              <w:t>而可於未來期間使用之</w:t>
            </w:r>
            <w:proofErr w:type="gramStart"/>
            <w:r w:rsidRPr="00F4328B">
              <w:rPr>
                <w:rFonts w:ascii="標楷體" w:eastAsia="標楷體" w:hAnsi="標楷體" w:hint="eastAsia"/>
              </w:rPr>
              <w:t>帶薪假</w:t>
            </w:r>
            <w:proofErr w:type="gramEnd"/>
            <w:r w:rsidRPr="00F4328B">
              <w:rPr>
                <w:rFonts w:ascii="標楷體" w:eastAsia="標楷體" w:hAnsi="標楷體" w:hint="eastAsia"/>
              </w:rPr>
              <w:t>」，因該公司之休假不能保留至下年度繼續使用，故該休假政策係屬累積或是非累積？估列費用之時點為何？</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屬累積，應於員工服務年度估列費用。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美金是否得以視為台灣當地之慣用貨幣？</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B4132D">
            <w:pPr>
              <w:snapToGrid w:val="0"/>
              <w:rPr>
                <w:rFonts w:ascii="標楷體" w:eastAsia="標楷體" w:hAnsi="標楷體"/>
              </w:rPr>
            </w:pPr>
            <w:r w:rsidRPr="00F4328B">
              <w:rPr>
                <w:rFonts w:ascii="標楷體" w:eastAsia="標楷體" w:hAnsi="標楷體" w:hint="eastAsia"/>
              </w:rPr>
              <w:t>美金得視為國際商業交易之慣用貨幣。依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C.7</w:t>
            </w:r>
            <w:r w:rsidR="00B4132D">
              <w:rPr>
                <w:rFonts w:ascii="標楷體" w:eastAsia="標楷體" w:hAnsi="標楷體" w:hint="eastAsia"/>
              </w:rPr>
              <w:t>段</w:t>
            </w:r>
            <w:r w:rsidRPr="00F4328B">
              <w:rPr>
                <w:rFonts w:ascii="標楷體" w:eastAsia="標楷體" w:hAnsi="標楷體"/>
              </w:rPr>
              <w:t>之規定，企業應視個別買賣契約之交易貨幣是否為(1)在國際商業交易之商品慣用貨幣(2)購買或出售非金融項目之交易所處經濟環境慣用之貨幣，判斷該貨幣是否為慣用貨幣，</w:t>
            </w:r>
            <w:proofErr w:type="gramStart"/>
            <w:r w:rsidRPr="00F4328B">
              <w:rPr>
                <w:rFonts w:ascii="標楷體" w:eastAsia="標楷體" w:hAnsi="標楷體" w:hint="eastAsia"/>
              </w:rPr>
              <w:t>此外，</w:t>
            </w:r>
            <w:proofErr w:type="gramEnd"/>
            <w:r w:rsidRPr="00F4328B">
              <w:rPr>
                <w:rFonts w:ascii="標楷體" w:eastAsia="標楷體" w:hAnsi="標楷體" w:hint="eastAsia"/>
              </w:rPr>
              <w:t>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C.9</w:t>
            </w:r>
            <w:r w:rsidR="00B4132D">
              <w:rPr>
                <w:rFonts w:ascii="標楷體" w:eastAsia="標楷體" w:hAnsi="標楷體" w:hint="eastAsia"/>
              </w:rPr>
              <w:t>段</w:t>
            </w:r>
            <w:r w:rsidRPr="00F4328B">
              <w:rPr>
                <w:rFonts w:ascii="標楷體" w:eastAsia="標楷體" w:hAnsi="標楷體"/>
              </w:rPr>
              <w:t>之規定，在國際商業交易中相關商品或勞務價格之慣用貨幣，僅為國際間類似交易所使用之貨幣，而非僅於某地區使用之貨幣，重要合約一方之所在地對特定商品或勞務之商業交易所使用之貨幣，不得視為慣用貨幣。</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功能性貨幣</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A公司持有B子公司70%股權、持有C子公司100%股權，B公司持有D子公司52%股權。集團進行組織架構重組，C與D公司(營業性質相同)進行合併，D公司發行</w:t>
            </w:r>
            <w:proofErr w:type="gramStart"/>
            <w:r w:rsidRPr="00F4328B">
              <w:rPr>
                <w:rFonts w:ascii="標楷體" w:eastAsia="標楷體" w:hAnsi="標楷體" w:hint="eastAsia"/>
              </w:rPr>
              <w:t>新股予</w:t>
            </w:r>
            <w:proofErr w:type="gramEnd"/>
            <w:r w:rsidRPr="00F4328B">
              <w:rPr>
                <w:rFonts w:ascii="標楷體" w:eastAsia="標楷體" w:hAnsi="標楷體"/>
              </w:rPr>
              <w:t>A公司，購買A公司所持有之100%C公司股權，合併後C公司為消滅公司，並更名為E公司。組織重組後A公司持有E公司60%股權(子公司)、B公司持有E公司25%股權並按權益法處理。問題：B公司為國內公開發行公司，就B公司個別報表而言，該組織重組造成B公司對D公司(後稱E公司)喪失控制，IFRS下B公司是否應依</w:t>
            </w:r>
            <w:r w:rsidRPr="00F4328B">
              <w:rPr>
                <w:rFonts w:ascii="標楷體" w:eastAsia="標楷體" w:hAnsi="標楷體" w:hint="eastAsia"/>
              </w:rPr>
              <w:t>IFRS10.25</w:t>
            </w:r>
            <w:r w:rsidRPr="00F4328B">
              <w:rPr>
                <w:rFonts w:ascii="標楷體" w:eastAsia="標楷體" w:hAnsi="標楷體"/>
              </w:rPr>
              <w:t xml:space="preserve">之規定按喪失控制處理，A公司報表再視為共同控制處理？ </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B公司個別財務報表及A公司合併</w:t>
            </w:r>
            <w:proofErr w:type="gramStart"/>
            <w:r w:rsidRPr="00F4328B">
              <w:rPr>
                <w:rFonts w:ascii="標楷體" w:eastAsia="標楷體" w:hAnsi="標楷體" w:hint="eastAsia"/>
              </w:rPr>
              <w:t>財務報表均應視為</w:t>
            </w:r>
            <w:proofErr w:type="gramEnd"/>
            <w:r w:rsidRPr="00F4328B">
              <w:rPr>
                <w:rFonts w:ascii="標楷體" w:eastAsia="標楷體" w:hAnsi="標楷體" w:hint="eastAsia"/>
              </w:rPr>
              <w:t>共同控制下組織重組處理，不得認列損益。</w:t>
            </w:r>
          </w:p>
          <w:p w:rsidR="003F755F" w:rsidRPr="00F4328B" w:rsidRDefault="003F755F" w:rsidP="008B4DE4">
            <w:pPr>
              <w:snapToGrid w:val="0"/>
              <w:ind w:left="36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合併及個體財報</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t>1.</w:t>
            </w:r>
            <w:r w:rsidRPr="00F4328B">
              <w:rPr>
                <w:rFonts w:ascii="標楷體" w:eastAsia="標楷體" w:hAnsi="標楷體"/>
              </w:rPr>
              <w:t xml:space="preserve">關聯企業發行認股權/轉換權(權益工具)，投資公司應如何處理？ </w:t>
            </w:r>
          </w:p>
          <w:p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t>2.</w:t>
            </w:r>
            <w:r w:rsidRPr="00F4328B">
              <w:rPr>
                <w:rFonts w:ascii="標楷體" w:eastAsia="標楷體" w:hAnsi="標楷體"/>
              </w:rPr>
              <w:t xml:space="preserve">子公司發行認股權/轉換權(權益工具)，母公司個體財務報表應如何處理？ </w:t>
            </w:r>
          </w:p>
          <w:p w:rsidR="003F755F" w:rsidRPr="00F4328B" w:rsidRDefault="003F755F" w:rsidP="00600AAA">
            <w:pPr>
              <w:snapToGrid w:val="0"/>
              <w:ind w:left="240" w:hangingChars="100" w:hanging="24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w:t>
            </w:r>
            <w:r w:rsidRPr="00F4328B">
              <w:rPr>
                <w:rFonts w:ascii="標楷體" w:eastAsia="標楷體" w:hAnsi="標楷體"/>
              </w:rPr>
              <w:t>當關聯企業發生非OCI及損益之</w:t>
            </w:r>
            <w:r w:rsidRPr="00F4328B">
              <w:rPr>
                <w:rFonts w:ascii="標楷體" w:eastAsia="標楷體" w:hAnsi="標楷體" w:hint="eastAsia"/>
              </w:rPr>
              <w:t>權益變動且不影響投資公司對其持股比例時，投資公司得選擇將所有權益</w:t>
            </w:r>
            <w:proofErr w:type="gramStart"/>
            <w:r w:rsidRPr="00F4328B">
              <w:rPr>
                <w:rFonts w:ascii="標楷體" w:eastAsia="標楷體" w:hAnsi="標楷體" w:hint="eastAsia"/>
              </w:rPr>
              <w:t>變動均按持股</w:t>
            </w:r>
            <w:proofErr w:type="gramEnd"/>
            <w:r w:rsidRPr="00F4328B">
              <w:rPr>
                <w:rFonts w:ascii="標楷體" w:eastAsia="標楷體" w:hAnsi="標楷體" w:hint="eastAsia"/>
              </w:rPr>
              <w:t>比例認列</w:t>
            </w:r>
            <w:r w:rsidRPr="00F4328B">
              <w:rPr>
                <w:rFonts w:ascii="標楷體" w:eastAsia="標楷體" w:hAnsi="標楷體"/>
              </w:rPr>
              <w:t>(option 1)，或判斷屬投資公司可享有關聯企業</w:t>
            </w:r>
            <w:proofErr w:type="gramStart"/>
            <w:r w:rsidRPr="00F4328B">
              <w:rPr>
                <w:rFonts w:ascii="標楷體" w:eastAsia="標楷體" w:hAnsi="標楷體" w:hint="eastAsia"/>
              </w:rPr>
              <w:t>份額下之</w:t>
            </w:r>
            <w:proofErr w:type="gramEnd"/>
            <w:r w:rsidRPr="00F4328B">
              <w:rPr>
                <w:rFonts w:ascii="標楷體" w:eastAsia="標楷體" w:hAnsi="標楷體" w:hint="eastAsia"/>
              </w:rPr>
              <w:t>權益變動按持股比例認列</w:t>
            </w:r>
            <w:r w:rsidRPr="00F4328B">
              <w:rPr>
                <w:rFonts w:ascii="標楷體" w:eastAsia="標楷體" w:hAnsi="標楷體"/>
              </w:rPr>
              <w:t>(option 2)。 Option 1&amp;2下之會計</w:t>
            </w:r>
            <w:proofErr w:type="gramStart"/>
            <w:r w:rsidRPr="00F4328B">
              <w:rPr>
                <w:rFonts w:ascii="標楷體" w:eastAsia="標楷體" w:hAnsi="標楷體" w:hint="eastAsia"/>
              </w:rPr>
              <w:t>科目均為</w:t>
            </w:r>
            <w:proofErr w:type="gramEnd"/>
            <w:r w:rsidRPr="00F4328B">
              <w:rPr>
                <w:rFonts w:ascii="標楷體" w:eastAsia="標楷體" w:hAnsi="標楷體" w:hint="eastAsia"/>
              </w:rPr>
              <w:t>「</w:t>
            </w:r>
            <w:r w:rsidRPr="00F4328B">
              <w:rPr>
                <w:rFonts w:ascii="標楷體" w:eastAsia="標楷體" w:hAnsi="標楷體"/>
              </w:rPr>
              <w:t>3260</w:t>
            </w:r>
            <w:r w:rsidRPr="00F4328B">
              <w:rPr>
                <w:rFonts w:ascii="標楷體" w:eastAsia="標楷體" w:hAnsi="標楷體" w:hint="eastAsia"/>
              </w:rPr>
              <w:t>資本公積</w:t>
            </w:r>
            <w:proofErr w:type="gramStart"/>
            <w:r w:rsidRPr="00F4328B">
              <w:rPr>
                <w:rFonts w:ascii="標楷體" w:eastAsia="標楷體" w:hAnsi="標楷體" w:hint="eastAsia"/>
              </w:rPr>
              <w:t>—</w:t>
            </w:r>
            <w:proofErr w:type="gramEnd"/>
            <w:r w:rsidRPr="00F4328B">
              <w:rPr>
                <w:rFonts w:ascii="標楷體" w:eastAsia="標楷體" w:hAnsi="標楷體" w:hint="eastAsia"/>
              </w:rPr>
              <w:t>採用權益法認列關聯企業及合資股權淨值之變動數」，且於後續處分關聯企業時，該資本</w:t>
            </w:r>
            <w:proofErr w:type="gramStart"/>
            <w:r w:rsidRPr="00F4328B">
              <w:rPr>
                <w:rFonts w:ascii="標楷體" w:eastAsia="標楷體" w:hAnsi="標楷體" w:hint="eastAsia"/>
              </w:rPr>
              <w:t>公積按處分</w:t>
            </w:r>
            <w:proofErr w:type="gramEnd"/>
            <w:r w:rsidRPr="00F4328B">
              <w:rPr>
                <w:rFonts w:ascii="標楷體" w:eastAsia="標楷體" w:hAnsi="標楷體" w:hint="eastAsia"/>
              </w:rPr>
              <w:t xml:space="preserve">比例轉列損益。 </w:t>
            </w:r>
          </w:p>
          <w:p w:rsidR="003F755F" w:rsidRPr="00F4328B" w:rsidRDefault="003F755F" w:rsidP="008B4DE4">
            <w:pPr>
              <w:snapToGrid w:val="0"/>
              <w:rPr>
                <w:rFonts w:ascii="標楷體" w:eastAsia="標楷體" w:hAnsi="標楷體"/>
              </w:rPr>
            </w:pPr>
          </w:p>
          <w:p w:rsidR="003F755F" w:rsidRPr="00F4328B" w:rsidRDefault="003F755F" w:rsidP="008B4DE4">
            <w:pPr>
              <w:snapToGrid w:val="0"/>
              <w:rPr>
                <w:rFonts w:ascii="標楷體" w:eastAsia="標楷體" w:hAnsi="標楷體"/>
              </w:rPr>
            </w:pPr>
            <w:proofErr w:type="gramStart"/>
            <w:r w:rsidRPr="00F4328B">
              <w:rPr>
                <w:rFonts w:ascii="標楷體" w:eastAsia="標楷體" w:hAnsi="標楷體"/>
              </w:rPr>
              <w:t>註</w:t>
            </w:r>
            <w:proofErr w:type="gramEnd"/>
            <w:r w:rsidRPr="00F4328B">
              <w:rPr>
                <w:rFonts w:ascii="標楷體" w:eastAsia="標楷體" w:hAnsi="標楷體"/>
              </w:rPr>
              <w:t>：以關聯企業發行認股權為例，於option 1下將按持股比例認列；於option 2下將不予認列。若該認股權未來因持有人未執行選擇權而失效時，於option 1下不須調整；於option 2下將按當時持股比例認列。</w:t>
            </w:r>
          </w:p>
          <w:p w:rsidR="003F755F" w:rsidRPr="00F4328B" w:rsidRDefault="003F755F" w:rsidP="008B4DE4">
            <w:pPr>
              <w:snapToGrid w:val="0"/>
              <w:rPr>
                <w:rFonts w:ascii="標楷體" w:eastAsia="標楷體" w:hAnsi="標楷體"/>
              </w:rPr>
            </w:pP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w:t>
            </w:r>
            <w:r w:rsidRPr="00F4328B">
              <w:rPr>
                <w:rFonts w:ascii="標楷體" w:eastAsia="標楷體" w:hAnsi="標楷體"/>
              </w:rPr>
              <w:t>母公司於個體財務報表下對子公司非OCI及損益之權益變動且不影響母公司對其控制力時之會計處理仍維持與合併財務報表一致之基礎，亦即僅認列合併財務報表下歸屬於母公司權益之變動數(與1.之option 2作法相同)。母公司認</w:t>
            </w:r>
            <w:proofErr w:type="gramStart"/>
            <w:r w:rsidRPr="00F4328B">
              <w:rPr>
                <w:rFonts w:ascii="標楷體" w:eastAsia="標楷體" w:hAnsi="標楷體" w:hint="eastAsia"/>
              </w:rPr>
              <w:t>列子</w:t>
            </w:r>
            <w:proofErr w:type="gramEnd"/>
            <w:r w:rsidRPr="00F4328B">
              <w:rPr>
                <w:rFonts w:ascii="標楷體" w:eastAsia="標楷體" w:hAnsi="標楷體" w:hint="eastAsia"/>
              </w:rPr>
              <w:t>公司上述權益變動數之會計科目係與子公司帳上之權益變動科目相同，以使得母公司個體財務報表權益表達與合併財務報表下之母公司權益表達方式一致。</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關聯企業</w:t>
            </w:r>
            <w:r w:rsidRPr="00F4328B">
              <w:rPr>
                <w:rFonts w:ascii="標楷體" w:eastAsia="標楷體" w:hAnsi="標楷體" w:hint="eastAsia"/>
              </w:rPr>
              <w:t>淨資產變動</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資產</w:t>
            </w:r>
            <w:proofErr w:type="gramStart"/>
            <w:r w:rsidRPr="00F4328B">
              <w:rPr>
                <w:rFonts w:ascii="標楷體" w:eastAsia="標楷體" w:hAnsi="標楷體" w:hint="eastAsia"/>
              </w:rPr>
              <w:t>負債表日公允</w:t>
            </w:r>
            <w:proofErr w:type="gramEnd"/>
            <w:r w:rsidRPr="00F4328B">
              <w:rPr>
                <w:rFonts w:ascii="標楷體" w:eastAsia="標楷體" w:hAnsi="標楷體" w:hint="eastAsia"/>
              </w:rPr>
              <w:t>價值是否得</w:t>
            </w:r>
            <w:proofErr w:type="gramStart"/>
            <w:r w:rsidRPr="00F4328B">
              <w:rPr>
                <w:rFonts w:ascii="標楷體" w:eastAsia="標楷體" w:hAnsi="標楷體" w:hint="eastAsia"/>
              </w:rPr>
              <w:t>採</w:t>
            </w:r>
            <w:proofErr w:type="gramEnd"/>
            <w:r w:rsidRPr="00F4328B">
              <w:rPr>
                <w:rFonts w:ascii="標楷體" w:eastAsia="標楷體" w:hAnsi="標楷體" w:hint="eastAsia"/>
              </w:rPr>
              <w:t>「發行人募集與發行有價證券處理準則」第</w:t>
            </w:r>
            <w:r w:rsidRPr="00F4328B">
              <w:rPr>
                <w:rFonts w:ascii="標楷體" w:eastAsia="標楷體" w:hAnsi="標楷體"/>
              </w:rPr>
              <w:t>14條第5項所規定於</w:t>
            </w:r>
            <w:proofErr w:type="gramStart"/>
            <w:r w:rsidRPr="00F4328B">
              <w:rPr>
                <w:rFonts w:ascii="標楷體" w:eastAsia="標楷體" w:hAnsi="標楷體" w:hint="eastAsia"/>
              </w:rPr>
              <w:t>決定興櫃公司</w:t>
            </w:r>
            <w:proofErr w:type="gramEnd"/>
            <w:r w:rsidRPr="00F4328B">
              <w:rPr>
                <w:rFonts w:ascii="標楷體" w:eastAsia="標楷體" w:hAnsi="標楷體" w:hint="eastAsia"/>
              </w:rPr>
              <w:t>發行各項</w:t>
            </w:r>
            <w:proofErr w:type="gramStart"/>
            <w:r w:rsidRPr="00F4328B">
              <w:rPr>
                <w:rFonts w:ascii="標楷體" w:eastAsia="標楷體" w:hAnsi="標楷體" w:hint="eastAsia"/>
              </w:rPr>
              <w:t>認股權其認股</w:t>
            </w:r>
            <w:proofErr w:type="gramEnd"/>
            <w:r w:rsidRPr="00F4328B">
              <w:rPr>
                <w:rFonts w:ascii="標楷體" w:eastAsia="標楷體" w:hAnsi="標楷體" w:hint="eastAsia"/>
              </w:rPr>
              <w:t>價格之計算方式決定，即採用資產</w:t>
            </w:r>
            <w:proofErr w:type="gramStart"/>
            <w:r w:rsidRPr="00F4328B">
              <w:rPr>
                <w:rFonts w:ascii="標楷體" w:eastAsia="標楷體" w:hAnsi="標楷體" w:hint="eastAsia"/>
              </w:rPr>
              <w:t>負債表日</w:t>
            </w:r>
            <w:proofErr w:type="gramEnd"/>
            <w:r w:rsidRPr="00F4328B">
              <w:rPr>
                <w:rFonts w:ascii="標楷體" w:eastAsia="標楷體" w:hAnsi="標楷體" w:hint="eastAsia"/>
              </w:rPr>
              <w:t>（含）前</w:t>
            </w:r>
            <w:r w:rsidRPr="00F4328B">
              <w:rPr>
                <w:rFonts w:ascii="標楷體" w:eastAsia="標楷體" w:hAnsi="標楷體"/>
              </w:rPr>
              <w:t>30個營業</w:t>
            </w:r>
            <w:proofErr w:type="gramStart"/>
            <w:r w:rsidRPr="00F4328B">
              <w:rPr>
                <w:rFonts w:ascii="標楷體" w:eastAsia="標楷體" w:hAnsi="標楷體" w:hint="eastAsia"/>
              </w:rPr>
              <w:t>日興櫃股票</w:t>
            </w:r>
            <w:proofErr w:type="gramEnd"/>
            <w:r w:rsidRPr="00F4328B">
              <w:rPr>
                <w:rFonts w:ascii="標楷體" w:eastAsia="標楷體" w:hAnsi="標楷體" w:hint="eastAsia"/>
              </w:rPr>
              <w:t>電腦議價點選系統內</w:t>
            </w:r>
            <w:proofErr w:type="gramStart"/>
            <w:r w:rsidRPr="00F4328B">
              <w:rPr>
                <w:rFonts w:ascii="標楷體" w:eastAsia="標楷體" w:hAnsi="標楷體" w:hint="eastAsia"/>
              </w:rPr>
              <w:t>該興櫃</w:t>
            </w:r>
            <w:proofErr w:type="gramEnd"/>
            <w:r w:rsidRPr="00F4328B">
              <w:rPr>
                <w:rFonts w:ascii="標楷體" w:eastAsia="標楷體" w:hAnsi="標楷體" w:hint="eastAsia"/>
              </w:rPr>
              <w:t>股票普通股之每一營業日成交金額之總和除以每一營業日成交股數之總和計算？</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IFRS13定義公允價值為於衡量日，在現時市場狀況下，在主要（或最有利）市場之有秩序之交易中出售資產所能收取或移轉負債所需支付之價格（即退出價格），不論該價格係直接可觀察或採用另一評價技術所估計。用以衡量公允價值之評價技術應最大化</w:t>
            </w:r>
            <w:proofErr w:type="gramStart"/>
            <w:r w:rsidRPr="00F4328B">
              <w:rPr>
                <w:rFonts w:ascii="標楷體" w:eastAsia="標楷體" w:hAnsi="標楷體" w:hint="eastAsia"/>
              </w:rPr>
              <w:t>攸關可</w:t>
            </w:r>
            <w:proofErr w:type="gramEnd"/>
            <w:r w:rsidRPr="00F4328B">
              <w:rPr>
                <w:rFonts w:ascii="標楷體" w:eastAsia="標楷體" w:hAnsi="標楷體" w:hint="eastAsia"/>
              </w:rPr>
              <w:t>觀察輸入值之使用並最小化不可觀察輸入值之使用。可觀察輸入值包括第1等級與第2等級輸入值，第1等級為企業於衡量日對相同資產或負債可取得之活絡市場報價（未經調整）。活絡市場之報價提供公允價值之最可靠證據，且一旦可得時應不加調整用以衡量公允價值。第2等級輸入值為資產或負債直接或間接之可觀察輸入值(第1等級除外)。</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2.企業於衡量公允價值時，應優先使用活絡市場之報價，若不可得時，使用其他可觀察輸入值並加以調整；若可觀察輸入值皆不可得時，應採用評價技術衡量公允價值，例如收益法或市場法。</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3.</w:t>
            </w:r>
            <w:proofErr w:type="gramStart"/>
            <w:r w:rsidRPr="00F4328B">
              <w:rPr>
                <w:rFonts w:ascii="標楷體" w:eastAsia="標楷體" w:hAnsi="標楷體" w:hint="eastAsia"/>
              </w:rPr>
              <w:t>有關興櫃股票</w:t>
            </w:r>
            <w:proofErr w:type="gramEnd"/>
            <w:r w:rsidRPr="00F4328B">
              <w:rPr>
                <w:rFonts w:ascii="標楷體" w:eastAsia="標楷體" w:hAnsi="標楷體" w:hint="eastAsia"/>
              </w:rPr>
              <w:t>之公允價值應依上述流程評估，以衡量日為基礎，不宜直接採用</w:t>
            </w:r>
            <w:proofErr w:type="gramStart"/>
            <w:r w:rsidRPr="00F4328B">
              <w:rPr>
                <w:rFonts w:ascii="標楷體" w:eastAsia="標楷體" w:hAnsi="標楷體" w:hint="eastAsia"/>
              </w:rPr>
              <w:t>30日均價作為</w:t>
            </w:r>
            <w:proofErr w:type="gramEnd"/>
            <w:r w:rsidRPr="00F4328B">
              <w:rPr>
                <w:rFonts w:ascii="標楷體" w:eastAsia="標楷體" w:hAnsi="標楷體" w:hint="eastAsia"/>
              </w:rPr>
              <w:t>公允價值。</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目前編製準則針對股票之評價係以收盤價為公允價值，惟</w:t>
            </w:r>
            <w:r w:rsidRPr="00F4328B">
              <w:rPr>
                <w:rFonts w:ascii="標楷體" w:eastAsia="標楷體" w:hAnsi="標楷體"/>
              </w:rPr>
              <w:t xml:space="preserve">IFRS 9規範應以Bid </w:t>
            </w:r>
            <w:r w:rsidRPr="00F4328B">
              <w:rPr>
                <w:rFonts w:ascii="標楷體" w:eastAsia="標楷體" w:hAnsi="標楷體" w:hint="eastAsia"/>
              </w:rPr>
              <w:t>或</w:t>
            </w:r>
            <w:r w:rsidRPr="00F4328B">
              <w:rPr>
                <w:rFonts w:ascii="標楷體" w:eastAsia="標楷體" w:hAnsi="標楷體"/>
              </w:rPr>
              <w:t xml:space="preserve">Ask </w:t>
            </w:r>
            <w:r w:rsidRPr="00F4328B">
              <w:rPr>
                <w:rFonts w:ascii="標楷體" w:eastAsia="標楷體" w:hAnsi="標楷體" w:hint="eastAsia"/>
              </w:rPr>
              <w:t>為評價。請問未來適用</w:t>
            </w:r>
            <w:r w:rsidRPr="00F4328B">
              <w:rPr>
                <w:rFonts w:ascii="標楷體" w:eastAsia="標楷體" w:hAnsi="標楷體"/>
              </w:rPr>
              <w:t xml:space="preserve">IFRS </w:t>
            </w:r>
            <w:r w:rsidRPr="00F4328B">
              <w:rPr>
                <w:rFonts w:ascii="標楷體" w:eastAsia="標楷體" w:hAnsi="標楷體" w:hint="eastAsia"/>
              </w:rPr>
              <w:t>之後，股票之公允價值評價是否仍以收盤價為依據</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國內上市櫃公司之公允價值可採用收盤價。</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40第79段規定投資性不動產若選擇以成本模式者仍需於年度報告揭露其公</w:t>
            </w:r>
            <w:r w:rsidRPr="00F4328B">
              <w:rPr>
                <w:rFonts w:ascii="標楷體" w:eastAsia="標楷體" w:hAnsi="標楷體" w:hint="eastAsia"/>
              </w:rPr>
              <w:t>允價值，此將導致企業財報揭露成本之可能增加，未來投資性不動產之公允價值揭露可否以房仲業之報價資訊為參考揭露資訊？亦或強制需要專業估價師之估價資料以為佐證？</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IAS40鼓勵但不要求企業須以獨立評價人員（具備經認可之相關專業資格，並對所評價之投資性不動產之地點及類型於近期內有相關經驗）之評價為基礎。企業應依</w:t>
            </w:r>
            <w:r w:rsidRPr="00F4328B">
              <w:rPr>
                <w:rFonts w:ascii="標楷體" w:eastAsia="標楷體" w:hAnsi="標楷體" w:hint="eastAsia"/>
              </w:rPr>
              <w:t>證劵發行人財務報告編製準則及</w:t>
            </w:r>
            <w:r w:rsidRPr="00F4328B">
              <w:rPr>
                <w:rFonts w:ascii="標楷體" w:eastAsia="標楷體" w:hAnsi="標楷體"/>
              </w:rPr>
              <w:t>IFRS13</w:t>
            </w:r>
            <w:r w:rsidRPr="00F4328B">
              <w:rPr>
                <w:rFonts w:ascii="標楷體" w:eastAsia="標楷體" w:hAnsi="標楷體" w:hint="eastAsia"/>
              </w:rPr>
              <w:t>等</w:t>
            </w:r>
            <w:r w:rsidRPr="00F4328B">
              <w:rPr>
                <w:rFonts w:ascii="標楷體" w:eastAsia="標楷體" w:hAnsi="標楷體"/>
              </w:rPr>
              <w:t>相</w:t>
            </w:r>
            <w:r w:rsidRPr="00F4328B">
              <w:rPr>
                <w:rFonts w:ascii="標楷體" w:eastAsia="標楷體" w:hAnsi="標楷體" w:hint="eastAsia"/>
              </w:rPr>
              <w:t>關規定，決定投資性不動產之公允價值。</w:t>
            </w:r>
          </w:p>
          <w:p w:rsidR="003F755F" w:rsidRPr="00F4328B" w:rsidRDefault="003F755F" w:rsidP="008B4DE4">
            <w:pPr>
              <w:snapToGrid w:val="0"/>
              <w:ind w:left="360" w:hangingChars="150" w:hanging="360"/>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hangingChars="150" w:hanging="36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w:t>
            </w:r>
            <w:r w:rsidRPr="00F4328B">
              <w:rPr>
                <w:rFonts w:ascii="標楷體" w:eastAsia="標楷體" w:hAnsi="標楷體"/>
              </w:rPr>
              <w:t>IAS 16(出租予他人)與IAS40(收取租金或增產增值目的)針對租賃資產定義之問題，國內物流公司若提供部份倉庫專供外界租賃，</w:t>
            </w:r>
            <w:proofErr w:type="gramStart"/>
            <w:r w:rsidRPr="00F4328B">
              <w:rPr>
                <w:rFonts w:ascii="標楷體" w:eastAsia="標楷體" w:hAnsi="標楷體" w:hint="eastAsia"/>
              </w:rPr>
              <w:t>因物流</w:t>
            </w:r>
            <w:proofErr w:type="gramEnd"/>
            <w:r w:rsidRPr="00F4328B">
              <w:rPr>
                <w:rFonts w:ascii="標楷體" w:eastAsia="標楷體" w:hAnsi="標楷體" w:hint="eastAsia"/>
              </w:rPr>
              <w:t>公司以租賃為主業，故</w:t>
            </w:r>
            <w:proofErr w:type="gramStart"/>
            <w:r w:rsidRPr="00F4328B">
              <w:rPr>
                <w:rFonts w:ascii="標楷體" w:eastAsia="標楷體" w:hAnsi="標楷體" w:hint="eastAsia"/>
              </w:rPr>
              <w:t>以往均將該</w:t>
            </w:r>
            <w:proofErr w:type="gramEnd"/>
            <w:r w:rsidRPr="00F4328B">
              <w:rPr>
                <w:rFonts w:ascii="標楷體" w:eastAsia="標楷體" w:hAnsi="標楷體" w:hint="eastAsia"/>
              </w:rPr>
              <w:t>租賃倉庫分類於固定資產項下。在採用</w:t>
            </w:r>
            <w:r w:rsidRPr="00F4328B">
              <w:rPr>
                <w:rFonts w:ascii="標楷體" w:eastAsia="標楷體" w:hAnsi="標楷體"/>
              </w:rPr>
              <w:t>IFRS下，如以單純收取倉租(無物流配送管理)為業之物流公司，其不動產物業會計科目分類究係屬不動產、廠房設備項下？亦或投資性不動產項下？</w:t>
            </w: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t xml:space="preserve">1.固定資產原則上適用IAS16，但若屬IAS40之適用範圍者，則應適用IAS40。                            </w:t>
            </w:r>
            <w:r>
              <w:rPr>
                <w:rFonts w:ascii="標楷體" w:eastAsia="標楷體" w:hAnsi="標楷體"/>
              </w:rPr>
              <w:t xml:space="preserve">                              </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依IAS40之定義，投資性不動產係指為賺取租金或資本增值或兩者兼具，而由所有者或融資租賃之承租人所持有之不動產（土地或建築物之全部或一部分，或兩者皆有）。故若出租之標的為土地或建築物，應適用IAS40，其他資產則適用IAS16。另若物流公司提供之倉庫租賃並未同時提供重大之附屬服務，該倉庫應分類為投資性不動產。</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投資性不動產</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3D0A5A">
        <w:trPr>
          <w:trHeight w:val="181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關聯企業係因僅具重大影響力而非控制力，如該關聯企業無法配合企業之會計政策，若要求由企業自行評估、調整、計算差異，實務上除資料不易取得且需額外增加成本外，另不同行業之專業判斷亦涉及不同領域，公司應如何處理？</w:t>
            </w:r>
            <w:r w:rsidRPr="00F4328B">
              <w:rPr>
                <w:rFonts w:ascii="標楷體" w:eastAsia="標楷體" w:hAnsi="標楷體"/>
              </w:rPr>
              <w:t xml:space="preserve"> </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若關聯企業對相似情況下之類似交易及事件採用與投資者不同之會計政策，投資者於採用權益法之關聯企業財務報表應予調整，以使關聯企業之會計政策符合投資者之會計政策。</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因台灣銀行大約</w:t>
            </w:r>
            <w:r w:rsidRPr="00F4328B">
              <w:rPr>
                <w:rFonts w:ascii="標楷體" w:eastAsia="標楷體" w:hAnsi="標楷體"/>
              </w:rPr>
              <w:t>2月中下旬才會於網站上公布退休基金運用狀況，若公司出具財務報告時點較早，即無法揭露勞工退休準備金資產</w:t>
            </w:r>
            <w:r w:rsidRPr="00F4328B">
              <w:rPr>
                <w:rFonts w:ascii="標楷體" w:eastAsia="標楷體" w:hAnsi="標楷體" w:hint="eastAsia"/>
              </w:rPr>
              <w:t>配置之資訊，亦即此資訊揭露可能會受限於台灣銀行公布時點。</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勞工退休基金資產運用之資料包括臺灣銀行提供基金</w:t>
            </w:r>
            <w:proofErr w:type="gramStart"/>
            <w:r w:rsidRPr="00F4328B">
              <w:rPr>
                <w:rFonts w:ascii="標楷體" w:eastAsia="標楷體" w:hAnsi="標楷體" w:hint="eastAsia"/>
              </w:rPr>
              <w:t>提撥</w:t>
            </w:r>
            <w:proofErr w:type="gramEnd"/>
            <w:r w:rsidRPr="00F4328B">
              <w:rPr>
                <w:rFonts w:ascii="標楷體" w:eastAsia="標楷體" w:hAnsi="標楷體" w:hint="eastAsia"/>
              </w:rPr>
              <w:t>及收益率，以及勞委會網站公布基金資產配置等資訊，企業在勞委會網站公布資訊前出具財務報告，可於揭露中載明此一訊息，並可提及依勞委會網站公布資訊為</w:t>
            </w:r>
            <w:proofErr w:type="gramStart"/>
            <w:r w:rsidRPr="00F4328B">
              <w:rPr>
                <w:rFonts w:ascii="標楷體" w:eastAsia="標楷體" w:hAnsi="標楷體" w:hint="eastAsia"/>
              </w:rPr>
              <w:t>準</w:t>
            </w:r>
            <w:proofErr w:type="gramEnd"/>
            <w:r w:rsidRPr="00F4328B">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30</w:t>
            </w:r>
          </w:p>
        </w:tc>
        <w:tc>
          <w:tcPr>
            <w:tcW w:w="5953" w:type="dxa"/>
            <w:tcBorders>
              <w:top w:val="single" w:sz="4" w:space="0" w:color="auto"/>
              <w:left w:val="single" w:sz="4" w:space="0" w:color="auto"/>
              <w:bottom w:val="single" w:sz="4" w:space="0" w:color="auto"/>
              <w:right w:val="single" w:sz="4" w:space="0" w:color="auto"/>
            </w:tcBorders>
          </w:tcPr>
          <w:p w:rsidR="0040117C"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rPr>
              <w:t>IAS 19之再衡量數，若公司選擇表達於其他權益者，</w:t>
            </w:r>
            <w:r w:rsidR="003F755F" w:rsidRPr="0040117C">
              <w:rPr>
                <w:rFonts w:ascii="標楷體" w:eastAsia="標楷體" w:hAnsi="標楷體"/>
              </w:rPr>
              <w:t>當確定福利義務計畫結清時，是否可轉列保留盈餘？</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rPr>
              <w:t>子公司或關聯企業如選擇將再</w:t>
            </w:r>
            <w:proofErr w:type="gramStart"/>
            <w:r w:rsidR="003F755F" w:rsidRPr="00600AAA">
              <w:rPr>
                <w:rFonts w:ascii="標楷體" w:eastAsia="標楷體" w:hAnsi="標楷體" w:hint="eastAsia"/>
              </w:rPr>
              <w:t>衡量數認列</w:t>
            </w:r>
            <w:proofErr w:type="gramEnd"/>
            <w:r w:rsidR="003F755F" w:rsidRPr="00600AAA">
              <w:rPr>
                <w:rFonts w:ascii="標楷體" w:eastAsia="標楷體" w:hAnsi="標楷體" w:hint="eastAsia"/>
              </w:rPr>
              <w:t>於其他權益項下，於喪失子公司控制及關聯企業重大影響時，是否可轉列保留盈餘？</w:t>
            </w:r>
          </w:p>
        </w:tc>
        <w:tc>
          <w:tcPr>
            <w:tcW w:w="5245" w:type="dxa"/>
            <w:tcBorders>
              <w:top w:val="single" w:sz="4" w:space="0" w:color="auto"/>
              <w:left w:val="single" w:sz="4" w:space="0" w:color="auto"/>
              <w:bottom w:val="single" w:sz="4" w:space="0" w:color="auto"/>
              <w:right w:val="single" w:sz="4" w:space="0" w:color="auto"/>
            </w:tcBorders>
          </w:tcPr>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hint="eastAsia"/>
              </w:rPr>
              <w:t>公司應審慎評估選擇其會計政策，一旦決定將再衡量數表達於其他股東權益項下，後續應一致適用。</w:t>
            </w:r>
            <w:r w:rsidR="003F755F" w:rsidRPr="00600AAA">
              <w:rPr>
                <w:rFonts w:ascii="標楷體" w:eastAsia="標楷體" w:hAnsi="標楷體"/>
              </w:rPr>
              <w:t xml:space="preserve"> </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hint="eastAsia"/>
              </w:rPr>
              <w:t>金融保險業目的事業主管機關如有特別規定，金融保險業應從其規定。</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3.</w:t>
            </w:r>
            <w:r w:rsidR="003F755F" w:rsidRPr="00600AAA">
              <w:rPr>
                <w:rFonts w:ascii="標楷體" w:eastAsia="標楷體" w:hAnsi="標楷體" w:hint="eastAsia"/>
              </w:rPr>
              <w:t>子公司或關聯企業配合母公司或投資者之會計政策選擇將再</w:t>
            </w:r>
            <w:proofErr w:type="gramStart"/>
            <w:r w:rsidR="003F755F" w:rsidRPr="00600AAA">
              <w:rPr>
                <w:rFonts w:ascii="標楷體" w:eastAsia="標楷體" w:hAnsi="標楷體" w:hint="eastAsia"/>
              </w:rPr>
              <w:t>衡量數認列</w:t>
            </w:r>
            <w:proofErr w:type="gramEnd"/>
            <w:r w:rsidR="003F755F" w:rsidRPr="00600AAA">
              <w:rPr>
                <w:rFonts w:ascii="標楷體" w:eastAsia="標楷體" w:hAnsi="標楷體" w:hint="eastAsia"/>
              </w:rPr>
              <w:t>於其他權益項下，母公司或投資者依權益法認列其他綜合損益</w:t>
            </w:r>
            <w:r w:rsidR="003F755F" w:rsidRPr="00600AAA">
              <w:rPr>
                <w:rFonts w:ascii="標楷體" w:eastAsia="標楷體" w:hAnsi="標楷體"/>
              </w:rPr>
              <w:t>-確定福利計畫再衡量數並結轉其他權益，嗣後於喪失子公司控制及關聯企業重大影響時，該其他權益不應轉列保留盈餘。</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19將確定給付成本分為三大組成部分：服務成本、淨利息、再衡量數。雖然淨利息組成部分係屬確定給付資產或負債之折現影響數，惟與員工福利相關，其究應</w:t>
            </w:r>
            <w:proofErr w:type="gramStart"/>
            <w:r w:rsidRPr="00F4328B">
              <w:rPr>
                <w:rFonts w:ascii="標楷體" w:eastAsia="標楷體" w:hAnsi="標楷體" w:hint="eastAsia"/>
              </w:rPr>
              <w:t>應</w:t>
            </w:r>
            <w:proofErr w:type="gramEnd"/>
            <w:r w:rsidRPr="00F4328B">
              <w:rPr>
                <w:rFonts w:ascii="標楷體" w:eastAsia="標楷體" w:hAnsi="標楷體" w:hint="eastAsia"/>
              </w:rPr>
              <w:t>列報於</w:t>
            </w:r>
            <w:r w:rsidRPr="00F4328B">
              <w:rPr>
                <w:rFonts w:ascii="標楷體" w:eastAsia="標楷體" w:hAnsi="標楷體"/>
              </w:rPr>
              <w:t>IAS1第82段之財</w:t>
            </w:r>
            <w:proofErr w:type="gramStart"/>
            <w:r w:rsidRPr="00F4328B">
              <w:rPr>
                <w:rFonts w:ascii="標楷體" w:eastAsia="標楷體" w:hAnsi="標楷體" w:hint="eastAsia"/>
              </w:rPr>
              <w:t>務</w:t>
            </w:r>
            <w:proofErr w:type="gramEnd"/>
            <w:r w:rsidRPr="00F4328B">
              <w:rPr>
                <w:rFonts w:ascii="標楷體" w:eastAsia="標楷體" w:hAnsi="標楷體" w:hint="eastAsia"/>
              </w:rPr>
              <w:t>成本項目，或與服務成本組成部分</w:t>
            </w:r>
            <w:proofErr w:type="gramStart"/>
            <w:r w:rsidRPr="00F4328B">
              <w:rPr>
                <w:rFonts w:ascii="標楷體" w:eastAsia="標楷體" w:hAnsi="標楷體" w:hint="eastAsia"/>
              </w:rPr>
              <w:t>併</w:t>
            </w:r>
            <w:proofErr w:type="gramEnd"/>
            <w:r w:rsidRPr="00F4328B">
              <w:rPr>
                <w:rFonts w:ascii="標楷體" w:eastAsia="標楷體" w:hAnsi="標楷體" w:hint="eastAsia"/>
              </w:rPr>
              <w:t>同列報</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確定给付成本之淨利息組成部分宜帳列員工福利費用。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19.142規定財務報告應揭露計畫資產公允價值之類別，</w:t>
            </w:r>
            <w:proofErr w:type="gramStart"/>
            <w:r w:rsidRPr="00F4328B">
              <w:rPr>
                <w:rFonts w:ascii="標楷體" w:eastAsia="標楷體" w:hAnsi="標楷體" w:hint="eastAsia"/>
              </w:rPr>
              <w:t>併</w:t>
            </w:r>
            <w:proofErr w:type="gramEnd"/>
            <w:r w:rsidRPr="00F4328B">
              <w:rPr>
                <w:rFonts w:ascii="標楷體" w:eastAsia="標楷體" w:hAnsi="標楷體" w:hint="eastAsia"/>
              </w:rPr>
              <w:t>須將各類別計畫資產分為於活絡市場有</w:t>
            </w:r>
            <w:r w:rsidRPr="00F4328B">
              <w:rPr>
                <w:rFonts w:ascii="標楷體" w:eastAsia="標楷體" w:hAnsi="標楷體"/>
              </w:rPr>
              <w:t>/無市場報價者。</w:t>
            </w:r>
            <w:proofErr w:type="gramStart"/>
            <w:r w:rsidRPr="00F4328B">
              <w:rPr>
                <w:rFonts w:ascii="標楷體" w:eastAsia="標楷體" w:hAnsi="標楷體" w:hint="eastAsia"/>
              </w:rPr>
              <w:t>惟</w:t>
            </w:r>
            <w:proofErr w:type="gramEnd"/>
            <w:r w:rsidRPr="00F4328B">
              <w:rPr>
                <w:rFonts w:ascii="標楷體" w:eastAsia="標楷體" w:hAnsi="標楷體" w:hint="eastAsia"/>
              </w:rPr>
              <w:t>我國係由勞動部勞動基金運用局統一投資，似無法取得相關資訊，應如何因應</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員工福利計畫若係屬由勞動部勞動基金運用局統一投資者，其財務報告之揭露應參酌勞動部勞動基金運用局公告資訊予以揭露，並得視需要補充相關資訊或文字說明；惟若企業之計畫基金資產之投資方式非屬前述範圍者</w:t>
            </w:r>
            <w:proofErr w:type="gramStart"/>
            <w:r w:rsidRPr="00F4328B">
              <w:rPr>
                <w:rFonts w:ascii="標楷體" w:eastAsia="標楷體" w:hAnsi="標楷體" w:hint="eastAsia"/>
              </w:rPr>
              <w:t>（</w:t>
            </w:r>
            <w:proofErr w:type="gramEnd"/>
            <w:r w:rsidRPr="00F4328B">
              <w:rPr>
                <w:rFonts w:ascii="標楷體" w:eastAsia="標楷體" w:hAnsi="標楷體" w:hint="eastAsia"/>
              </w:rPr>
              <w:t>例如：委託其他專業機構投資或自行投資者</w:t>
            </w:r>
            <w:proofErr w:type="gramStart"/>
            <w:r w:rsidRPr="00F4328B">
              <w:rPr>
                <w:rFonts w:ascii="標楷體" w:eastAsia="標楷體" w:hAnsi="標楷體" w:hint="eastAsia"/>
              </w:rPr>
              <w:t>）</w:t>
            </w:r>
            <w:proofErr w:type="gramEnd"/>
            <w:r w:rsidRPr="00F4328B">
              <w:rPr>
                <w:rFonts w:ascii="標楷體" w:eastAsia="標楷體" w:hAnsi="標楷體" w:hint="eastAsia"/>
              </w:rPr>
              <w:t>則應依</w:t>
            </w:r>
            <w:r w:rsidRPr="00F4328B">
              <w:rPr>
                <w:rFonts w:ascii="標楷體" w:eastAsia="標楷體" w:hAnsi="標楷體"/>
              </w:rPr>
              <w:t>IAS19第142段之規定揭露相關資訊。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rPr>
                <w:rFonts w:ascii="標楷體" w:eastAsia="標楷體" w:hAnsi="標楷體"/>
              </w:rPr>
            </w:pPr>
            <w:r w:rsidRPr="00F4328B">
              <w:rPr>
                <w:rFonts w:ascii="標楷體" w:eastAsia="標楷體" w:hAnsi="標楷體" w:hint="eastAsia"/>
              </w:rPr>
              <w:t>上市櫃公司若發行海外可轉換公司債，並</w:t>
            </w:r>
            <w:proofErr w:type="gramStart"/>
            <w:r w:rsidRPr="00F4328B">
              <w:rPr>
                <w:rFonts w:ascii="標楷體" w:eastAsia="標楷體" w:hAnsi="標楷體" w:hint="eastAsia"/>
              </w:rPr>
              <w:t>採</w:t>
            </w:r>
            <w:proofErr w:type="gramEnd"/>
            <w:r w:rsidRPr="00F4328B">
              <w:rPr>
                <w:rFonts w:ascii="標楷體" w:eastAsia="標楷體" w:hAnsi="標楷體" w:hint="eastAsia"/>
              </w:rPr>
              <w:t>拆分之會計處理</w:t>
            </w:r>
            <w:r w:rsidRPr="00F4328B">
              <w:rPr>
                <w:rFonts w:ascii="標楷體" w:eastAsia="標楷體" w:hAnsi="標楷體"/>
              </w:rPr>
              <w:t xml:space="preserve">(嵌入式衍生工具與主契約分別處理)，於揭露嵌入式衍生工具之公允價值層級時，在IFRS </w:t>
            </w:r>
            <w:proofErr w:type="gramStart"/>
            <w:r w:rsidRPr="00F4328B">
              <w:rPr>
                <w:rFonts w:ascii="標楷體" w:eastAsia="標楷體" w:hAnsi="標楷體"/>
              </w:rPr>
              <w:t>13下究</w:t>
            </w:r>
            <w:proofErr w:type="gramEnd"/>
            <w:r w:rsidRPr="00F4328B">
              <w:rPr>
                <w:rFonts w:ascii="標楷體" w:eastAsia="標楷體" w:hAnsi="標楷體" w:hint="eastAsia"/>
              </w:rPr>
              <w:t>屬第二或第三層級</w:t>
            </w:r>
            <w:r w:rsidRPr="00F4328B">
              <w:rPr>
                <w:rFonts w:ascii="標楷體" w:eastAsia="標楷體" w:hAnsi="標楷體"/>
              </w:rPr>
              <w:t xml:space="preserve">? </w:t>
            </w:r>
            <w:proofErr w:type="gramStart"/>
            <w:r w:rsidRPr="00F4328B">
              <w:rPr>
                <w:rFonts w:ascii="標楷體" w:eastAsia="標楷體" w:hAnsi="標楷體" w:hint="eastAsia"/>
              </w:rPr>
              <w:t>另</w:t>
            </w:r>
            <w:proofErr w:type="gramEnd"/>
            <w:r w:rsidRPr="00F4328B">
              <w:rPr>
                <w:rFonts w:ascii="標楷體" w:eastAsia="標楷體" w:hAnsi="標楷體" w:hint="eastAsia"/>
              </w:rPr>
              <w:t>，</w:t>
            </w:r>
            <w:proofErr w:type="gramStart"/>
            <w:r w:rsidRPr="00F4328B">
              <w:rPr>
                <w:rFonts w:ascii="標楷體" w:eastAsia="標楷體" w:hAnsi="標楷體" w:hint="eastAsia"/>
              </w:rPr>
              <w:t>若私募</w:t>
            </w:r>
            <w:proofErr w:type="gramEnd"/>
            <w:r w:rsidRPr="00F4328B">
              <w:rPr>
                <w:rFonts w:ascii="標楷體" w:eastAsia="標楷體" w:hAnsi="標楷體" w:hint="eastAsia"/>
              </w:rPr>
              <w:t>股票評價時流動性貼水之幅度極大時，是否亦屬第三層級之參數</w:t>
            </w:r>
            <w:r w:rsidRPr="00F4328B">
              <w:rPr>
                <w:rFonts w:ascii="標楷體" w:eastAsia="標楷體" w:hAnsi="標楷體"/>
              </w:rPr>
              <w:t>?</w:t>
            </w:r>
            <w:r w:rsidRPr="00F4328B">
              <w:rPr>
                <w:rFonts w:ascii="標楷體" w:eastAsia="標楷體" w:hAnsi="標楷體"/>
              </w:rPr>
              <w:br/>
            </w:r>
            <w:proofErr w:type="gramStart"/>
            <w:r w:rsidRPr="00F4328B">
              <w:rPr>
                <w:rFonts w:ascii="標楷體" w:eastAsia="標楷體" w:hAnsi="標楷體" w:hint="eastAsia"/>
              </w:rPr>
              <w:t>註</w:t>
            </w:r>
            <w:proofErr w:type="gramEnd"/>
            <w:r w:rsidRPr="00F4328B">
              <w:rPr>
                <w:rFonts w:ascii="標楷體" w:eastAsia="標楷體" w:hAnsi="標楷體" w:hint="eastAsia"/>
              </w:rPr>
              <w:t>：轉換權之公允價值評估時，關鍵假設為股價波動率，而股價波動率之計算係以歷史資料為基礎。</w:t>
            </w:r>
          </w:p>
          <w:p w:rsidR="003D0A5A" w:rsidRPr="00F4328B" w:rsidRDefault="003D0A5A" w:rsidP="008B4DE4">
            <w:pPr>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於決定公允價值時，當採用的參數係採用歷史資訊或對市場資訊有重大調整，應屬第三等級之公允價值。</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企業投資另一公司但不具重大影響、聯合控制或控制，後再增加投資至取得重大影響時，原金融資產除按公允價值衡量並認列損益外，是否可選擇其他會計處理方法？</w:t>
            </w:r>
          </w:p>
        </w:tc>
        <w:tc>
          <w:tcPr>
            <w:tcW w:w="5245" w:type="dxa"/>
            <w:tcBorders>
              <w:top w:val="single" w:sz="4" w:space="0" w:color="auto"/>
              <w:left w:val="single" w:sz="4" w:space="0" w:color="auto"/>
              <w:bottom w:val="single" w:sz="4" w:space="0" w:color="auto"/>
              <w:right w:val="single" w:sz="4" w:space="0" w:color="auto"/>
            </w:tcBorders>
          </w:tcPr>
          <w:p w:rsidR="003F755F" w:rsidRPr="00D8327A" w:rsidRDefault="003F755F" w:rsidP="008B4DE4">
            <w:pPr>
              <w:snapToGrid w:val="0"/>
              <w:rPr>
                <w:rFonts w:ascii="標楷體" w:eastAsia="標楷體" w:hAnsi="標楷體"/>
              </w:rPr>
            </w:pPr>
            <w:r w:rsidRPr="00D8327A">
              <w:rPr>
                <w:rFonts w:ascii="標楷體" w:eastAsia="標楷體" w:hAnsi="標楷體" w:hint="eastAsia"/>
              </w:rPr>
              <w:t>依證交所</w:t>
            </w:r>
            <w:r w:rsidRPr="00D8327A">
              <w:rPr>
                <w:rFonts w:ascii="標楷體" w:eastAsia="標楷體" w:hAnsi="標楷體"/>
              </w:rPr>
              <w:t>100年12月28日更新之實務運作應注意事項，由其他方法變更為權益法之處理差異，「於國際實務操作上，有追溯調整以重編以前年度報表與其他方法」。目前</w:t>
            </w:r>
            <w:r w:rsidRPr="00D8327A">
              <w:rPr>
                <w:rFonts w:ascii="標楷體" w:eastAsia="標楷體" w:hAnsi="標楷體" w:hint="eastAsia"/>
              </w:rPr>
              <w:t>實務上</w:t>
            </w:r>
            <w:r w:rsidRPr="00D8327A">
              <w:rPr>
                <w:rFonts w:ascii="標楷體" w:eastAsia="標楷體" w:hAnsi="標楷體"/>
              </w:rPr>
              <w:t>以再衡量法(</w:t>
            </w:r>
            <w:r w:rsidRPr="00D8327A">
              <w:rPr>
                <w:rFonts w:ascii="標楷體" w:eastAsia="標楷體" w:hAnsi="標楷體" w:hint="eastAsia"/>
              </w:rPr>
              <w:t>即</w:t>
            </w:r>
            <w:r w:rsidRPr="00D8327A">
              <w:rPr>
                <w:rFonts w:ascii="標楷體" w:eastAsia="標楷體" w:hAnsi="標楷體"/>
              </w:rPr>
              <w:t>先前取得之權益應透過損益</w:t>
            </w:r>
            <w:r w:rsidR="00054F17" w:rsidRPr="00D8327A">
              <w:rPr>
                <w:rFonts w:ascii="標楷體" w:eastAsia="標楷體" w:hAnsi="標楷體" w:hint="eastAsia"/>
                <w:u w:val="single"/>
              </w:rPr>
              <w:t>或其他綜合損益</w:t>
            </w:r>
            <w:r w:rsidRPr="00D8327A">
              <w:rPr>
                <w:rFonts w:ascii="標楷體" w:eastAsia="標楷體" w:hAnsi="標楷體"/>
              </w:rPr>
              <w:t>按公允價值重新衡量)為主，企業可選擇</w:t>
            </w:r>
            <w:proofErr w:type="gramStart"/>
            <w:r w:rsidRPr="00D8327A">
              <w:rPr>
                <w:rFonts w:ascii="標楷體" w:eastAsia="標楷體" w:hAnsi="標楷體" w:hint="eastAsia"/>
              </w:rPr>
              <w:t>採</w:t>
            </w:r>
            <w:proofErr w:type="gramEnd"/>
            <w:r w:rsidRPr="00D8327A">
              <w:rPr>
                <w:rFonts w:ascii="標楷體" w:eastAsia="標楷體" w:hAnsi="標楷體" w:hint="eastAsia"/>
              </w:rPr>
              <w:t>此作法且應一致適用。</w:t>
            </w:r>
          </w:p>
        </w:tc>
        <w:tc>
          <w:tcPr>
            <w:tcW w:w="1418" w:type="dxa"/>
            <w:tcBorders>
              <w:top w:val="single" w:sz="4" w:space="0" w:color="auto"/>
              <w:left w:val="single" w:sz="4" w:space="0" w:color="auto"/>
              <w:bottom w:val="single" w:sz="4" w:space="0" w:color="auto"/>
              <w:right w:val="single" w:sz="4" w:space="0" w:color="auto"/>
            </w:tcBorders>
          </w:tcPr>
          <w:p w:rsidR="003F755F" w:rsidRPr="00D8327A" w:rsidRDefault="003F755F" w:rsidP="008B4DE4">
            <w:pPr>
              <w:snapToGrid w:val="0"/>
              <w:rPr>
                <w:rFonts w:ascii="標楷體" w:eastAsia="標楷體" w:hAnsi="標楷體"/>
              </w:rPr>
            </w:pPr>
            <w:r w:rsidRPr="00D8327A">
              <w:rPr>
                <w:rFonts w:ascii="標楷體" w:eastAsia="標楷體" w:hAnsi="標楷體" w:hint="eastAsia"/>
              </w:rPr>
              <w:t>分階段取得具重大影響之投資</w:t>
            </w:r>
          </w:p>
        </w:tc>
        <w:tc>
          <w:tcPr>
            <w:tcW w:w="1417" w:type="dxa"/>
            <w:tcBorders>
              <w:top w:val="single" w:sz="4" w:space="0" w:color="auto"/>
              <w:left w:val="single" w:sz="4" w:space="0" w:color="auto"/>
              <w:bottom w:val="single" w:sz="4" w:space="0" w:color="auto"/>
              <w:right w:val="single" w:sz="4" w:space="0" w:color="auto"/>
            </w:tcBorders>
          </w:tcPr>
          <w:p w:rsidR="003F755F" w:rsidRPr="00D8327A" w:rsidRDefault="00F50DCE" w:rsidP="008B4DE4">
            <w:pPr>
              <w:snapToGrid w:val="0"/>
              <w:rPr>
                <w:rFonts w:ascii="標楷體" w:eastAsia="標楷體" w:hAnsi="標楷體"/>
              </w:rPr>
            </w:pPr>
            <w:r w:rsidRPr="00D8327A">
              <w:rPr>
                <w:rFonts w:ascii="標楷體" w:eastAsia="標楷體" w:hAnsi="標楷體" w:hint="eastAsia"/>
              </w:rPr>
              <w:t>1</w:t>
            </w:r>
            <w:r w:rsidRPr="00D8327A">
              <w:rPr>
                <w:rFonts w:ascii="標楷體" w:eastAsia="標楷體" w:hAnsi="標楷體"/>
              </w:rPr>
              <w:t>07.4.16</w:t>
            </w: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1規定應將其他綜合損益項目區分為「後續不重分類至損益」以及「後續將重分類至損益」，對於「後續不重分類至損益」者，</w:t>
            </w:r>
            <w:r w:rsidRPr="00F4328B">
              <w:rPr>
                <w:rFonts w:ascii="標楷體" w:eastAsia="標楷體" w:hAnsi="標楷體" w:hint="eastAsia"/>
              </w:rPr>
              <w:t>如不動產重估增值、確定福利計畫之</w:t>
            </w:r>
            <w:r w:rsidRPr="00F4328B">
              <w:rPr>
                <w:rFonts w:ascii="標楷體" w:eastAsia="標楷體" w:hAnsi="標楷體"/>
              </w:rPr>
              <w:t>再衡量數</w:t>
            </w:r>
            <w:r w:rsidRPr="00F4328B">
              <w:rPr>
                <w:rFonts w:ascii="標楷體" w:eastAsia="標楷體" w:hAnsi="標楷體" w:hint="eastAsia"/>
              </w:rPr>
              <w:t>，</w:t>
            </w:r>
            <w:r w:rsidRPr="00F4328B">
              <w:rPr>
                <w:rFonts w:ascii="標楷體" w:eastAsia="標楷體" w:hAnsi="標楷體"/>
              </w:rPr>
              <w:t>是否可以轉列保留盈餘？</w:t>
            </w:r>
          </w:p>
          <w:p w:rsidR="003F755F" w:rsidRPr="00F4328B" w:rsidRDefault="003F755F" w:rsidP="008B4DE4">
            <w:pPr>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Pr>
                <w:rFonts w:ascii="標楷體" w:eastAsia="標楷體" w:hAnsi="標楷體"/>
              </w:rPr>
              <w:t>1.</w:t>
            </w:r>
            <w:r w:rsidRPr="00F4328B">
              <w:rPr>
                <w:rFonts w:ascii="標楷體" w:eastAsia="標楷體" w:hAnsi="標楷體" w:hint="eastAsia"/>
              </w:rPr>
              <w:t>目前我國並未開放不動產、廠房及設備採用重估價模式，惟企業若依</w:t>
            </w:r>
            <w:r w:rsidRPr="00F4328B">
              <w:rPr>
                <w:rFonts w:ascii="標楷體" w:eastAsia="標楷體" w:hAnsi="標楷體"/>
              </w:rPr>
              <w:t>IAS40第62段因將不動產、廠房及設備轉列投資性不動產致產生之重估增值，得於續後處分投資性不動產時轉列保留盈餘。</w:t>
            </w:r>
          </w:p>
          <w:p w:rsidR="003F755F" w:rsidRDefault="003F755F" w:rsidP="008B4DE4">
            <w:pPr>
              <w:snapToGrid w:val="0"/>
              <w:ind w:left="240" w:hangingChars="100" w:hanging="240"/>
              <w:rPr>
                <w:rFonts w:ascii="標楷體" w:eastAsia="標楷體" w:hAnsi="標楷體"/>
              </w:rPr>
            </w:pPr>
            <w:r>
              <w:rPr>
                <w:rFonts w:ascii="標楷體" w:eastAsia="標楷體" w:hAnsi="標楷體"/>
              </w:rPr>
              <w:t>2.</w:t>
            </w:r>
            <w:r w:rsidRPr="00F4328B">
              <w:rPr>
                <w:rFonts w:ascii="標楷體" w:eastAsia="標楷體" w:hAnsi="標楷體" w:hint="eastAsia"/>
              </w:rPr>
              <w:t>嗣後倘我國開放不動產、廠房及設備與無形資產採用重估價模式，相關會計處理則依</w:t>
            </w:r>
            <w:r w:rsidRPr="00F4328B">
              <w:rPr>
                <w:rFonts w:ascii="標楷體" w:eastAsia="標楷體" w:hAnsi="標楷體"/>
              </w:rPr>
              <w:t>IAS16及IAS38規定處理。</w:t>
            </w:r>
          </w:p>
          <w:p w:rsidR="003F755F" w:rsidRPr="00F4328B" w:rsidRDefault="003F755F" w:rsidP="008B4DE4">
            <w:pPr>
              <w:snapToGrid w:val="0"/>
              <w:ind w:left="240" w:hangingChars="100" w:hanging="240"/>
              <w:rPr>
                <w:rFonts w:ascii="標楷體" w:eastAsia="標楷體" w:hAnsi="標楷體"/>
              </w:rPr>
            </w:pPr>
            <w:r>
              <w:rPr>
                <w:rFonts w:ascii="標楷體" w:eastAsia="標楷體" w:hAnsi="標楷體"/>
              </w:rPr>
              <w:t>3.</w:t>
            </w:r>
            <w:r w:rsidRPr="00F4328B">
              <w:rPr>
                <w:rFonts w:ascii="標楷體" w:eastAsia="標楷體" w:hAnsi="標楷體"/>
              </w:rPr>
              <w:t>退休金計畫再衡量數則應依問答集之說明，由企業選擇其會計政策轉入保留盈餘或列於其他權益項目並一致採用。另金融保險業目的事業主管機關如有特別規定，金融保險業應從其規定。</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w:t>
            </w:r>
            <w:r w:rsidR="00366792">
              <w:rPr>
                <w:rFonts w:ascii="標楷體" w:eastAsia="標楷體" w:hAnsi="標楷體" w:hint="eastAsia"/>
              </w:rPr>
              <w:t>第</w:t>
            </w:r>
            <w:r w:rsidRPr="00F4328B">
              <w:rPr>
                <w:rFonts w:ascii="標楷體" w:eastAsia="標楷體" w:hAnsi="標楷體"/>
              </w:rPr>
              <w:t>36(d)</w:t>
            </w:r>
            <w:r w:rsidR="00366792" w:rsidRPr="00F4328B">
              <w:rPr>
                <w:rFonts w:ascii="標楷體" w:eastAsia="標楷體" w:hAnsi="標楷體" w:hint="eastAsia"/>
              </w:rPr>
              <w:t xml:space="preserve"> 段</w:t>
            </w:r>
            <w:r w:rsidRPr="00F4328B">
              <w:rPr>
                <w:rFonts w:ascii="標楷體" w:eastAsia="標楷體" w:hAnsi="標楷體"/>
              </w:rPr>
              <w:t>揭露</w:t>
            </w:r>
            <w:proofErr w:type="gramStart"/>
            <w:r w:rsidRPr="00F4328B">
              <w:rPr>
                <w:rFonts w:ascii="標楷體" w:eastAsia="標楷體" w:hAnsi="標楷體" w:hint="eastAsia"/>
              </w:rPr>
              <w:t>當期認列為</w:t>
            </w:r>
            <w:proofErr w:type="gramEnd"/>
            <w:r w:rsidRPr="00F4328B">
              <w:rPr>
                <w:rFonts w:ascii="標楷體" w:eastAsia="標楷體" w:hAnsi="標楷體" w:hint="eastAsia"/>
              </w:rPr>
              <w:t>費用之存貨金額時，是否應揭露其性質明細？</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考量</w:t>
            </w:r>
            <w:proofErr w:type="gramStart"/>
            <w:r w:rsidR="003F755F" w:rsidRPr="00F4328B">
              <w:rPr>
                <w:rFonts w:ascii="標楷體" w:eastAsia="標楷體" w:hAnsi="標楷體" w:hint="eastAsia"/>
              </w:rPr>
              <w:t>當期認列為</w:t>
            </w:r>
            <w:proofErr w:type="gramEnd"/>
            <w:r w:rsidR="003F755F" w:rsidRPr="00F4328B">
              <w:rPr>
                <w:rFonts w:ascii="標楷體" w:eastAsia="標楷體" w:hAnsi="標楷體" w:hint="eastAsia"/>
              </w:rPr>
              <w:t>費用之存貨之性質明細對於投資人決策實有助益，除非屬重大外，應予揭露，惟若已於財務報告其他附註揭露相關資訊，得免予重覆揭露。</w:t>
            </w:r>
          </w:p>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考量</w:t>
            </w:r>
            <w:proofErr w:type="gramStart"/>
            <w:r w:rsidR="003F755F" w:rsidRPr="00F4328B">
              <w:rPr>
                <w:rFonts w:ascii="標楷體" w:eastAsia="標楷體" w:hAnsi="標楷體" w:hint="eastAsia"/>
              </w:rPr>
              <w:t>重大性時</w:t>
            </w:r>
            <w:proofErr w:type="gramEnd"/>
            <w:r w:rsidR="003F755F" w:rsidRPr="00F4328B">
              <w:rPr>
                <w:rFonts w:ascii="標楷體" w:eastAsia="標楷體" w:hAnsi="標楷體" w:hint="eastAsia"/>
              </w:rPr>
              <w:t>，企業應審慎</w:t>
            </w:r>
            <w:proofErr w:type="gramStart"/>
            <w:r w:rsidR="003F755F" w:rsidRPr="00F4328B">
              <w:rPr>
                <w:rFonts w:ascii="標楷體" w:eastAsia="標楷體" w:hAnsi="標楷體" w:hint="eastAsia"/>
              </w:rPr>
              <w:t>評估衡</w:t>
            </w:r>
            <w:proofErr w:type="gramEnd"/>
            <w:r w:rsidR="003F755F" w:rsidRPr="00F4328B">
              <w:rPr>
                <w:rFonts w:ascii="標楷體" w:eastAsia="標楷體" w:hAnsi="標楷體" w:hint="eastAsia"/>
              </w:rPr>
              <w:t>酌揭露內容所涉金額大小或性質</w:t>
            </w:r>
            <w:r w:rsidR="003F755F" w:rsidRPr="00F4328B">
              <w:rPr>
                <w:rFonts w:ascii="標楷體" w:eastAsia="標楷體" w:hAnsi="標楷體"/>
              </w:rPr>
              <w:t>(或兩者之組合)等因素。</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7</w:t>
            </w:r>
            <w:r w:rsidRPr="00F4328B">
              <w:rPr>
                <w:rFonts w:ascii="標楷體" w:eastAsia="標楷體" w:hAnsi="標楷體" w:hint="eastAsia"/>
              </w:rPr>
              <w:t>第</w:t>
            </w:r>
            <w:r w:rsidRPr="00F4328B">
              <w:rPr>
                <w:rFonts w:ascii="標楷體" w:eastAsia="標楷體" w:hAnsi="標楷體"/>
              </w:rPr>
              <w:t>42D</w:t>
            </w:r>
            <w:r w:rsidRPr="00F4328B">
              <w:rPr>
                <w:rFonts w:ascii="標楷體" w:eastAsia="標楷體" w:hAnsi="標楷體" w:hint="eastAsia"/>
              </w:rPr>
              <w:t>段規定，企業應揭露未整體除列之已移轉金融資產相關資訊，且依IFRS9第3.2.4段規定，企業僅於下列情況之一時，始移轉金融資產：</w:t>
            </w:r>
            <w:r w:rsidRPr="00F4328B">
              <w:rPr>
                <w:rFonts w:ascii="標楷體" w:eastAsia="標楷體" w:hAnsi="標楷體"/>
              </w:rPr>
              <w:t>(a)</w:t>
            </w:r>
            <w:r w:rsidRPr="00F4328B">
              <w:rPr>
                <w:rFonts w:ascii="標楷體" w:eastAsia="標楷體" w:hAnsi="標楷體" w:hint="eastAsia"/>
              </w:rPr>
              <w:t>企業移轉收取該金融資產現金流量之合約權利；或</w:t>
            </w:r>
            <w:r w:rsidRPr="00F4328B">
              <w:rPr>
                <w:rFonts w:ascii="標楷體" w:eastAsia="標楷體" w:hAnsi="標楷體"/>
              </w:rPr>
              <w:t>(b)</w:t>
            </w:r>
            <w:r w:rsidRPr="00F4328B">
              <w:rPr>
                <w:rFonts w:ascii="標楷體" w:eastAsia="標楷體" w:hAnsi="標楷體" w:hint="eastAsia"/>
              </w:rPr>
              <w:t>企業於符合第3.2.5段條件之協議中，保留收取該金融資產現金流量之合約權利，但承擔將該現金流量支付予一個或多個收受者之合約義務。</w:t>
            </w:r>
            <w:proofErr w:type="gramStart"/>
            <w:r w:rsidRPr="00F4328B">
              <w:rPr>
                <w:rFonts w:ascii="標楷體" w:eastAsia="標楷體" w:hAnsi="標楷體" w:hint="eastAsia"/>
              </w:rPr>
              <w:t>就債票券</w:t>
            </w:r>
            <w:proofErr w:type="gramEnd"/>
            <w:r w:rsidRPr="00F4328B">
              <w:rPr>
                <w:rFonts w:ascii="標楷體" w:eastAsia="標楷體" w:hAnsi="標楷體" w:hint="eastAsia"/>
              </w:rPr>
              <w:t>附買回交易及借貸實務交易而言，其實務交易類型可區分為</w:t>
            </w:r>
            <w:r w:rsidRPr="00F4328B">
              <w:rPr>
                <w:rFonts w:ascii="標楷體" w:eastAsia="標楷體" w:hAnsi="標楷體"/>
              </w:rPr>
              <w:t>(1)</w:t>
            </w:r>
            <w:r w:rsidRPr="00F4328B">
              <w:rPr>
                <w:rFonts w:ascii="標楷體" w:eastAsia="標楷體" w:hAnsi="標楷體" w:hint="eastAsia"/>
              </w:rPr>
              <w:t>賣方實際交付債票</w:t>
            </w:r>
            <w:proofErr w:type="gramStart"/>
            <w:r w:rsidRPr="00F4328B">
              <w:rPr>
                <w:rFonts w:ascii="標楷體" w:eastAsia="標楷體" w:hAnsi="標楷體" w:hint="eastAsia"/>
              </w:rPr>
              <w:t>券</w:t>
            </w:r>
            <w:proofErr w:type="gramEnd"/>
            <w:r w:rsidRPr="00F4328B">
              <w:rPr>
                <w:rFonts w:ascii="標楷體" w:eastAsia="標楷體" w:hAnsi="標楷體"/>
              </w:rPr>
              <w:t>(</w:t>
            </w:r>
            <w:r w:rsidRPr="00F4328B">
              <w:rPr>
                <w:rFonts w:ascii="標楷體" w:eastAsia="標楷體" w:hAnsi="標楷體" w:hint="eastAsia"/>
              </w:rPr>
              <w:t>包含無實體</w:t>
            </w:r>
            <w:r w:rsidRPr="00F4328B">
              <w:rPr>
                <w:rFonts w:ascii="標楷體" w:eastAsia="標楷體" w:hAnsi="標楷體"/>
              </w:rPr>
              <w:t>)</w:t>
            </w:r>
            <w:r w:rsidRPr="00F4328B">
              <w:rPr>
                <w:rFonts w:ascii="標楷體" w:eastAsia="標楷體" w:hAnsi="標楷體" w:hint="eastAsia"/>
              </w:rPr>
              <w:t>予買方；及</w:t>
            </w:r>
            <w:r w:rsidRPr="00F4328B">
              <w:rPr>
                <w:rFonts w:ascii="標楷體" w:eastAsia="標楷體" w:hAnsi="標楷體"/>
              </w:rPr>
              <w:t>(2)</w:t>
            </w:r>
            <w:r w:rsidRPr="00F4328B">
              <w:rPr>
                <w:rFonts w:ascii="標楷體" w:eastAsia="標楷體" w:hAnsi="標楷體" w:hint="eastAsia"/>
              </w:rPr>
              <w:t>賣方開立附條件交易憑證</w:t>
            </w:r>
            <w:r w:rsidRPr="00F4328B">
              <w:rPr>
                <w:rFonts w:ascii="標楷體" w:eastAsia="標楷體" w:hAnsi="標楷體"/>
              </w:rPr>
              <w:t>(</w:t>
            </w:r>
            <w:r w:rsidRPr="00F4328B">
              <w:rPr>
                <w:rFonts w:ascii="標楷體" w:eastAsia="標楷體" w:hAnsi="標楷體" w:hint="eastAsia"/>
              </w:rPr>
              <w:t>保管條</w:t>
            </w:r>
            <w:r w:rsidRPr="00F4328B">
              <w:rPr>
                <w:rFonts w:ascii="標楷體" w:eastAsia="標楷體" w:hAnsi="標楷體"/>
              </w:rPr>
              <w:t>)</w:t>
            </w:r>
            <w:r w:rsidRPr="00F4328B">
              <w:rPr>
                <w:rFonts w:ascii="標楷體" w:eastAsia="標楷體" w:hAnsi="標楷體" w:hint="eastAsia"/>
              </w:rPr>
              <w:t>，並未實際交付債票</w:t>
            </w:r>
            <w:proofErr w:type="gramStart"/>
            <w:r w:rsidRPr="00F4328B">
              <w:rPr>
                <w:rFonts w:ascii="標楷體" w:eastAsia="標楷體" w:hAnsi="標楷體" w:hint="eastAsia"/>
              </w:rPr>
              <w:t>券</w:t>
            </w:r>
            <w:proofErr w:type="gramEnd"/>
            <w:r w:rsidRPr="00F4328B">
              <w:rPr>
                <w:rFonts w:ascii="標楷體" w:eastAsia="標楷體" w:hAnsi="標楷體" w:hint="eastAsia"/>
              </w:rPr>
              <w:t>予買方。然於此二種交易類型下，其出借之債票</w:t>
            </w:r>
            <w:proofErr w:type="gramStart"/>
            <w:r w:rsidRPr="00F4328B">
              <w:rPr>
                <w:rFonts w:ascii="標楷體" w:eastAsia="標楷體" w:hAnsi="標楷體" w:hint="eastAsia"/>
              </w:rPr>
              <w:t>券</w:t>
            </w:r>
            <w:proofErr w:type="gramEnd"/>
            <w:r w:rsidRPr="00F4328B">
              <w:rPr>
                <w:rFonts w:ascii="標楷體" w:eastAsia="標楷體" w:hAnsi="標楷體" w:hint="eastAsia"/>
              </w:rPr>
              <w:t>現金流量</w:t>
            </w:r>
            <w:r w:rsidRPr="00F4328B">
              <w:rPr>
                <w:rFonts w:ascii="標楷體" w:eastAsia="標楷體" w:hAnsi="標楷體"/>
              </w:rPr>
              <w:t>(</w:t>
            </w:r>
            <w:r w:rsidRPr="00F4328B">
              <w:rPr>
                <w:rFonts w:ascii="標楷體" w:eastAsia="標楷體" w:hAnsi="標楷體" w:hint="eastAsia"/>
              </w:rPr>
              <w:t>利息收入</w:t>
            </w:r>
            <w:r w:rsidRPr="00F4328B">
              <w:rPr>
                <w:rFonts w:ascii="標楷體" w:eastAsia="標楷體" w:hAnsi="標楷體"/>
              </w:rPr>
              <w:t>)</w:t>
            </w:r>
            <w:r w:rsidRPr="00F4328B">
              <w:rPr>
                <w:rFonts w:ascii="標楷體" w:eastAsia="標楷體" w:hAnsi="標楷體" w:hint="eastAsia"/>
              </w:rPr>
              <w:t>之合約權利是否係歸屬於賣方</w:t>
            </w:r>
            <w:r w:rsidRPr="00F4328B">
              <w:rPr>
                <w:rFonts w:ascii="標楷體" w:eastAsia="標楷體" w:hAnsi="標楷體"/>
              </w:rPr>
              <w:t>(</w:t>
            </w:r>
            <w:r w:rsidRPr="00F4328B">
              <w:rPr>
                <w:rFonts w:ascii="標楷體" w:eastAsia="標楷體" w:hAnsi="標楷體" w:hint="eastAsia"/>
              </w:rPr>
              <w:t>出借人</w:t>
            </w:r>
            <w:r w:rsidRPr="00F4328B">
              <w:rPr>
                <w:rFonts w:ascii="標楷體" w:eastAsia="標楷體" w:hAnsi="標楷體"/>
              </w:rPr>
              <w:t>)</w:t>
            </w:r>
            <w:r w:rsidRPr="00F4328B">
              <w:rPr>
                <w:rFonts w:ascii="標楷體" w:eastAsia="標楷體" w:hAnsi="標楷體" w:hint="eastAsia"/>
              </w:rPr>
              <w:t>，在國內現行實務似尚有疑義情況下，試問，債票</w:t>
            </w:r>
            <w:proofErr w:type="gramStart"/>
            <w:r w:rsidRPr="00F4328B">
              <w:rPr>
                <w:rFonts w:ascii="標楷體" w:eastAsia="標楷體" w:hAnsi="標楷體" w:hint="eastAsia"/>
              </w:rPr>
              <w:t>券</w:t>
            </w:r>
            <w:proofErr w:type="gramEnd"/>
            <w:r w:rsidRPr="00F4328B">
              <w:rPr>
                <w:rFonts w:ascii="標楷體" w:eastAsia="標楷體" w:hAnsi="標楷體" w:hint="eastAsia"/>
              </w:rPr>
              <w:t>附買回交易及借貸是否符合IFRS9已移轉金融資產定義而須依</w:t>
            </w:r>
            <w:r w:rsidRPr="00F4328B">
              <w:rPr>
                <w:rFonts w:ascii="標楷體" w:eastAsia="標楷體" w:hAnsi="標楷體"/>
              </w:rPr>
              <w:t>IFRS 7</w:t>
            </w:r>
            <w:r w:rsidRPr="00F4328B">
              <w:rPr>
                <w:rFonts w:ascii="標楷體" w:eastAsia="標楷體" w:hAnsi="標楷體" w:hint="eastAsia"/>
              </w:rPr>
              <w:t>進行上述相關資訊揭露</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企業應依其借</w:t>
            </w:r>
            <w:proofErr w:type="gramStart"/>
            <w:r w:rsidRPr="00F4328B">
              <w:rPr>
                <w:rFonts w:ascii="標楷體" w:eastAsia="標楷體" w:hAnsi="標楷體" w:hint="eastAsia"/>
              </w:rPr>
              <w:t>券</w:t>
            </w:r>
            <w:proofErr w:type="gramEnd"/>
            <w:r w:rsidRPr="00F4328B">
              <w:rPr>
                <w:rFonts w:ascii="標楷體" w:eastAsia="標楷體" w:hAnsi="標楷體" w:hint="eastAsia"/>
              </w:rPr>
              <w:t>協議判斷是否已移轉收取該債券現金流量之合約權利，決定是否已移轉該金融資產，而依</w:t>
            </w:r>
            <w:r w:rsidRPr="00F4328B">
              <w:rPr>
                <w:rFonts w:ascii="標楷體" w:eastAsia="標楷體" w:hAnsi="標楷體"/>
              </w:rPr>
              <w:t>IFRS7第42D段之規定揭露相關資訊。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19</w:t>
            </w:r>
            <w:r w:rsidRPr="00F4328B">
              <w:rPr>
                <w:rFonts w:ascii="標楷體" w:eastAsia="標楷體" w:hAnsi="標楷體" w:hint="eastAsia"/>
              </w:rPr>
              <w:t>第</w:t>
            </w:r>
            <w:r w:rsidRPr="00F4328B">
              <w:rPr>
                <w:rFonts w:ascii="標楷體" w:eastAsia="標楷體" w:hAnsi="標楷體"/>
              </w:rPr>
              <w:t>145</w:t>
            </w:r>
            <w:r w:rsidRPr="00F4328B">
              <w:rPr>
                <w:rFonts w:ascii="標楷體" w:eastAsia="標楷體" w:hAnsi="標楷體" w:hint="eastAsia"/>
              </w:rPr>
              <w:t>段規定：企業應揭露於報導期間結束日每一重大精算假設之敏感度分析，列示</w:t>
            </w:r>
            <w:proofErr w:type="gramStart"/>
            <w:r w:rsidRPr="00F4328B">
              <w:rPr>
                <w:rFonts w:ascii="標楷體" w:eastAsia="標楷體" w:hAnsi="標楷體" w:hint="eastAsia"/>
              </w:rPr>
              <w:t>攸關精</w:t>
            </w:r>
            <w:proofErr w:type="gramEnd"/>
            <w:r w:rsidRPr="00F4328B">
              <w:rPr>
                <w:rFonts w:ascii="標楷體" w:eastAsia="標楷體" w:hAnsi="標楷體" w:hint="eastAsia"/>
              </w:rPr>
              <w:t>算假設於該日發生合理可能之變動，將如何影響確定福利義務。</w:t>
            </w:r>
            <w:proofErr w:type="gramStart"/>
            <w:r w:rsidRPr="00F4328B">
              <w:rPr>
                <w:rFonts w:ascii="標楷體" w:eastAsia="標楷體" w:hAnsi="標楷體" w:hint="eastAsia"/>
              </w:rPr>
              <w:t>惟</w:t>
            </w:r>
            <w:proofErr w:type="gramEnd"/>
            <w:r w:rsidRPr="00F4328B">
              <w:rPr>
                <w:rFonts w:ascii="標楷體" w:eastAsia="標楷體" w:hAnsi="標楷體" w:hint="eastAsia"/>
              </w:rPr>
              <w:t>現行實務之揭露資訊來自於精算師出具之退休金及員工優惠存款精算報告，而精算報告係每年度出具一次，請問期中財務報告應如何揭露該敏感度分析資訊？</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企業若無退休金計畫修正、縮減及清償事項而未於期中重新精算，期中財務報告敏感度分析資訊可以索引至最近年度財務報告方式辦理；若因有重大調整事項而重新精算，則應依</w:t>
            </w:r>
            <w:r w:rsidRPr="00F4328B">
              <w:rPr>
                <w:rFonts w:ascii="標楷體" w:eastAsia="標楷體" w:hAnsi="標楷體"/>
              </w:rPr>
              <w:t>IAS 34</w:t>
            </w:r>
            <w:r w:rsidR="00600AAA">
              <w:rPr>
                <w:rFonts w:ascii="標楷體" w:eastAsia="標楷體" w:hAnsi="標楷體" w:hint="eastAsia"/>
              </w:rPr>
              <w:t>第</w:t>
            </w:r>
            <w:r w:rsidRPr="00F4328B">
              <w:rPr>
                <w:rFonts w:ascii="標楷體" w:eastAsia="標楷體" w:hAnsi="標楷體"/>
              </w:rPr>
              <w:t>15</w:t>
            </w:r>
            <w:r w:rsidR="00600AAA">
              <w:rPr>
                <w:rFonts w:ascii="標楷體" w:eastAsia="標楷體" w:hAnsi="標楷體" w:hint="eastAsia"/>
              </w:rPr>
              <w:t>至</w:t>
            </w:r>
            <w:r w:rsidRPr="00F4328B">
              <w:rPr>
                <w:rFonts w:ascii="標楷體" w:eastAsia="標楷體" w:hAnsi="標楷體"/>
              </w:rPr>
              <w:t>15C</w:t>
            </w:r>
            <w:r w:rsidR="00600AAA">
              <w:rPr>
                <w:rFonts w:ascii="標楷體" w:eastAsia="標楷體" w:hAnsi="標楷體" w:hint="eastAsia"/>
              </w:rPr>
              <w:t>段</w:t>
            </w:r>
            <w:r w:rsidRPr="00F4328B">
              <w:rPr>
                <w:rFonts w:ascii="標楷體" w:eastAsia="標楷體" w:hAnsi="標楷體"/>
              </w:rPr>
              <w:t>規定判斷應揭露之範圍及程度。</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12第21段規定，企業應揭露每一對報導企業具重大性之合資及關聯企業之</w:t>
            </w:r>
            <w:proofErr w:type="gramStart"/>
            <w:r w:rsidRPr="00F4328B">
              <w:rPr>
                <w:rFonts w:ascii="標楷體" w:eastAsia="標楷體" w:hAnsi="標楷體" w:hint="eastAsia"/>
              </w:rPr>
              <w:t>彙總性財務</w:t>
            </w:r>
            <w:proofErr w:type="gramEnd"/>
            <w:r w:rsidRPr="00F4328B">
              <w:rPr>
                <w:rFonts w:ascii="標楷體" w:eastAsia="標楷體" w:hAnsi="標楷體" w:hint="eastAsia"/>
              </w:rPr>
              <w:t>資訊。考量我國適用國際財務報導準則後，已將應揭露之財務報告體制調整為以合併財務報告為主，個體財務報告可否免適用揭露重大關聯企業及合資權益之財務資訊等規定</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考量此部分係揭露具重大性之資訊，且個體財務報告亦應依</w:t>
            </w:r>
            <w:r w:rsidRPr="00F4328B">
              <w:rPr>
                <w:rFonts w:ascii="標楷體" w:eastAsia="標楷體" w:hAnsi="標楷體"/>
              </w:rPr>
              <w:t>IFRS12規定揭露，</w:t>
            </w:r>
            <w:proofErr w:type="gramStart"/>
            <w:r w:rsidRPr="00F4328B">
              <w:rPr>
                <w:rFonts w:ascii="標楷體" w:eastAsia="標楷體" w:hAnsi="標楷體" w:hint="eastAsia"/>
              </w:rPr>
              <w:t>爰</w:t>
            </w:r>
            <w:proofErr w:type="gramEnd"/>
            <w:r w:rsidRPr="00F4328B">
              <w:rPr>
                <w:rFonts w:ascii="標楷體" w:eastAsia="標楷體" w:hAnsi="標楷體" w:hint="eastAsia"/>
              </w:rPr>
              <w:t>個體財務報告應揭露重大關聯企業及合資權益之財務資訊。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40</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國際財務報導準則第</w:t>
            </w:r>
            <w:r w:rsidRPr="00F4328B">
              <w:rPr>
                <w:rFonts w:ascii="標楷體" w:eastAsia="標楷體" w:hAnsi="標楷體"/>
              </w:rPr>
              <w:t>12號第21(b)段要求就每一對報導企業具重大性之合資及關聯企業揭露</w:t>
            </w:r>
            <w:proofErr w:type="gramStart"/>
            <w:r w:rsidRPr="00F4328B">
              <w:rPr>
                <w:rFonts w:ascii="標楷體" w:eastAsia="標楷體" w:hAnsi="標楷體" w:hint="eastAsia"/>
              </w:rPr>
              <w:t>其彙總性</w:t>
            </w:r>
            <w:proofErr w:type="gramEnd"/>
            <w:r w:rsidRPr="00F4328B">
              <w:rPr>
                <w:rFonts w:ascii="標楷體" w:eastAsia="標楷體" w:hAnsi="標楷體" w:hint="eastAsia"/>
              </w:rPr>
              <w:t>財務資訊，由於應揭露之資訊繁多，且若被投資公司為非上市櫃公司，更有取得資訊之困難度，主管機關是否考慮提供何謂</w:t>
            </w:r>
            <w:r w:rsidRPr="00F4328B">
              <w:rPr>
                <w:rFonts w:ascii="標楷體" w:eastAsia="標楷體" w:hAnsi="標楷體"/>
              </w:rPr>
              <w:t>"對報導企業具重大性"之指引?</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基於實務上可能有各種不同情形，標準不易建立，企業應依公報之原則與精神進行專業判斷。</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重大性之合資及關聯企業之認定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企業依IAS 39以成本衡量之權益工具投資，若曾</w:t>
            </w:r>
            <w:proofErr w:type="gramStart"/>
            <w:r w:rsidR="003F755F" w:rsidRPr="00F012F9">
              <w:rPr>
                <w:rFonts w:ascii="標楷體" w:eastAsia="標楷體" w:hAnsi="標楷體" w:hint="eastAsia"/>
              </w:rPr>
              <w:t>認列減損</w:t>
            </w:r>
            <w:proofErr w:type="gramEnd"/>
            <w:r w:rsidR="003F755F" w:rsidRPr="00F012F9">
              <w:rPr>
                <w:rFonts w:ascii="標楷體" w:eastAsia="標楷體" w:hAnsi="標楷體" w:hint="eastAsia"/>
              </w:rPr>
              <w:t>損失，並於適用IFRS 9時指定透過其他綜合損益按公允價值衡量，於初次適用日是否應按IFRS 9 FVOCI衡量規定追溯適用並調整當日保留盈餘及其他權益金額（意即將過去認列減損而累積於保留盈餘之金額移轉至其他權益）？</w:t>
            </w:r>
            <w:proofErr w:type="gramStart"/>
            <w:r w:rsidR="003F755F" w:rsidRPr="00F012F9">
              <w:rPr>
                <w:rFonts w:ascii="標楷體" w:eastAsia="標楷體" w:hAnsi="標楷體" w:hint="eastAsia"/>
              </w:rPr>
              <w:t>（</w:t>
            </w:r>
            <w:proofErr w:type="gramEnd"/>
            <w:r w:rsidR="003F755F" w:rsidRPr="00F012F9">
              <w:rPr>
                <w:rFonts w:ascii="標楷體" w:eastAsia="標楷體" w:hAnsi="標楷體" w:hint="eastAsia"/>
              </w:rPr>
              <w:t>例如，以$100取得之股票投資，已認列減損$20，於IFRS9初次適用日之公允價值為$80，則於初次適用日應(1)借：其他權益$20、貸：保留盈餘$20或(2)無須調整？）</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 xml:space="preserve">承1.如應將以前年度轉列保留盈餘之減損金額重分類至其他權益(Dr.其他權益-FVOCI :20/ Cr. </w:t>
            </w:r>
            <w:proofErr w:type="gramStart"/>
            <w:r w:rsidR="003F755F" w:rsidRPr="00F012F9">
              <w:rPr>
                <w:rFonts w:ascii="標楷體" w:eastAsia="標楷體" w:hAnsi="標楷體" w:hint="eastAsia"/>
              </w:rPr>
              <w:t>RE :</w:t>
            </w:r>
            <w:proofErr w:type="gramEnd"/>
            <w:r w:rsidR="003F755F" w:rsidRPr="00F012F9">
              <w:rPr>
                <w:rFonts w:ascii="標楷體" w:eastAsia="標楷體" w:hAnsi="標楷體" w:hint="eastAsia"/>
              </w:rPr>
              <w:t xml:space="preserve"> 20)，倘IFRS 9轉換日之其他權益項目餘額仍大於零，則請問因IFRS 9轉換而迴轉以前年度已認列減損致保留盈餘增加數，於盈餘分派時，是否無特殊限制？    </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A公司有一B子公司(持股60%)，104至105年度間陸續增加對B公司之持股至100%，B公司持有以成本衡量之權益工具投資，104年底曾</w:t>
            </w:r>
            <w:proofErr w:type="gramStart"/>
            <w:r w:rsidR="003F755F" w:rsidRPr="00F012F9">
              <w:rPr>
                <w:rFonts w:ascii="標楷體" w:eastAsia="標楷體" w:hAnsi="標楷體" w:hint="eastAsia"/>
              </w:rPr>
              <w:t>認列減損</w:t>
            </w:r>
            <w:proofErr w:type="gramEnd"/>
            <w:r w:rsidR="003F755F" w:rsidRPr="00F012F9">
              <w:rPr>
                <w:rFonts w:ascii="標楷體" w:eastAsia="標楷體" w:hAnsi="標楷體" w:hint="eastAsia"/>
              </w:rPr>
              <w:t>損失。A公司</w:t>
            </w:r>
            <w:proofErr w:type="gramStart"/>
            <w:r w:rsidR="003F755F" w:rsidRPr="00F012F9">
              <w:rPr>
                <w:rFonts w:ascii="標楷體" w:eastAsia="標楷體" w:hAnsi="標楷體" w:hint="eastAsia"/>
              </w:rPr>
              <w:t>104</w:t>
            </w:r>
            <w:proofErr w:type="gramEnd"/>
            <w:r w:rsidR="003F755F" w:rsidRPr="00F012F9">
              <w:rPr>
                <w:rFonts w:ascii="標楷體" w:eastAsia="標楷體" w:hAnsi="標楷體" w:hint="eastAsia"/>
              </w:rPr>
              <w:t>年度合併財務報告之綜合損益，係按IAS 1規定列報歸屬於母公司業主及非控制權益，於</w:t>
            </w:r>
            <w:proofErr w:type="gramStart"/>
            <w:r w:rsidR="003F755F" w:rsidRPr="00F012F9">
              <w:rPr>
                <w:rFonts w:ascii="標楷體" w:eastAsia="標楷體" w:hAnsi="標楷體" w:hint="eastAsia"/>
              </w:rPr>
              <w:t>105</w:t>
            </w:r>
            <w:proofErr w:type="gramEnd"/>
            <w:r w:rsidR="003F755F" w:rsidRPr="00F012F9">
              <w:rPr>
                <w:rFonts w:ascii="標楷體" w:eastAsia="標楷體" w:hAnsi="標楷體" w:hint="eastAsia"/>
              </w:rPr>
              <w:t>年度增加對B公司持股時，亦依IFRS 10有關權益交易之規定處理，將</w:t>
            </w:r>
            <w:proofErr w:type="gramStart"/>
            <w:r w:rsidR="003F755F" w:rsidRPr="00F012F9">
              <w:rPr>
                <w:rFonts w:ascii="標楷體" w:eastAsia="標楷體" w:hAnsi="標楷體" w:hint="eastAsia"/>
              </w:rPr>
              <w:t>影響數認列</w:t>
            </w:r>
            <w:proofErr w:type="gramEnd"/>
            <w:r w:rsidR="003F755F" w:rsidRPr="00F012F9">
              <w:rPr>
                <w:rFonts w:ascii="標楷體" w:eastAsia="標楷體" w:hAnsi="標楷體" w:hint="eastAsia"/>
              </w:rPr>
              <w:t>於A公司之資本公積(及保留盈餘)。A公司將此以成本衡量之權益工具投資於初次適用日指定為透過其他綜合損益按公允價值衡量之權益工具投資，對於先前</w:t>
            </w:r>
            <w:proofErr w:type="gramStart"/>
            <w:r w:rsidR="003F755F" w:rsidRPr="00F012F9">
              <w:rPr>
                <w:rFonts w:ascii="標楷體" w:eastAsia="標楷體" w:hAnsi="標楷體" w:hint="eastAsia"/>
              </w:rPr>
              <w:t>認列減損</w:t>
            </w:r>
            <w:proofErr w:type="gramEnd"/>
            <w:r w:rsidR="003F755F" w:rsidRPr="00F012F9">
              <w:rPr>
                <w:rFonts w:ascii="標楷體" w:eastAsia="標楷體" w:hAnsi="標楷體" w:hint="eastAsia"/>
              </w:rPr>
              <w:t>損失之金額應如何調整?</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IFRS9第7.2.8段之規定，企業得於初次適用日依第5.7.5段之規定將權益工具投資指定為透過其他綜合損益按公允價值衡量；此一指定應根據初次適用日存在之事實及情況作成並依IFRS9第7.2.1段、7.2.8段、7.2.12段及7.2.15段等規定追溯適用該分類，另企業若未重編以前</w:t>
            </w:r>
            <w:proofErr w:type="gramStart"/>
            <w:r w:rsidR="003F755F" w:rsidRPr="00F012F9">
              <w:rPr>
                <w:rFonts w:ascii="標楷體" w:eastAsia="標楷體" w:hAnsi="標楷體" w:hint="eastAsia"/>
              </w:rPr>
              <w:t>期間，</w:t>
            </w:r>
            <w:proofErr w:type="gramEnd"/>
            <w:r w:rsidR="003F755F" w:rsidRPr="00F012F9">
              <w:rPr>
                <w:rFonts w:ascii="標楷體" w:eastAsia="標楷體" w:hAnsi="標楷體" w:hint="eastAsia"/>
              </w:rPr>
              <w:t>則應將先前</w:t>
            </w:r>
            <w:proofErr w:type="gramStart"/>
            <w:r w:rsidR="003F755F" w:rsidRPr="00F012F9">
              <w:rPr>
                <w:rFonts w:ascii="標楷體" w:eastAsia="標楷體" w:hAnsi="標楷體" w:hint="eastAsia"/>
              </w:rPr>
              <w:t>帳面</w:t>
            </w:r>
            <w:proofErr w:type="gramEnd"/>
            <w:r w:rsidR="003F755F" w:rsidRPr="00F012F9">
              <w:rPr>
                <w:rFonts w:ascii="標楷體" w:eastAsia="標楷體" w:hAnsi="標楷體" w:hint="eastAsia"/>
              </w:rPr>
              <w:t>金額與包含初次適用日之年度報導期間開始日</w:t>
            </w:r>
            <w:proofErr w:type="gramStart"/>
            <w:r w:rsidR="003F755F" w:rsidRPr="00F012F9">
              <w:rPr>
                <w:rFonts w:ascii="標楷體" w:eastAsia="標楷體" w:hAnsi="標楷體" w:hint="eastAsia"/>
              </w:rPr>
              <w:t>帳面</w:t>
            </w:r>
            <w:proofErr w:type="gramEnd"/>
            <w:r w:rsidR="003F755F" w:rsidRPr="00F012F9">
              <w:rPr>
                <w:rFonts w:ascii="標楷體" w:eastAsia="標楷體" w:hAnsi="標楷體" w:hint="eastAsia"/>
              </w:rPr>
              <w:t>金額間之任何差額，認列於包含初次適用日之年度報導期間之初始保留盈餘中（或適當時，認列於其他權益組成部分中）。</w:t>
            </w:r>
          </w:p>
          <w:p w:rsidR="00F0202C" w:rsidRDefault="00F0202C" w:rsidP="00F0202C">
            <w:pPr>
              <w:snapToGrid w:val="0"/>
              <w:ind w:left="240" w:hangingChars="100" w:hanging="240"/>
              <w:rPr>
                <w:rFonts w:ascii="標楷體" w:eastAsia="標楷體" w:hAnsi="標楷體"/>
              </w:rPr>
            </w:pPr>
            <w:r>
              <w:rPr>
                <w:rFonts w:ascii="標楷體" w:eastAsia="標楷體" w:hAnsi="標楷體" w:hint="eastAsia"/>
              </w:rPr>
              <w:t>2.</w:t>
            </w:r>
          </w:p>
          <w:p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(1)企業對於初次適用日指定為透過其他綜合損益按公允價值衡量之權益工具投資應追溯適用IFRS9對透過其他綜合損益按公允價值衡量之權益工具之規定。</w:t>
            </w:r>
            <w:proofErr w:type="gramStart"/>
            <w:r w:rsidRPr="00F012F9">
              <w:rPr>
                <w:rFonts w:ascii="標楷體" w:eastAsia="標楷體" w:hAnsi="標楷體" w:hint="eastAsia"/>
              </w:rPr>
              <w:t>此外，</w:t>
            </w:r>
            <w:proofErr w:type="gramEnd"/>
            <w:r w:rsidRPr="00F012F9">
              <w:rPr>
                <w:rFonts w:ascii="標楷體" w:eastAsia="標楷體" w:hAnsi="標楷體" w:hint="eastAsia"/>
              </w:rPr>
              <w:t>先前</w:t>
            </w:r>
            <w:proofErr w:type="gramStart"/>
            <w:r w:rsidRPr="00F012F9">
              <w:rPr>
                <w:rFonts w:ascii="標楷體" w:eastAsia="標楷體" w:hAnsi="標楷體" w:hint="eastAsia"/>
              </w:rPr>
              <w:t>認列減損</w:t>
            </w:r>
            <w:proofErr w:type="gramEnd"/>
            <w:r w:rsidRPr="00F012F9">
              <w:rPr>
                <w:rFonts w:ascii="標楷體" w:eastAsia="標楷體" w:hAnsi="標楷體" w:hint="eastAsia"/>
              </w:rPr>
              <w:t>損失而累積於保留盈餘之金額應調整至其他權益。</w:t>
            </w:r>
          </w:p>
          <w:p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(2)企業採用IFRSs新公報而追溯調整以前年度會計處理所產生之保留盈餘</w:t>
            </w:r>
            <w:proofErr w:type="gramStart"/>
            <w:r w:rsidRPr="00F012F9">
              <w:rPr>
                <w:rFonts w:ascii="標楷體" w:eastAsia="標楷體" w:hAnsi="標楷體" w:hint="eastAsia"/>
              </w:rPr>
              <w:t>調整數非為</w:t>
            </w:r>
            <w:proofErr w:type="gramEnd"/>
            <w:r w:rsidRPr="00F012F9">
              <w:rPr>
                <w:rFonts w:ascii="標楷體" w:eastAsia="標楷體" w:hAnsi="標楷體" w:hint="eastAsia"/>
              </w:rPr>
              <w:t>金管會101年4月6日</w:t>
            </w:r>
            <w:proofErr w:type="gramStart"/>
            <w:r w:rsidRPr="00F012F9">
              <w:rPr>
                <w:rFonts w:ascii="標楷體" w:eastAsia="標楷體" w:hAnsi="標楷體" w:hint="eastAsia"/>
              </w:rPr>
              <w:t>金管證發</w:t>
            </w:r>
            <w:proofErr w:type="gramEnd"/>
            <w:r w:rsidRPr="00F012F9">
              <w:rPr>
                <w:rFonts w:ascii="標楷體" w:eastAsia="標楷體" w:hAnsi="標楷體" w:hint="eastAsia"/>
              </w:rPr>
              <w:t>字第1010012865號函令應提列特別盈餘公積之範圍；</w:t>
            </w:r>
            <w:proofErr w:type="gramStart"/>
            <w:r w:rsidRPr="00F012F9">
              <w:rPr>
                <w:rFonts w:ascii="標楷體" w:eastAsia="標楷體" w:hAnsi="標楷體" w:hint="eastAsia"/>
              </w:rPr>
              <w:t>惟</w:t>
            </w:r>
            <w:proofErr w:type="gramEnd"/>
            <w:r w:rsidRPr="00F012F9">
              <w:rPr>
                <w:rFonts w:ascii="標楷體" w:eastAsia="標楷體" w:hAnsi="標楷體" w:hint="eastAsia"/>
              </w:rPr>
              <w:t>調整後之其他權益項目倘與其他權益項目合併考量後產生減項淨額，則應依</w:t>
            </w:r>
            <w:proofErr w:type="gramStart"/>
            <w:r w:rsidRPr="00F012F9">
              <w:rPr>
                <w:rFonts w:ascii="標楷體" w:eastAsia="標楷體" w:hAnsi="標楷體" w:hint="eastAsia"/>
              </w:rPr>
              <w:t>前揭函令</w:t>
            </w:r>
            <w:proofErr w:type="gramEnd"/>
            <w:r w:rsidRPr="00F012F9">
              <w:rPr>
                <w:rFonts w:ascii="標楷體" w:eastAsia="標楷體" w:hAnsi="標楷體" w:hint="eastAsia"/>
              </w:rPr>
              <w:t>規定提列特別盈餘公積。</w:t>
            </w:r>
          </w:p>
          <w:p w:rsidR="003F755F" w:rsidRPr="003D0A5A"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首次適用IFRS 9時，原則應依IFRS 9第7.2.8段規定追溯調整，惟先前與非控制權益間之權益交易若追溯不可行時，企業應依IAS8第24及25段之規定處理。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F0202C">
            <w:pPr>
              <w:snapToGrid w:val="0"/>
              <w:rPr>
                <w:rFonts w:ascii="標楷體" w:eastAsia="標楷體" w:hAnsi="標楷體"/>
              </w:rPr>
            </w:pPr>
            <w:r w:rsidRPr="00F012F9">
              <w:rPr>
                <w:rFonts w:ascii="標楷體" w:eastAsia="標楷體" w:hAnsi="標楷體" w:hint="eastAsia"/>
              </w:rPr>
              <w:t>依IFRS9之規定，未上市（櫃）公司之股份（或其他類似無活絡市場公開報價之投資工具）須以公允價值衡量，企業於評估未上市（櫃）公司之股份（或其他類似無活絡市場報價之投資工具）之公允價值時，除有IFRS9第B5.2.4段所述情形外，是否可考量重大性原則，以成本作為公允價值之依據？</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B5.2.3</w:t>
            </w:r>
            <w:r w:rsidR="003F755F" w:rsidRPr="00F012F9">
              <w:rPr>
                <w:rFonts w:ascii="標楷體" w:eastAsia="標楷體" w:hAnsi="標楷體" w:hint="eastAsia"/>
              </w:rPr>
              <w:t>段之規定，所有權益工具及權益工具合約之</w:t>
            </w:r>
            <w:proofErr w:type="gramStart"/>
            <w:r w:rsidR="003F755F" w:rsidRPr="00F012F9">
              <w:rPr>
                <w:rFonts w:ascii="標楷體" w:eastAsia="標楷體" w:hAnsi="標楷體" w:hint="eastAsia"/>
              </w:rPr>
              <w:t>投資均應按</w:t>
            </w:r>
            <w:proofErr w:type="gramEnd"/>
            <w:r w:rsidR="003F755F" w:rsidRPr="00F012F9">
              <w:rPr>
                <w:rFonts w:ascii="標楷體" w:eastAsia="標楷體" w:hAnsi="標楷體" w:hint="eastAsia"/>
              </w:rPr>
              <w:t>公允價值衡量。惟在有限情況下，成本可能為公允價值之</w:t>
            </w:r>
            <w:proofErr w:type="gramStart"/>
            <w:r w:rsidR="003F755F" w:rsidRPr="00F012F9">
              <w:rPr>
                <w:rFonts w:ascii="標楷體" w:eastAsia="標楷體" w:hAnsi="標楷體" w:hint="eastAsia"/>
              </w:rPr>
              <w:t>一</w:t>
            </w:r>
            <w:proofErr w:type="gramEnd"/>
            <w:r w:rsidR="003F755F" w:rsidRPr="00F012F9">
              <w:rPr>
                <w:rFonts w:ascii="標楷體" w:eastAsia="標楷體" w:hAnsi="標楷體" w:hint="eastAsia"/>
              </w:rPr>
              <w:t>適當估計。此種情況可能包括無充分之較近期資訊可供衡量公允價值，或可能之公允價值衡量區間廣而成本代表該區間內公允價值之最佳估計。</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依IAS1第7段之規定，某些項目之遺漏或</w:t>
            </w:r>
            <w:proofErr w:type="gramStart"/>
            <w:r w:rsidR="003F755F" w:rsidRPr="00F012F9">
              <w:rPr>
                <w:rFonts w:ascii="標楷體" w:eastAsia="標楷體" w:hAnsi="標楷體" w:hint="eastAsia"/>
              </w:rPr>
              <w:t>誤述如</w:t>
            </w:r>
            <w:proofErr w:type="gramEnd"/>
            <w:r w:rsidR="003F755F" w:rsidRPr="00F012F9">
              <w:rPr>
                <w:rFonts w:ascii="標楷體" w:eastAsia="標楷體" w:hAnsi="標楷體" w:hint="eastAsia"/>
              </w:rPr>
              <w:t>可能個別或集體影響使用者根據財務報表所作之經濟決策，則該遺漏</w:t>
            </w:r>
            <w:proofErr w:type="gramStart"/>
            <w:r w:rsidR="003F755F" w:rsidRPr="00F012F9">
              <w:rPr>
                <w:rFonts w:ascii="標楷體" w:eastAsia="標楷體" w:hAnsi="標楷體" w:hint="eastAsia"/>
              </w:rPr>
              <w:t>或誤述為重</w:t>
            </w:r>
            <w:proofErr w:type="gramEnd"/>
            <w:r w:rsidR="003F755F" w:rsidRPr="00F012F9">
              <w:rPr>
                <w:rFonts w:ascii="標楷體" w:eastAsia="標楷體" w:hAnsi="標楷體" w:hint="eastAsia"/>
              </w:rPr>
              <w:t>大。重大性取決於依所處情況所判斷遺漏</w:t>
            </w:r>
            <w:proofErr w:type="gramStart"/>
            <w:r w:rsidR="003F755F" w:rsidRPr="00F012F9">
              <w:rPr>
                <w:rFonts w:ascii="標楷體" w:eastAsia="標楷體" w:hAnsi="標楷體" w:hint="eastAsia"/>
              </w:rPr>
              <w:t>或誤述之</w:t>
            </w:r>
            <w:proofErr w:type="gramEnd"/>
            <w:r w:rsidR="003F755F" w:rsidRPr="00F012F9">
              <w:rPr>
                <w:rFonts w:ascii="標楷體" w:eastAsia="標楷體" w:hAnsi="標楷體" w:hint="eastAsia"/>
              </w:rPr>
              <w:t>大小及性質。</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企業應依</w:t>
            </w:r>
            <w:r w:rsidR="003F755F" w:rsidRPr="00F012F9">
              <w:rPr>
                <w:rFonts w:ascii="標楷體" w:eastAsia="標楷體" w:hAnsi="標楷體"/>
              </w:rPr>
              <w:t>IFRS9</w:t>
            </w:r>
            <w:r w:rsidR="003F755F" w:rsidRPr="00F012F9">
              <w:rPr>
                <w:rFonts w:ascii="標楷體" w:eastAsia="標楷體" w:hAnsi="標楷體" w:hint="eastAsia"/>
              </w:rPr>
              <w:t>之規定衡量金融工具之公允價值，不宜</w:t>
            </w:r>
            <w:proofErr w:type="gramStart"/>
            <w:r w:rsidR="003F755F" w:rsidRPr="00F012F9">
              <w:rPr>
                <w:rFonts w:ascii="標楷體" w:eastAsia="標楷體" w:hAnsi="標楷體" w:hint="eastAsia"/>
              </w:rPr>
              <w:t>逕</w:t>
            </w:r>
            <w:proofErr w:type="gramEnd"/>
            <w:r w:rsidR="003F755F" w:rsidRPr="00F012F9">
              <w:rPr>
                <w:rFonts w:ascii="標楷體" w:eastAsia="標楷體" w:hAnsi="標楷體" w:hint="eastAsia"/>
              </w:rPr>
              <w:t>以考量重大性為由，以成本作為其公允價值。</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4.</w:t>
            </w:r>
            <w:r w:rsidR="003F755F">
              <w:rPr>
                <w:rFonts w:ascii="標楷體" w:eastAsia="標楷體" w:hAnsi="標楷體" w:hint="eastAsia"/>
              </w:rPr>
              <w:t>本案已</w:t>
            </w:r>
            <w:r w:rsidR="003F755F" w:rsidRPr="00F012F9">
              <w:rPr>
                <w:rFonts w:ascii="標楷體" w:eastAsia="標楷體" w:hAnsi="標楷體" w:hint="eastAsia"/>
              </w:rPr>
              <w:t>製作</w:t>
            </w:r>
            <w:proofErr w:type="gramStart"/>
            <w:r w:rsidR="003F755F" w:rsidRPr="00F012F9">
              <w:rPr>
                <w:rFonts w:ascii="標楷體" w:eastAsia="標楷體" w:hAnsi="標楷體" w:hint="eastAsia"/>
              </w:rPr>
              <w:t>相關釋例供</w:t>
            </w:r>
            <w:proofErr w:type="gramEnd"/>
            <w:r w:rsidR="003F755F" w:rsidRPr="00F012F9">
              <w:rPr>
                <w:rFonts w:ascii="標楷體" w:eastAsia="標楷體" w:hAnsi="標楷體" w:hint="eastAsia"/>
              </w:rPr>
              <w:t>企業參考。</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公允價值衡量</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證券化商品</w:t>
            </w:r>
            <w:proofErr w:type="gramStart"/>
            <w:r w:rsidRPr="00F012F9">
              <w:rPr>
                <w:rFonts w:ascii="標楷體" w:eastAsia="標楷體" w:hAnsi="標楷體" w:hint="eastAsia"/>
              </w:rPr>
              <w:t>─</w:t>
            </w:r>
            <w:proofErr w:type="gramEnd"/>
            <w:r w:rsidRPr="00F012F9">
              <w:rPr>
                <w:rFonts w:ascii="標楷體" w:eastAsia="標楷體" w:hAnsi="標楷體" w:hint="eastAsia"/>
              </w:rPr>
              <w:t>房貸抵押憑證(Agency CMO，例如二房債券Fannie Mae、Freddie Mac)，若由政府擔保，是否能判斷其具備支付本金及流通在外本金金額之利息之現金流量特性?另IFRS9第B4.1.22段深入檢視之規定要如何執行?</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證券化商品應依IFRS 9.B4.1.20-B4.1.26之規定評估所投資分級證券之合約條款與信用</w:t>
            </w:r>
            <w:proofErr w:type="gramStart"/>
            <w:r w:rsidR="003F755F" w:rsidRPr="00F012F9">
              <w:rPr>
                <w:rFonts w:ascii="標楷體" w:eastAsia="標楷體" w:hAnsi="標楷體" w:hint="eastAsia"/>
              </w:rPr>
              <w:t>風險暴險</w:t>
            </w:r>
            <w:proofErr w:type="gramEnd"/>
            <w:r w:rsidR="003F755F" w:rsidRPr="00F012F9">
              <w:rPr>
                <w:rFonts w:ascii="標楷體" w:eastAsia="標楷體" w:hAnsi="標楷體" w:hint="eastAsia"/>
              </w:rPr>
              <w:t>，並深入檢視實際產生現金流量之標的金融工具群組中各項金融工具，以決定分級證券是否具備支付本金及流通在外本金金額之利息之現金流量特性。</w:t>
            </w:r>
          </w:p>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為符合IFRS 9 B4.1.22規定企業應能取得資產池資訊並可以辨識資產池裡是否含有包含一項或多項工具，其合約現金流量完全為支付本金及流通在外本金金額之利息，及其他工具(通常為衍生性工具)特性。</w:t>
            </w:r>
          </w:p>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若政府之完全保證使該分級證券之信用</w:t>
            </w:r>
            <w:proofErr w:type="gramStart"/>
            <w:r w:rsidR="003F755F" w:rsidRPr="00F012F9">
              <w:rPr>
                <w:rFonts w:ascii="標楷體" w:eastAsia="標楷體" w:hAnsi="標楷體" w:hint="eastAsia"/>
              </w:rPr>
              <w:t>風險暴險等於</w:t>
            </w:r>
            <w:proofErr w:type="gramEnd"/>
            <w:r w:rsidR="003F755F" w:rsidRPr="00F012F9">
              <w:rPr>
                <w:rFonts w:ascii="標楷體" w:eastAsia="標楷體" w:hAnsi="標楷體" w:hint="eastAsia"/>
              </w:rPr>
              <w:t>或低於標的金融工具群組之信用</w:t>
            </w:r>
            <w:proofErr w:type="gramStart"/>
            <w:r w:rsidR="003F755F" w:rsidRPr="00F012F9">
              <w:rPr>
                <w:rFonts w:ascii="標楷體" w:eastAsia="標楷體" w:hAnsi="標楷體" w:hint="eastAsia"/>
              </w:rPr>
              <w:t>風險暴險</w:t>
            </w:r>
            <w:proofErr w:type="gramEnd"/>
            <w:r w:rsidR="003F755F" w:rsidRPr="00F012F9">
              <w:rPr>
                <w:rFonts w:ascii="標楷體" w:eastAsia="標楷體" w:hAnsi="標楷體" w:hint="eastAsia"/>
              </w:rPr>
              <w:t>，並且符合前述之其他條件，則該分級證券具備支付本金及流通在外本金金額之利息之現金流量特性。</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roofErr w:type="gramStart"/>
            <w:r w:rsidRPr="00F012F9">
              <w:rPr>
                <w:rFonts w:ascii="標楷體" w:eastAsia="標楷體" w:hAnsi="標楷體" w:hint="eastAsia"/>
              </w:rPr>
              <w:t>國內次</w:t>
            </w:r>
            <w:proofErr w:type="gramEnd"/>
            <w:r w:rsidRPr="00F012F9">
              <w:rPr>
                <w:rFonts w:ascii="標楷體" w:eastAsia="標楷體" w:hAnsi="標楷體" w:hint="eastAsia"/>
              </w:rPr>
              <w:t>順位金融債發行條件常見「延遲支付之利息不計息」之條款對其分類之影響?</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B4.1.14</w:t>
            </w:r>
            <w:r w:rsidR="003F755F" w:rsidRPr="00F012F9">
              <w:rPr>
                <w:rFonts w:ascii="標楷體" w:eastAsia="標楷體" w:hAnsi="標楷體" w:hint="eastAsia"/>
              </w:rPr>
              <w:t>段之規定，若發行人可能須遞延支付利息，且該等遞延利息並不再加計利息，該利息並非流通在外本金金額之貨幣時間價值之對價。</w:t>
            </w:r>
          </w:p>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B4.1.18</w:t>
            </w:r>
            <w:r w:rsidR="003F755F" w:rsidRPr="00F012F9">
              <w:rPr>
                <w:rFonts w:ascii="標楷體" w:eastAsia="標楷體" w:hAnsi="標楷體" w:hint="eastAsia"/>
              </w:rPr>
              <w:t>段之規定，若某項合約現金流量特性對合約現金流量之影響可能超過微不足道（於單一報導期間或累積），但該項現金流量特性不具真實性，則其不影響金融資產之分類。若某項現金流量特性僅於極罕見、高度異常且非常不可能發生之事項發生時始影響工具之合約現金流量，則該項現金流量特性不具真實性。</w:t>
            </w:r>
          </w:p>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 xml:space="preserve">                                               </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企業在進行利率結構型債券之金融資產分類時，應如何將槓桿之影響納入考量？</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5362EA" w:rsidRDefault="005362EA"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依IFRS 9第4.1.3 段之規定，利息由下列對價組成：貨幣時間價值、與特定期間內流通在外本金金額相關之信用風險，以及其他基本放款風險與成本及利潤邊際。</w:t>
            </w:r>
          </w:p>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另依IFRS 9 第B4.1.9 段所提槓桿之概念，係考量槓桿將提高合約現金流量之變異性，而使得該等現金流量不具備利息之經濟特性。故企業應依上開精神檢視「利率結構型債券」之特性是否具備利息之經濟特性。</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rPr>
              <w:t>資產管理公司所購入之不良債權（NPL），依IFRS 9應如何分類？</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1.資產管理公司所購入之不良債權，應依IFRS 9.4.1之規定，考量企業管理金融資產之經營模式及金融資產之合約現金流量特性，決定其應分類為</w:t>
            </w:r>
            <w:proofErr w:type="gramStart"/>
            <w:r w:rsidRPr="00F012F9">
              <w:rPr>
                <w:rFonts w:ascii="標楷體" w:eastAsia="標楷體" w:hAnsi="標楷體" w:hint="eastAsia"/>
              </w:rPr>
              <w:t>以攤銷後</w:t>
            </w:r>
            <w:proofErr w:type="gramEnd"/>
            <w:r w:rsidRPr="00F012F9">
              <w:rPr>
                <w:rFonts w:ascii="標楷體" w:eastAsia="標楷體" w:hAnsi="標楷體" w:hint="eastAsia"/>
              </w:rPr>
              <w:t>成本衡量、透過其他綜合損益按公允價值衡量或透過損益按公允價值衡量。</w:t>
            </w:r>
          </w:p>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2.資產管理公司須依據個案情況，評估不良債權之合約現金流量是否完全為支付本金及流通在外本金金額之利息。</w:t>
            </w:r>
          </w:p>
          <w:p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(1)若資產管理公司係試圖透過各種途徑實現不良債權之合約現金流量，其目的係收取合約現金流量，並非以藉由出售而實現現金流量為目的，則其經營模式係以收取合約現金流量為目的；若該等不良債權符合合約現金流量測試，應分類為</w:t>
            </w:r>
            <w:proofErr w:type="gramStart"/>
            <w:r w:rsidRPr="005362EA">
              <w:rPr>
                <w:rFonts w:ascii="標楷體" w:eastAsia="標楷體" w:hAnsi="標楷體" w:hint="eastAsia"/>
              </w:rPr>
              <w:t>以攤銷後</w:t>
            </w:r>
            <w:proofErr w:type="gramEnd"/>
            <w:r w:rsidRPr="005362EA">
              <w:rPr>
                <w:rFonts w:ascii="標楷體" w:eastAsia="標楷體" w:hAnsi="標楷體" w:hint="eastAsia"/>
              </w:rPr>
              <w:t>成本衡量（若有會計配比不當亦可指定透過損益按公允價值衡量）。即使資產管理公司並不預期會收取所有不良債權合約現金流量，亦不影響前述分析。</w:t>
            </w:r>
            <w:proofErr w:type="gramStart"/>
            <w:r w:rsidRPr="005362EA">
              <w:rPr>
                <w:rFonts w:ascii="標楷體" w:eastAsia="標楷體" w:hAnsi="標楷體" w:hint="eastAsia"/>
              </w:rPr>
              <w:t>以攤銷後</w:t>
            </w:r>
            <w:proofErr w:type="gramEnd"/>
            <w:r w:rsidRPr="005362EA">
              <w:rPr>
                <w:rFonts w:ascii="標楷體" w:eastAsia="標楷體" w:hAnsi="標楷體" w:hint="eastAsia"/>
              </w:rPr>
              <w:t>成本衡量之不良債權，後續應採用信用調整後有效利率計算利息收入，並應持續評估存續期間預期信用損失。 </w:t>
            </w:r>
          </w:p>
          <w:p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(2)若資產管理公司管理所購入不良債權之方式，係同時藉由收取合約現金流量及出售金融資產達成目的， 若該等不良債權符合合約現金流量測試，應分類為以透過其他綜合損益按公允價值衡量(若有會計配比不當亦可指定透過損益按公允價值衡量)。透過其他綜合損益按公允價值衡量之不良債權，後續應採用信用調整後有效利率計算利息收入，並應持續評估存續期間預期信用損失及衡量公允價值。</w:t>
            </w:r>
          </w:p>
          <w:p w:rsidR="003F755F" w:rsidRPr="00F012F9" w:rsidRDefault="003F755F" w:rsidP="005362EA">
            <w:pPr>
              <w:snapToGrid w:val="0"/>
              <w:ind w:leftChars="100" w:left="600" w:hangingChars="150" w:hanging="360"/>
              <w:rPr>
                <w:rFonts w:ascii="標楷體" w:eastAsia="標楷體" w:hAnsi="標楷體"/>
                <w:szCs w:val="22"/>
              </w:rPr>
            </w:pPr>
            <w:r w:rsidRPr="00F012F9">
              <w:rPr>
                <w:rFonts w:ascii="標楷體" w:eastAsia="標楷體" w:hAnsi="標楷體" w:hint="eastAsia"/>
              </w:rPr>
              <w:t>(3)若資產管理公司管理所購入不良債權之方式，係以再出售或收取相關擔保品為目的，其經營模式則非屬以收取合約現金流量為目的，亦非藉由收取合約現金流量及出售金融資產達成目的，故該等不良債權應分類為透過損益按公允價值衡量。</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proofErr w:type="gramStart"/>
            <w:r w:rsidRPr="00F012F9">
              <w:rPr>
                <w:rFonts w:ascii="標楷體" w:eastAsia="標楷體" w:hAnsi="標楷體" w:cs="Times New Roman" w:hint="eastAsia"/>
                <w:kern w:val="2"/>
              </w:rPr>
              <w:t>採</w:t>
            </w:r>
            <w:proofErr w:type="gramEnd"/>
            <w:r w:rsidRPr="00F012F9">
              <w:rPr>
                <w:rFonts w:ascii="標楷體" w:eastAsia="標楷體" w:hAnsi="標楷體" w:cs="Times New Roman" w:hint="eastAsia"/>
                <w:kern w:val="2"/>
              </w:rPr>
              <w:t>加權平均計算單位成本之金融資產，適用IFRS 9時其單位成本是否可不予追溯計算?</w:t>
            </w:r>
          </w:p>
          <w:p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r w:rsidRPr="00F012F9">
              <w:rPr>
                <w:rFonts w:ascii="標楷體" w:eastAsia="標楷體" w:hAnsi="標楷體" w:cs="Times New Roman" w:hint="eastAsia"/>
                <w:kern w:val="2"/>
              </w:rPr>
              <w:t>公司權益證券投資成本計算方式為同一會計分類下按加權平均法計算，即同一檔標的於不同會計分類下，隨時間經過、交易買進賣出情形，依加權平均法之計算而有不同單位成本。依IFRS 9第7.2.1規定「IFRS 9</w:t>
            </w:r>
            <w:proofErr w:type="gramStart"/>
            <w:r w:rsidRPr="00F012F9">
              <w:rPr>
                <w:rFonts w:ascii="標楷體" w:eastAsia="標楷體" w:hAnsi="標楷體" w:cs="Times New Roman" w:hint="eastAsia"/>
                <w:kern w:val="2"/>
              </w:rPr>
              <w:t>採</w:t>
            </w:r>
            <w:proofErr w:type="gramEnd"/>
            <w:r w:rsidRPr="00F012F9">
              <w:rPr>
                <w:rFonts w:ascii="標楷體" w:eastAsia="標楷體" w:hAnsi="標楷體" w:cs="Times New Roman" w:hint="eastAsia"/>
                <w:kern w:val="2"/>
              </w:rPr>
              <w:t>追溯適用，除已除列項目外」，若因適用IFRS 9而改變會計分類，依IFRS 9第7.2.1規定需</w:t>
            </w:r>
            <w:proofErr w:type="gramStart"/>
            <w:r w:rsidRPr="00F012F9">
              <w:rPr>
                <w:rFonts w:ascii="標楷體" w:eastAsia="標楷體" w:hAnsi="標楷體" w:cs="Times New Roman" w:hint="eastAsia"/>
                <w:kern w:val="2"/>
              </w:rPr>
              <w:t>採</w:t>
            </w:r>
            <w:proofErr w:type="gramEnd"/>
            <w:r w:rsidRPr="00F012F9">
              <w:rPr>
                <w:rFonts w:ascii="標楷體" w:eastAsia="標楷體" w:hAnsi="標楷體" w:cs="Times New Roman" w:hint="eastAsia"/>
                <w:kern w:val="2"/>
              </w:rPr>
              <w:t>追溯調整，惟其應有之帳列單位成本，</w:t>
            </w:r>
            <w:proofErr w:type="gramStart"/>
            <w:r w:rsidRPr="00F012F9">
              <w:rPr>
                <w:rFonts w:ascii="標楷體" w:eastAsia="標楷體" w:hAnsi="標楷體" w:cs="Times New Roman" w:hint="eastAsia"/>
                <w:kern w:val="2"/>
              </w:rPr>
              <w:t>隨除列</w:t>
            </w:r>
            <w:proofErr w:type="gramEnd"/>
            <w:r w:rsidRPr="00F012F9">
              <w:rPr>
                <w:rFonts w:ascii="標楷體" w:eastAsia="標楷體" w:hAnsi="標楷體" w:cs="Times New Roman" w:hint="eastAsia"/>
                <w:kern w:val="2"/>
              </w:rPr>
              <w:t>項目已不易計算追溯，追溯成本超過效益，是否可直接以轉換當日IAS 39下之單位成本為適用IFRS 9後之單位成本。</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jc w:val="both"/>
              <w:rPr>
                <w:rFonts w:ascii="標楷體" w:eastAsia="標楷體" w:hAnsi="標楷體" w:cs="Times New Roman"/>
                <w:kern w:val="2"/>
              </w:rPr>
            </w:pPr>
            <w:r w:rsidRPr="00F012F9">
              <w:rPr>
                <w:rFonts w:ascii="標楷體" w:eastAsia="標楷體" w:hAnsi="標楷體" w:cs="Times New Roman" w:hint="eastAsia"/>
                <w:kern w:val="2"/>
              </w:rPr>
              <w:t>首次適用IFRS9時，原則應依IFRS9第7.2.1段之規定追溯調整，重新計算金融資產之單位成本，惟若追溯適用於實務上不可行，得以轉換日(106.12.31)IAS39下之單位成本做為適用IFRS9後之單位成本。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權益證券投資適用IFRS 9時，其單位成本是否可不予追溯清算股利調整數；適用IFRS 9後，所收股利含「資本公積</w:t>
            </w:r>
            <w:proofErr w:type="gramStart"/>
            <w:r w:rsidRPr="00351089">
              <w:rPr>
                <w:rFonts w:ascii="標楷體" w:eastAsia="標楷體" w:hAnsi="標楷體" w:hint="eastAsia"/>
              </w:rPr>
              <w:t>—</w:t>
            </w:r>
            <w:proofErr w:type="gramEnd"/>
            <w:r w:rsidRPr="00351089">
              <w:rPr>
                <w:rFonts w:ascii="標楷體" w:eastAsia="標楷體" w:hAnsi="標楷體" w:hint="eastAsia"/>
              </w:rPr>
              <w:t>發行股票溢價」項目，可否認列為股利收入</w:t>
            </w:r>
            <w:r w:rsidR="005362EA" w:rsidRPr="00351089">
              <w:rPr>
                <w:rFonts w:ascii="標楷體" w:eastAsia="標楷體" w:hAnsi="標楷體" w:hint="eastAsia"/>
              </w:rPr>
              <w:t>：</w:t>
            </w:r>
          </w:p>
          <w:p w:rsidR="0040117C"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hint="eastAsia"/>
              </w:rPr>
              <w:t>1</w:t>
            </w:r>
            <w:r w:rsidRPr="00351089">
              <w:rPr>
                <w:rFonts w:ascii="標楷體" w:eastAsia="標楷體" w:hAnsi="標楷體" w:cs="Times New Roman" w:hint="eastAsia"/>
                <w:kern w:val="2"/>
              </w:rPr>
              <w:t>.</w:t>
            </w:r>
            <w:r w:rsidR="003F755F" w:rsidRPr="00351089">
              <w:rPr>
                <w:rFonts w:ascii="標楷體" w:eastAsia="標楷體" w:hAnsi="標楷體" w:cs="Times New Roman" w:hint="eastAsia"/>
                <w:kern w:val="2"/>
              </w:rPr>
              <w:t>依IFRS 9第B5.7.1段規定「所收股利明顯代表投資成本之回收者，不認列於損益中，應列投資成本收回」。適用IFRS 9時，依 IFRS 9第7.2.1規定需</w:t>
            </w:r>
            <w:proofErr w:type="gramStart"/>
            <w:r w:rsidR="003F755F" w:rsidRPr="00351089">
              <w:rPr>
                <w:rFonts w:ascii="標楷體" w:eastAsia="標楷體" w:hAnsi="標楷體" w:cs="Times New Roman" w:hint="eastAsia"/>
                <w:kern w:val="2"/>
              </w:rPr>
              <w:t>採</w:t>
            </w:r>
            <w:proofErr w:type="gramEnd"/>
            <w:r w:rsidR="003F755F" w:rsidRPr="00351089">
              <w:rPr>
                <w:rFonts w:ascii="標楷體" w:eastAsia="標楷體" w:hAnsi="標楷體" w:cs="Times New Roman" w:hint="eastAsia"/>
                <w:kern w:val="2"/>
              </w:rPr>
              <w:t>追溯調整清算股利造成投資成本回收之金額，惟其應以清算股利(含資本</w:t>
            </w:r>
            <w:proofErr w:type="gramStart"/>
            <w:r w:rsidR="003F755F" w:rsidRPr="00351089">
              <w:rPr>
                <w:rFonts w:ascii="標楷體" w:eastAsia="標楷體" w:hAnsi="標楷體" w:cs="Times New Roman" w:hint="eastAsia"/>
                <w:kern w:val="2"/>
              </w:rPr>
              <w:t>公積配現金股利</w:t>
            </w:r>
            <w:proofErr w:type="gramEnd"/>
            <w:r w:rsidR="003F755F" w:rsidRPr="00351089">
              <w:rPr>
                <w:rFonts w:ascii="標楷體" w:eastAsia="標楷體" w:hAnsi="標楷體" w:cs="Times New Roman" w:hint="eastAsia"/>
                <w:kern w:val="2"/>
              </w:rPr>
              <w:t>屬投資成本回收者)為基礎之帳列單位成本，</w:t>
            </w:r>
            <w:proofErr w:type="gramStart"/>
            <w:r w:rsidR="003F755F" w:rsidRPr="00351089">
              <w:rPr>
                <w:rFonts w:ascii="標楷體" w:eastAsia="標楷體" w:hAnsi="標楷體" w:cs="Times New Roman" w:hint="eastAsia"/>
                <w:kern w:val="2"/>
              </w:rPr>
              <w:t>隨除列</w:t>
            </w:r>
            <w:proofErr w:type="gramEnd"/>
            <w:r w:rsidR="003F755F" w:rsidRPr="00351089">
              <w:rPr>
                <w:rFonts w:ascii="標楷體" w:eastAsia="標楷體" w:hAnsi="標楷體" w:cs="Times New Roman" w:hint="eastAsia"/>
                <w:kern w:val="2"/>
              </w:rPr>
              <w:t>項目已不易計算追溯，追溯成本超過效益，是否可直接以轉換當日IAS 39下之單位成本為適用IFRS 9後之單位成本。</w:t>
            </w:r>
          </w:p>
          <w:p w:rsidR="003F755F"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2.</w:t>
            </w:r>
            <w:r w:rsidR="003F755F" w:rsidRPr="00351089">
              <w:rPr>
                <w:rFonts w:ascii="標楷體" w:eastAsia="標楷體" w:hAnsi="標楷體" w:cs="Times New Roman" w:hint="eastAsia"/>
                <w:kern w:val="2"/>
              </w:rPr>
              <w:t>適用IFRS 9後，若所收股利含資本公積</w:t>
            </w:r>
            <w:proofErr w:type="gramStart"/>
            <w:r w:rsidR="003F755F" w:rsidRPr="00351089">
              <w:rPr>
                <w:rFonts w:ascii="標楷體" w:eastAsia="標楷體" w:hAnsi="標楷體" w:cs="Times New Roman" w:hint="eastAsia"/>
                <w:kern w:val="2"/>
              </w:rPr>
              <w:t>—</w:t>
            </w:r>
            <w:proofErr w:type="gramEnd"/>
            <w:r w:rsidR="003F755F" w:rsidRPr="00351089">
              <w:rPr>
                <w:rFonts w:ascii="標楷體" w:eastAsia="標楷體" w:hAnsi="標楷體" w:cs="Times New Roman" w:hint="eastAsia"/>
                <w:kern w:val="2"/>
              </w:rPr>
              <w:t>發行股票溢價時，因實務上公司持有之投資股票並非全數原始認購，持有期間有多次於集中市場買進及賣出之交易，已無法區分持有之股數中，原始認購之數量為何及購買價格與分配之資本公積</w:t>
            </w:r>
            <w:proofErr w:type="gramStart"/>
            <w:r w:rsidR="003F755F" w:rsidRPr="00351089">
              <w:rPr>
                <w:rFonts w:ascii="標楷體" w:eastAsia="標楷體" w:hAnsi="標楷體" w:cs="Times New Roman" w:hint="eastAsia"/>
                <w:kern w:val="2"/>
              </w:rPr>
              <w:t>—</w:t>
            </w:r>
            <w:proofErr w:type="gramEnd"/>
            <w:r w:rsidR="003F755F" w:rsidRPr="00351089">
              <w:rPr>
                <w:rFonts w:ascii="標楷體" w:eastAsia="標楷體" w:hAnsi="標楷體" w:cs="Times New Roman" w:hint="eastAsia"/>
                <w:kern w:val="2"/>
              </w:rPr>
              <w:t>發行股票溢價之關聯</w:t>
            </w:r>
            <w:r w:rsidR="007F4EF0">
              <w:rPr>
                <w:rFonts w:ascii="標楷體" w:eastAsia="標楷體" w:hAnsi="標楷體" w:cs="Times New Roman" w:hint="eastAsia"/>
                <w:kern w:val="2"/>
              </w:rPr>
              <w:t>。</w:t>
            </w:r>
          </w:p>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IFRS 9明顯代表部份投資成本之回收並未有明確定義，亦無相關指引。基於明顯代表投資成本回收之概念，僅限於取得明顯佐證者始符合該定義，例如:清算股利(liquidating dividend)，當公司清算時，將剩餘的現金支付予股東，稱之清算股利。廣義來說，當公司發放股利金額超過保留盈餘與資本公積的總額，便應視為清算股利，其</w:t>
            </w:r>
            <w:proofErr w:type="gramStart"/>
            <w:r w:rsidRPr="00351089">
              <w:rPr>
                <w:rFonts w:ascii="標楷體" w:eastAsia="標楷體" w:hAnsi="標楷體" w:hint="eastAsia"/>
              </w:rPr>
              <w:t>類似減</w:t>
            </w:r>
            <w:proofErr w:type="gramEnd"/>
            <w:r w:rsidRPr="00351089">
              <w:rPr>
                <w:rFonts w:ascii="標楷體" w:eastAsia="標楷體" w:hAnsi="標楷體" w:hint="eastAsia"/>
              </w:rPr>
              <w:t>資活動。</w:t>
            </w:r>
          </w:p>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 xml:space="preserve">IFRS 9 </w:t>
            </w:r>
            <w:r w:rsidR="005362EA" w:rsidRPr="00351089">
              <w:rPr>
                <w:rFonts w:ascii="標楷體" w:eastAsia="標楷體" w:hAnsi="標楷體" w:hint="eastAsia"/>
              </w:rPr>
              <w:t>第</w:t>
            </w:r>
            <w:r w:rsidRPr="00351089">
              <w:rPr>
                <w:rFonts w:ascii="標楷體" w:eastAsia="標楷體" w:hAnsi="標楷體" w:hint="eastAsia"/>
              </w:rPr>
              <w:t>BC5.25</w:t>
            </w:r>
            <w:r w:rsidR="005362EA" w:rsidRPr="00351089">
              <w:rPr>
                <w:rFonts w:ascii="標楷體" w:eastAsia="標楷體" w:hAnsi="標楷體" w:hint="eastAsia"/>
              </w:rPr>
              <w:t>段，</w:t>
            </w:r>
            <w:r w:rsidRPr="00351089">
              <w:rPr>
                <w:rFonts w:ascii="標楷體" w:eastAsia="標楷體" w:hAnsi="標楷體" w:hint="eastAsia"/>
              </w:rPr>
              <w:t>國際會計準則理事會（IASB）指出，因股利可能代表投資之退回而非代表投資報酬，故仍可能存有操弄之機會。因此，國際會計準則理事會（IASB）決定明確代表部分投資成本回收之股利不得認列於損益中。</w:t>
            </w:r>
            <w:proofErr w:type="gramStart"/>
            <w:r w:rsidRPr="00351089">
              <w:rPr>
                <w:rFonts w:ascii="標楷體" w:eastAsia="標楷體" w:hAnsi="標楷體" w:hint="eastAsia"/>
              </w:rPr>
              <w:t>惟</w:t>
            </w:r>
            <w:proofErr w:type="gramEnd"/>
            <w:r w:rsidRPr="00351089">
              <w:rPr>
                <w:rFonts w:ascii="標楷體" w:eastAsia="標楷體" w:hAnsi="標楷體" w:hint="eastAsia"/>
              </w:rPr>
              <w:t>國際會計準則理事會（IASB）認為，因有能力控制或重大影響該投資股利政策之企業並非依國際財務報導準則第9 號之規定處理其投資，故前述操弄之機會較為有限。</w:t>
            </w:r>
            <w:proofErr w:type="gramStart"/>
            <w:r w:rsidRPr="00351089">
              <w:rPr>
                <w:rFonts w:ascii="標楷體" w:eastAsia="標楷體" w:hAnsi="標楷體" w:hint="eastAsia"/>
              </w:rPr>
              <w:t>此外，</w:t>
            </w:r>
            <w:proofErr w:type="gramEnd"/>
            <w:r w:rsidRPr="00351089">
              <w:rPr>
                <w:rFonts w:ascii="標楷體" w:eastAsia="標楷體" w:hAnsi="標楷體" w:hint="eastAsia"/>
              </w:rPr>
              <w:t>國際會計準則理事會（IASB）決定要求，可讓使用者易於比較認列於損益中之股利與其他公允價值變動之揭露。</w:t>
            </w:r>
          </w:p>
          <w:p w:rsidR="003F755F" w:rsidRPr="0035108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1.以「資本公積-</w:t>
            </w:r>
            <w:r w:rsidR="007F4EF0">
              <w:rPr>
                <w:rFonts w:ascii="標楷體" w:eastAsia="標楷體" w:hAnsi="標楷體" w:cs="Times New Roman" w:hint="eastAsia"/>
                <w:kern w:val="2"/>
              </w:rPr>
              <w:t>發行股票溢價」項目配發之股利</w:t>
            </w:r>
            <w:r w:rsidRPr="006D1FD9">
              <w:rPr>
                <w:rFonts w:ascii="標楷體" w:eastAsia="標楷體" w:hAnsi="標楷體" w:cs="Times New Roman" w:hint="eastAsia"/>
                <w:color w:val="FF0000"/>
                <w:kern w:val="2"/>
              </w:rPr>
              <w:t>，</w:t>
            </w:r>
            <w:r w:rsidRPr="00351089">
              <w:rPr>
                <w:rFonts w:ascii="標楷體" w:eastAsia="標楷體" w:hAnsi="標楷體" w:cs="Times New Roman" w:hint="eastAsia"/>
                <w:kern w:val="2"/>
              </w:rPr>
              <w:t>如可清楚區分，應區分為成本回收或股利收入；若不易區分，則列為股利收入。</w:t>
            </w:r>
          </w:p>
          <w:p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2.首次適用IFRS9時，原則應依IFRS9第7.2.1段之規定追溯調整清算股利部分，重新計算金融資產之單位成本，惟若追溯適用於實務上不可行，得以轉換日(106.12.31) 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金融資產適用IFRS 9時，其單位成本是否可不予追溯交易成本調整數；</w:t>
            </w:r>
            <w:proofErr w:type="gramStart"/>
            <w:r w:rsidRPr="00F012F9">
              <w:rPr>
                <w:rFonts w:ascii="標楷體" w:eastAsia="標楷體" w:hAnsi="標楷體" w:hint="eastAsia"/>
              </w:rPr>
              <w:t>採</w:t>
            </w:r>
            <w:proofErr w:type="gramEnd"/>
            <w:r w:rsidRPr="00F012F9">
              <w:rPr>
                <w:rFonts w:ascii="標楷體" w:eastAsia="標楷體" w:hAnsi="標楷體" w:hint="eastAsia"/>
              </w:rPr>
              <w:t>覆蓋法時，交易成本可否參考原國內財務會計準則第34號公報附錄</w:t>
            </w:r>
            <w:proofErr w:type="gramStart"/>
            <w:r w:rsidRPr="00F012F9">
              <w:rPr>
                <w:rFonts w:ascii="標楷體" w:eastAsia="標楷體" w:hAnsi="標楷體" w:hint="eastAsia"/>
              </w:rPr>
              <w:t>一</w:t>
            </w:r>
            <w:proofErr w:type="gramEnd"/>
            <w:r w:rsidRPr="00F012F9">
              <w:rPr>
                <w:rFonts w:ascii="標楷體" w:eastAsia="標楷體" w:hAnsi="標楷體" w:hint="eastAsia"/>
              </w:rPr>
              <w:t>釋例</w:t>
            </w:r>
            <w:proofErr w:type="gramStart"/>
            <w:r w:rsidRPr="00F012F9">
              <w:rPr>
                <w:rFonts w:ascii="標楷體" w:eastAsia="標楷體" w:hAnsi="標楷體" w:hint="eastAsia"/>
              </w:rPr>
              <w:t>一</w:t>
            </w:r>
            <w:proofErr w:type="gramEnd"/>
            <w:r w:rsidRPr="00F012F9">
              <w:rPr>
                <w:rFonts w:ascii="標楷體" w:eastAsia="標楷體" w:hAnsi="標楷體" w:hint="eastAsia"/>
              </w:rPr>
              <w:t>之</w:t>
            </w:r>
            <w:proofErr w:type="gramStart"/>
            <w:r w:rsidRPr="00F012F9">
              <w:rPr>
                <w:rFonts w:ascii="標楷體" w:eastAsia="標楷體" w:hAnsi="標楷體" w:hint="eastAsia"/>
              </w:rPr>
              <w:t>註</w:t>
            </w:r>
            <w:proofErr w:type="gramEnd"/>
            <w:r w:rsidRPr="00F012F9">
              <w:rPr>
                <w:rFonts w:ascii="標楷體" w:eastAsia="標楷體" w:hAnsi="標楷體" w:hint="eastAsia"/>
              </w:rPr>
              <w:t>：「以公平價值衡量且公平價值變動認列為損益之金融資產，其交易成本於原始認列時可作為原始成本或當期費用。」</w:t>
            </w:r>
          </w:p>
          <w:p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 IFRS 9第5.1.1段及IAS 39第43段規定「交易成本於金融資產原始認列時，非FVPL者計入投資成本；FVPL者入當期費用」。同1.，若因適用IFRS 9而改變會計分類，自FVPL分類至非FVPL或自非FVPL分類至FVPL，使交易成本是否計入原始投資成本中之情況改變，適用IFRS 9時，依 IFRS 9第7.2.1規定需</w:t>
            </w:r>
            <w:proofErr w:type="gramStart"/>
            <w:r w:rsidR="003F755F" w:rsidRPr="00F012F9">
              <w:rPr>
                <w:rFonts w:ascii="標楷體" w:eastAsia="標楷體" w:hAnsi="標楷體" w:hint="eastAsia"/>
              </w:rPr>
              <w:t>採</w:t>
            </w:r>
            <w:proofErr w:type="gramEnd"/>
            <w:r w:rsidR="003F755F" w:rsidRPr="00F012F9">
              <w:rPr>
                <w:rFonts w:ascii="標楷體" w:eastAsia="標楷體" w:hAnsi="標楷體" w:hint="eastAsia"/>
              </w:rPr>
              <w:t>追溯調整，惟其原始投資之交易成本，</w:t>
            </w:r>
            <w:proofErr w:type="gramStart"/>
            <w:r w:rsidR="003F755F" w:rsidRPr="00F012F9">
              <w:rPr>
                <w:rFonts w:ascii="標楷體" w:eastAsia="標楷體" w:hAnsi="標楷體" w:hint="eastAsia"/>
              </w:rPr>
              <w:t>隨除列</w:t>
            </w:r>
            <w:proofErr w:type="gramEnd"/>
            <w:r w:rsidR="003F755F" w:rsidRPr="00F012F9">
              <w:rPr>
                <w:rFonts w:ascii="標楷體" w:eastAsia="標楷體" w:hAnsi="標楷體" w:hint="eastAsia"/>
              </w:rPr>
              <w:t>項目已不易計算追溯，追溯成本超過效益，是否可直接以轉換當日IAS 39下之單位成本為適用IFRS 9後之單位成本。</w:t>
            </w:r>
          </w:p>
          <w:p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依IFRS 4修正第35B段規定「覆蓋法應重分類指定金融資產適用IFRS 9及IAS 39下損益金額之差額」，其中包含交易成本於FVPL及非FVPL不同會計處理下之調整數，需以指定金融資產當期產生之交易成本、當期除列項目應計入IAS 39下投資成本所含之交易成本及尚未除列項目應計入IAS 39下投資成本所含之交易成本計算而得，考量交易成本調整數金額不具重大，是否於計算重分類指定金融資產適用IFRS 9及IAS 39下損益金額之差額時，參考原國內財務會計準則第34號公報附錄</w:t>
            </w:r>
            <w:proofErr w:type="gramStart"/>
            <w:r w:rsidR="003F755F" w:rsidRPr="00F012F9">
              <w:rPr>
                <w:rFonts w:ascii="標楷體" w:eastAsia="標楷體" w:hAnsi="標楷體" w:hint="eastAsia"/>
              </w:rPr>
              <w:t>一</w:t>
            </w:r>
            <w:proofErr w:type="gramEnd"/>
            <w:r w:rsidR="003F755F" w:rsidRPr="00F012F9">
              <w:rPr>
                <w:rFonts w:ascii="標楷體" w:eastAsia="標楷體" w:hAnsi="標楷體" w:hint="eastAsia"/>
              </w:rPr>
              <w:t>釋例</w:t>
            </w:r>
            <w:proofErr w:type="gramStart"/>
            <w:r w:rsidR="003F755F" w:rsidRPr="00F012F9">
              <w:rPr>
                <w:rFonts w:ascii="標楷體" w:eastAsia="標楷體" w:hAnsi="標楷體" w:hint="eastAsia"/>
              </w:rPr>
              <w:t>一</w:t>
            </w:r>
            <w:proofErr w:type="gramEnd"/>
            <w:r w:rsidR="003F755F" w:rsidRPr="00F012F9">
              <w:rPr>
                <w:rFonts w:ascii="標楷體" w:eastAsia="標楷體" w:hAnsi="標楷體" w:hint="eastAsia"/>
              </w:rPr>
              <w:t>之</w:t>
            </w:r>
            <w:proofErr w:type="gramStart"/>
            <w:r w:rsidR="003F755F" w:rsidRPr="00F012F9">
              <w:rPr>
                <w:rFonts w:ascii="標楷體" w:eastAsia="標楷體" w:hAnsi="標楷體" w:hint="eastAsia"/>
              </w:rPr>
              <w:t>註</w:t>
            </w:r>
            <w:proofErr w:type="gramEnd"/>
            <w:r w:rsidR="003F755F" w:rsidRPr="00F012F9">
              <w:rPr>
                <w:rFonts w:ascii="標楷體" w:eastAsia="標楷體" w:hAnsi="標楷體" w:hint="eastAsia"/>
              </w:rPr>
              <w:t>：「以公平價值衡量且公平價值變動認列為損益之金融資產，其交易成本於原始認列時可作為原始成本或當期費用。」</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t>1.依IFRS9第5.1.1段規定，若非屬透過損益按公允價值衡量之金融資產或金融負債應加計或減除直接可歸屬於取得或發行該金融資產或金融負債之交易成本。至若屬以透過損益按公允價值衡量之金融資產，仍得依現行實務做法，其交易成本可選擇做為原始取得成本或當期費用。</w:t>
            </w:r>
          </w:p>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t>2.首次適用IFRS9時，原則應依IFRS9第7.2.1段之規定追溯調整交易成本，重新計算金融資產之單位成本，惟若追溯適用於實務上不可行，得以轉換日(106.12.31)IAS39下之單位成本做為適用IFRS9後之單位成本。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50</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關於107年首次適用IFRS 15及IFRS 9：</w:t>
            </w:r>
          </w:p>
          <w:p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1.</w:t>
            </w:r>
            <w:r w:rsidR="003F755F" w:rsidRPr="005362EA">
              <w:rPr>
                <w:rFonts w:ascii="標楷體" w:eastAsia="標楷體" w:hAnsi="標楷體" w:hint="eastAsia"/>
              </w:rPr>
              <w:t>企業可否依IFRS 15</w:t>
            </w:r>
            <w:r>
              <w:rPr>
                <w:rFonts w:ascii="標楷體" w:eastAsia="標楷體" w:hAnsi="標楷體" w:hint="eastAsia"/>
              </w:rPr>
              <w:t>第</w:t>
            </w:r>
            <w:r w:rsidR="003F755F" w:rsidRPr="005362EA">
              <w:rPr>
                <w:rFonts w:ascii="標楷體" w:eastAsia="標楷體" w:hAnsi="標楷體" w:hint="eastAsia"/>
              </w:rPr>
              <w:t>C3</w:t>
            </w:r>
            <w:r>
              <w:rPr>
                <w:rFonts w:ascii="標楷體" w:eastAsia="標楷體" w:hAnsi="標楷體" w:hint="eastAsia"/>
              </w:rPr>
              <w:t>段</w:t>
            </w:r>
            <w:r w:rsidR="003F755F" w:rsidRPr="005362EA">
              <w:rPr>
                <w:rFonts w:ascii="標楷體" w:eastAsia="標楷體" w:hAnsi="標楷體" w:hint="eastAsia"/>
              </w:rPr>
              <w:t>規定，按公司情況選擇全面追溯適用或修正追溯適用 IFRS 15？</w:t>
            </w:r>
          </w:p>
          <w:p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5362EA">
              <w:rPr>
                <w:rFonts w:ascii="標楷體" w:eastAsia="標楷體" w:hAnsi="標楷體" w:hint="eastAsia"/>
              </w:rPr>
              <w:t>企業可否依IFRS 9</w:t>
            </w:r>
            <w:r>
              <w:rPr>
                <w:rFonts w:ascii="標楷體" w:eastAsia="標楷體" w:hAnsi="標楷體" w:hint="eastAsia"/>
              </w:rPr>
              <w:t>第</w:t>
            </w:r>
            <w:r w:rsidR="003F755F" w:rsidRPr="005362EA">
              <w:rPr>
                <w:rFonts w:ascii="標楷體" w:eastAsia="標楷體" w:hAnsi="標楷體" w:hint="eastAsia"/>
              </w:rPr>
              <w:t>7.2.15</w:t>
            </w:r>
            <w:r>
              <w:rPr>
                <w:rFonts w:ascii="標楷體" w:eastAsia="標楷體" w:hAnsi="標楷體" w:hint="eastAsia"/>
              </w:rPr>
              <w:t>段規定</w:t>
            </w:r>
            <w:r w:rsidR="003F755F" w:rsidRPr="005362EA">
              <w:rPr>
                <w:rFonts w:ascii="標楷體" w:eastAsia="標楷體" w:hAnsi="標楷體" w:hint="eastAsia"/>
              </w:rPr>
              <w:t>，自行選擇是否重編比較</w:t>
            </w:r>
            <w:proofErr w:type="gramStart"/>
            <w:r w:rsidR="003F755F" w:rsidRPr="005362EA">
              <w:rPr>
                <w:rFonts w:ascii="標楷體" w:eastAsia="標楷體" w:hAnsi="標楷體" w:hint="eastAsia"/>
              </w:rPr>
              <w:t>期間（</w:t>
            </w:r>
            <w:proofErr w:type="gramEnd"/>
            <w:r w:rsidR="003F755F" w:rsidRPr="005362EA">
              <w:rPr>
                <w:rFonts w:ascii="標楷體" w:eastAsia="標楷體" w:hAnsi="標楷體" w:hint="eastAsia"/>
              </w:rPr>
              <w:t>106年）資訊？</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企業可依公報規定選擇是否重編比較期間資訊，惟企業若選擇不重編比較期間報表，應依IFRS15第C3段及IFRS9第7.2.15段過渡規定及配套之揭露規定辦理。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承租辦公大樓之某一層，若經評估建物與基地依IFRS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w:t>
            </w:r>
            <w:r w:rsidRPr="00F012F9">
              <w:rPr>
                <w:rFonts w:ascii="標楷體" w:eastAsia="標楷體" w:hAnsi="標楷體" w:hint="eastAsia"/>
              </w:rPr>
              <w:t>評估是高度相互關聯而不拆分租賃組成部分，則依IFRS 16</w:t>
            </w:r>
            <w:r w:rsidR="005362EA">
              <w:rPr>
                <w:rFonts w:ascii="標楷體" w:eastAsia="標楷體" w:hAnsi="標楷體" w:hint="eastAsia"/>
              </w:rPr>
              <w:t>第</w:t>
            </w:r>
            <w:r w:rsidRPr="00F012F9">
              <w:rPr>
                <w:rFonts w:ascii="標楷體" w:eastAsia="標楷體" w:hAnsi="標楷體" w:hint="eastAsia"/>
              </w:rPr>
              <w:t>53</w:t>
            </w:r>
            <w:r w:rsidR="005362EA">
              <w:rPr>
                <w:rFonts w:ascii="標楷體" w:eastAsia="標楷體" w:hAnsi="標楷體" w:hint="eastAsia"/>
              </w:rPr>
              <w:t>段</w:t>
            </w:r>
            <w:r w:rsidRPr="00F012F9">
              <w:rPr>
                <w:rFonts w:ascii="標楷體" w:eastAsia="標楷體" w:hAnsi="標楷體" w:hint="eastAsia"/>
              </w:rPr>
              <w:t>規定</w:t>
            </w:r>
            <w:r w:rsidR="005362EA">
              <w:rPr>
                <w:rFonts w:ascii="標楷體" w:eastAsia="標楷體" w:hAnsi="標楷體" w:hint="eastAsia"/>
              </w:rPr>
              <w:t>，</w:t>
            </w:r>
            <w:r w:rsidRPr="00F012F9">
              <w:rPr>
                <w:rFonts w:ascii="標楷體" w:eastAsia="標楷體" w:hAnsi="標楷體" w:hint="eastAsia"/>
              </w:rPr>
              <w:t>於附註要依標的資產類別揭露使用權資產之</w:t>
            </w:r>
            <w:proofErr w:type="gramStart"/>
            <w:r w:rsidRPr="00F012F9">
              <w:rPr>
                <w:rFonts w:ascii="標楷體" w:eastAsia="標楷體" w:hAnsi="標楷體" w:hint="eastAsia"/>
              </w:rPr>
              <w:t>帳面</w:t>
            </w:r>
            <w:proofErr w:type="gramEnd"/>
            <w:r w:rsidRPr="00F012F9">
              <w:rPr>
                <w:rFonts w:ascii="標楷體" w:eastAsia="標楷體" w:hAnsi="標楷體" w:hint="eastAsia"/>
              </w:rPr>
              <w:t>金額及折舊金額時，是否將建物與基地</w:t>
            </w:r>
            <w:proofErr w:type="gramStart"/>
            <w:r w:rsidRPr="00F012F9">
              <w:rPr>
                <w:rFonts w:ascii="標楷體" w:eastAsia="標楷體" w:hAnsi="標楷體" w:hint="eastAsia"/>
              </w:rPr>
              <w:t>併</w:t>
            </w:r>
            <w:proofErr w:type="gramEnd"/>
            <w:r w:rsidRPr="00F012F9">
              <w:rPr>
                <w:rFonts w:ascii="標楷體" w:eastAsia="標楷體" w:hAnsi="標楷體" w:hint="eastAsia"/>
              </w:rPr>
              <w:t>成同一類予以揭露，而無須再拆分建物與土地? 又或者辦公室承租尚包含內建之空調系統，依IFRS 16</w:t>
            </w:r>
            <w:r w:rsidR="0029123D">
              <w:rPr>
                <w:rFonts w:ascii="標楷體" w:eastAsia="標楷體" w:hAnsi="標楷體" w:hint="eastAsia"/>
              </w:rPr>
              <w:t>第</w:t>
            </w:r>
            <w:r w:rsidRPr="00F012F9">
              <w:rPr>
                <w:rFonts w:ascii="標楷體" w:eastAsia="標楷體" w:hAnsi="標楷體" w:hint="eastAsia"/>
              </w:rPr>
              <w:t>B32</w:t>
            </w:r>
            <w:r w:rsidR="0029123D">
              <w:rPr>
                <w:rFonts w:ascii="標楷體" w:eastAsia="標楷體" w:hAnsi="標楷體" w:hint="eastAsia"/>
              </w:rPr>
              <w:t>段</w:t>
            </w:r>
            <w:r w:rsidRPr="00F012F9">
              <w:rPr>
                <w:rFonts w:ascii="標楷體" w:eastAsia="標楷體" w:hAnsi="標楷體" w:hint="eastAsia"/>
              </w:rPr>
              <w:t>判斷後若辦公室與空調系統整個將以單一租賃處理，則依IFRS 16</w:t>
            </w:r>
            <w:r w:rsidR="0021450D">
              <w:rPr>
                <w:rFonts w:ascii="標楷體" w:eastAsia="標楷體" w:hAnsi="標楷體" w:hint="eastAsia"/>
              </w:rPr>
              <w:t>第</w:t>
            </w:r>
            <w:r w:rsidRPr="00F012F9">
              <w:rPr>
                <w:rFonts w:ascii="標楷體" w:eastAsia="標楷體" w:hAnsi="標楷體" w:hint="eastAsia"/>
              </w:rPr>
              <w:t>53</w:t>
            </w:r>
            <w:r w:rsidR="0021450D">
              <w:rPr>
                <w:rFonts w:ascii="標楷體" w:eastAsia="標楷體" w:hAnsi="標楷體" w:hint="eastAsia"/>
              </w:rPr>
              <w:t>段</w:t>
            </w:r>
            <w:r w:rsidRPr="00F012F9">
              <w:rPr>
                <w:rFonts w:ascii="標楷體" w:eastAsia="標楷體" w:hAnsi="標楷體" w:hint="eastAsia"/>
              </w:rPr>
              <w:t>揭露時是否要拆出空調系統?</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段規定</w:t>
            </w:r>
            <w:r w:rsidRPr="00F012F9">
              <w:rPr>
                <w:rFonts w:ascii="標楷體" w:eastAsia="標楷體" w:hAnsi="標楷體" w:hint="eastAsia"/>
              </w:rPr>
              <w:t>視為單一租賃組成部分，相關使用權資產之認列及折舊之攤提，係視同一項資產處理，則進行相關揭露時，無須另行拆分。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若初始採用IFRS 9時，選擇不重編前期比較報表，則依</w:t>
            </w:r>
            <w:r w:rsidR="006D1FD9" w:rsidRPr="006D1FD9">
              <w:rPr>
                <w:rFonts w:ascii="標楷體" w:eastAsia="標楷體" w:hAnsi="標楷體" w:hint="eastAsia"/>
              </w:rPr>
              <w:t>IFRS 7</w:t>
            </w:r>
            <w:r w:rsidR="00EB132A">
              <w:rPr>
                <w:rFonts w:ascii="標楷體" w:eastAsia="標楷體" w:hAnsi="標楷體" w:hint="eastAsia"/>
              </w:rPr>
              <w:t>第</w:t>
            </w:r>
            <w:r w:rsidRPr="006D1FD9">
              <w:rPr>
                <w:rFonts w:ascii="標楷體" w:eastAsia="標楷體" w:hAnsi="標楷體" w:hint="eastAsia"/>
              </w:rPr>
              <w:t>42L</w:t>
            </w:r>
            <w:r w:rsidR="00EB132A" w:rsidRPr="00EB132A">
              <w:rPr>
                <w:rFonts w:ascii="標楷體" w:eastAsia="標楷體" w:hAnsi="標楷體" w:hint="eastAsia"/>
              </w:rPr>
              <w:t>段</w:t>
            </w:r>
            <w:r w:rsidRPr="006D1FD9">
              <w:rPr>
                <w:rFonts w:ascii="標楷體" w:eastAsia="標楷體" w:hAnsi="標楷體" w:hint="eastAsia"/>
              </w:rPr>
              <w:t>之規定，</w:t>
            </w:r>
            <w:r w:rsidRPr="00F012F9">
              <w:rPr>
                <w:rFonts w:ascii="標楷體" w:eastAsia="標楷體" w:hAnsi="標楷體" w:hint="eastAsia"/>
              </w:rPr>
              <w:t>揭露IFRS 9初次適用日之金融</w:t>
            </w:r>
            <w:proofErr w:type="gramStart"/>
            <w:r w:rsidRPr="00F012F9">
              <w:rPr>
                <w:rFonts w:ascii="標楷體" w:eastAsia="標楷體" w:hAnsi="標楷體" w:hint="eastAsia"/>
              </w:rPr>
              <w:t>資產資產</w:t>
            </w:r>
            <w:proofErr w:type="gramEnd"/>
            <w:r w:rsidRPr="00F012F9">
              <w:rPr>
                <w:rFonts w:ascii="標楷體" w:eastAsia="標楷體" w:hAnsi="標楷體" w:hint="eastAsia"/>
              </w:rPr>
              <w:t>及金融負債之分類變動。為符合此規定，IFRS 7 IG 40E提供</w:t>
            </w:r>
            <w:proofErr w:type="gramStart"/>
            <w:r w:rsidRPr="00F012F9">
              <w:rPr>
                <w:rFonts w:ascii="標楷體" w:eastAsia="標楷體" w:hAnsi="標楷體" w:hint="eastAsia"/>
              </w:rPr>
              <w:t>一揭露釋例</w:t>
            </w:r>
            <w:proofErr w:type="gramEnd"/>
            <w:r w:rsidRPr="00F012F9">
              <w:rPr>
                <w:rFonts w:ascii="標楷體" w:eastAsia="標楷體" w:hAnsi="標楷體" w:hint="eastAsia"/>
              </w:rPr>
              <w:t>。</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w:t>
            </w:r>
          </w:p>
          <w:p w:rsidR="0040117C" w:rsidRPr="0040117C" w:rsidRDefault="003F755F" w:rsidP="0073558C">
            <w:pPr>
              <w:pStyle w:val="af1"/>
              <w:widowControl/>
              <w:numPr>
                <w:ilvl w:val="0"/>
                <w:numId w:val="5"/>
              </w:numPr>
              <w:snapToGrid w:val="0"/>
              <w:ind w:leftChars="0"/>
              <w:rPr>
                <w:rFonts w:ascii="標楷體" w:eastAsia="標楷體" w:hAnsi="標楷體"/>
              </w:rPr>
            </w:pPr>
            <w:r w:rsidRPr="0040117C">
              <w:rPr>
                <w:rFonts w:ascii="標楷體" w:eastAsia="標楷體" w:hAnsi="標楷體" w:hint="eastAsia"/>
              </w:rPr>
              <w:t>欄位(v)僅要求填列重分類對保留盈餘之影響數，是否須納入對其他權益之影響數，並展現兩者加總後之總權益影響數。</w:t>
            </w:r>
          </w:p>
          <w:p w:rsidR="003F755F" w:rsidRPr="0040117C" w:rsidRDefault="003F755F" w:rsidP="0073558C">
            <w:pPr>
              <w:pStyle w:val="af1"/>
              <w:widowControl/>
              <w:numPr>
                <w:ilvl w:val="0"/>
                <w:numId w:val="5"/>
              </w:numPr>
              <w:snapToGrid w:val="0"/>
              <w:ind w:leftChars="0"/>
              <w:rPr>
                <w:rFonts w:ascii="標楷體" w:eastAsia="標楷體" w:hAnsi="標楷體"/>
              </w:rPr>
            </w:pPr>
            <w:r w:rsidRPr="0040117C">
              <w:rPr>
                <w:rFonts w:ascii="標楷體" w:eastAsia="標楷體" w:hAnsi="標楷體" w:hint="eastAsia"/>
              </w:rPr>
              <w:t>若確認欄位(v)僅須表達重分類產生之保留盈餘影響數，則IG 40E參考釋例表格下方的</w:t>
            </w:r>
            <w:proofErr w:type="gramStart"/>
            <w:r w:rsidRPr="0040117C">
              <w:rPr>
                <w:rFonts w:ascii="標楷體" w:eastAsia="標楷體" w:hAnsi="標楷體" w:hint="eastAsia"/>
              </w:rPr>
              <w:t>註</w:t>
            </w:r>
            <w:proofErr w:type="gramEnd"/>
            <w:r w:rsidRPr="0040117C">
              <w:rPr>
                <w:rFonts w:ascii="標楷體" w:eastAsia="標楷體" w:hAnsi="標楷體" w:hint="eastAsia"/>
              </w:rPr>
              <w:t>釋說明，似存有疑義，茲舉例說明如下：</w:t>
            </w:r>
          </w:p>
          <w:p w:rsidR="003F755F" w:rsidRPr="00F012F9" w:rsidRDefault="003F755F" w:rsidP="0073558C">
            <w:pPr>
              <w:widowControl/>
              <w:numPr>
                <w:ilvl w:val="0"/>
                <w:numId w:val="2"/>
              </w:numPr>
              <w:snapToGrid w:val="0"/>
              <w:rPr>
                <w:rFonts w:ascii="標楷體" w:eastAsia="標楷體" w:hAnsi="標楷體"/>
              </w:rPr>
            </w:pPr>
            <w:r w:rsidRPr="00F012F9">
              <w:rPr>
                <w:rFonts w:ascii="標楷體" w:eastAsia="標楷體" w:hAnsi="標楷體" w:hint="eastAsia"/>
              </w:rPr>
              <w:t>註解說明(g)係初次適用日自RE重分類至累計OCI之金額，惟經檢視(g)對應之項目係AFS FVOCI，此情況下，尚無RE之影響數，顯與註解文字有不一致之情形。</w:t>
            </w:r>
          </w:p>
          <w:p w:rsidR="003F755F" w:rsidRPr="00F012F9" w:rsidRDefault="003F755F" w:rsidP="0073558C">
            <w:pPr>
              <w:widowControl/>
              <w:numPr>
                <w:ilvl w:val="0"/>
                <w:numId w:val="2"/>
              </w:numPr>
              <w:snapToGrid w:val="0"/>
              <w:rPr>
                <w:rFonts w:ascii="標楷體" w:eastAsia="標楷體" w:hAnsi="標楷體"/>
              </w:rPr>
            </w:pPr>
            <w:r w:rsidRPr="00F012F9">
              <w:rPr>
                <w:rFonts w:ascii="標楷體" w:eastAsia="標楷體" w:hAnsi="標楷體" w:hint="eastAsia"/>
              </w:rPr>
              <w:t>註解(e)係初次適用日自OCI重分類至累計RE之金額，惟經檢視(e)對應之項目係AFS AC，此情況下，僅有累計OCI之影響數，尚無RE之影響數，顯與註解文字有不一致之情形。</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IFRS7第IG40E段僅係舉例說明如何依IFRS7第42K至42O段之規定揭露。企業亦得依其情況揭露其他權益之影響數。</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依IFRS 7</w:t>
            </w:r>
            <w:r w:rsidR="00EB132A">
              <w:rPr>
                <w:rFonts w:ascii="標楷體" w:eastAsia="標楷體" w:hAnsi="標楷體" w:hint="eastAsia"/>
              </w:rPr>
              <w:t>第</w:t>
            </w:r>
            <w:r w:rsidRPr="00F012F9">
              <w:rPr>
                <w:rFonts w:ascii="標楷體" w:eastAsia="標楷體" w:hAnsi="標楷體" w:hint="eastAsia"/>
              </w:rPr>
              <w:t>35H</w:t>
            </w:r>
            <w:r w:rsidR="00EB132A" w:rsidRPr="00EB132A">
              <w:rPr>
                <w:rFonts w:ascii="標楷體" w:eastAsia="標楷體" w:hAnsi="標楷體" w:hint="eastAsia"/>
              </w:rPr>
              <w:t>段</w:t>
            </w:r>
            <w:r w:rsidRPr="00F012F9">
              <w:rPr>
                <w:rFonts w:ascii="標楷體" w:eastAsia="標楷體" w:hAnsi="標楷體" w:hint="eastAsia"/>
              </w:rPr>
              <w:t>，企業應依金融工具之類別提供備抵損失自期初餘額至期末餘額之調節。為符合此規定，IFRS 7 IG 20B提供</w:t>
            </w:r>
            <w:proofErr w:type="gramStart"/>
            <w:r w:rsidRPr="00F012F9">
              <w:rPr>
                <w:rFonts w:ascii="標楷體" w:eastAsia="標楷體" w:hAnsi="標楷體" w:hint="eastAsia"/>
              </w:rPr>
              <w:t>一揭露釋例參考</w:t>
            </w:r>
            <w:proofErr w:type="gramEnd"/>
            <w:r w:rsidRPr="00F012F9">
              <w:rPr>
                <w:rFonts w:ascii="標楷體" w:eastAsia="標楷體" w:hAnsi="標楷體" w:hint="eastAsia"/>
              </w:rPr>
              <w:t>表格如下。</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問題：預期信用損失計算尚涉及前瞻性因素調整，於資產</w:t>
            </w:r>
            <w:proofErr w:type="gramStart"/>
            <w:r w:rsidRPr="00F012F9">
              <w:rPr>
                <w:rFonts w:ascii="標楷體" w:eastAsia="標楷體" w:hAnsi="標楷體" w:hint="eastAsia"/>
              </w:rPr>
              <w:t>負債表日重</w:t>
            </w:r>
            <w:proofErr w:type="gramEnd"/>
            <w:r w:rsidRPr="00F012F9">
              <w:rPr>
                <w:rFonts w:ascii="標楷體" w:eastAsia="標楷體" w:hAnsi="標楷體" w:hint="eastAsia"/>
              </w:rPr>
              <w:t>評估時，亦會更新總體經濟參數，實務計算上對於單獨拆分因「模型/風險參數之改變」所造成之備抵損失影響數，存有高度困難，權宜做法是否能將此影響數列入「匯率及其他變動」項下？</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t>企業得依其情況及重大性判斷揭露程度。</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人與園區管理局簽訂之土地租約合約中述明，「租賃期間屆滿，甲乙雙方得另訂新約，未訂新約者，本契約當然終止，乙方不得以任何理由主張租賃關係繼續或不定期租賃」，除此之外合約中未提及續租條款。</w:t>
            </w:r>
            <w:proofErr w:type="gramStart"/>
            <w:r w:rsidRPr="00F012F9">
              <w:rPr>
                <w:rFonts w:ascii="標楷體" w:eastAsia="標楷體" w:hAnsi="標楷體" w:hint="eastAsia"/>
              </w:rPr>
              <w:t>惟</w:t>
            </w:r>
            <w:proofErr w:type="gramEnd"/>
            <w:r w:rsidRPr="00F012F9">
              <w:rPr>
                <w:rFonts w:ascii="標楷體" w:eastAsia="標楷體" w:hAnsi="標楷體" w:hint="eastAsia"/>
              </w:rPr>
              <w:t>管理局土地租賃尚受產業園區土地建築物與設施使用收益及處分辦法所規範，其中第22條規定「產業用地或建築物租賃期限，不得超過二十年。承租人於租賃期間無違反租賃契約情事，期滿有繼續租用之必要者，得優先承租，並應於租賃期滿前一個月以書面提出申請。」</w:t>
            </w:r>
          </w:p>
          <w:p w:rsidR="003F755F" w:rsidRPr="00F012F9" w:rsidRDefault="003F755F" w:rsidP="008B4DE4">
            <w:pPr>
              <w:widowControl/>
              <w:snapToGrid w:val="0"/>
              <w:jc w:val="both"/>
              <w:rPr>
                <w:rFonts w:ascii="標楷體" w:eastAsia="標楷體" w:hAnsi="標楷體"/>
              </w:rPr>
            </w:pPr>
            <w:r w:rsidRPr="00F012F9">
              <w:rPr>
                <w:rFonts w:ascii="標楷體" w:eastAsia="標楷體" w:hAnsi="標楷體" w:hint="eastAsia"/>
              </w:rPr>
              <w:t>另IFRS 16</w:t>
            </w:r>
            <w:r w:rsidR="00F46AE5">
              <w:rPr>
                <w:rFonts w:ascii="標楷體" w:eastAsia="標楷體" w:hAnsi="標楷體" w:hint="eastAsia"/>
              </w:rPr>
              <w:t>第</w:t>
            </w:r>
            <w:r w:rsidRPr="00F012F9">
              <w:rPr>
                <w:rFonts w:ascii="標楷體" w:eastAsia="標楷體" w:hAnsi="標楷體" w:hint="eastAsia"/>
              </w:rPr>
              <w:t>BC127</w:t>
            </w:r>
            <w:r w:rsidR="00F46AE5">
              <w:rPr>
                <w:rFonts w:ascii="標楷體" w:eastAsia="標楷體" w:hAnsi="標楷體" w:hint="eastAsia"/>
              </w:rPr>
              <w:t>段</w:t>
            </w:r>
            <w:r w:rsidRPr="00F012F9">
              <w:rPr>
                <w:rFonts w:ascii="標楷體" w:eastAsia="標楷體" w:hAnsi="標楷體" w:hint="eastAsia"/>
              </w:rPr>
              <w:t>提及「作為合約之一部分，被納入租賃期間之任何租賃延長或租賃終止之選擇權亦須為可執行；例如</w:t>
            </w:r>
            <w:proofErr w:type="gramStart"/>
            <w:r w:rsidRPr="00F012F9">
              <w:rPr>
                <w:rFonts w:ascii="標楷體" w:eastAsia="標楷體" w:hAnsi="標楷體" w:hint="eastAsia"/>
              </w:rPr>
              <w:t>承租人須可執行</w:t>
            </w:r>
            <w:proofErr w:type="gramEnd"/>
            <w:r w:rsidRPr="00F012F9">
              <w:rPr>
                <w:rFonts w:ascii="標楷體" w:eastAsia="標楷體" w:hAnsi="標楷體" w:hint="eastAsia"/>
              </w:rPr>
              <w:t>其權利以延長租賃超過不可取消期間。若選擇權所涵蓋期間並非可執行，例如承租人未經出租人同意即無法執行租賃之延長，承租人於超過不可取消期間後不具有對資產之使用權。」</w:t>
            </w:r>
          </w:p>
          <w:p w:rsidR="003F755F" w:rsidRPr="00F46AE5" w:rsidRDefault="00F46AE5" w:rsidP="00F46AE5">
            <w:pPr>
              <w:pStyle w:val="Web"/>
              <w:snapToGrid w:val="0"/>
              <w:spacing w:before="0" w:beforeAutospacing="0" w:after="0" w:afterAutospacing="0"/>
              <w:ind w:left="202" w:hangingChars="84" w:hanging="202"/>
              <w:rPr>
                <w:rFonts w:ascii="標楷體" w:eastAsia="標楷體" w:hAnsi="標楷體" w:cs="Times New Roman"/>
                <w:kern w:val="2"/>
              </w:rPr>
            </w:pPr>
            <w:r w:rsidRPr="00F46AE5">
              <w:rPr>
                <w:rFonts w:ascii="標楷體" w:eastAsia="標楷體" w:hAnsi="標楷體" w:cs="Times New Roman" w:hint="eastAsia"/>
                <w:kern w:val="2"/>
              </w:rPr>
              <w:t>1.</w:t>
            </w:r>
            <w:r w:rsidR="003F755F" w:rsidRPr="00F46AE5">
              <w:rPr>
                <w:rFonts w:ascii="標楷體" w:eastAsia="標楷體" w:hAnsi="標楷體" w:cs="Times New Roman" w:hint="eastAsia"/>
                <w:kern w:val="2"/>
              </w:rPr>
              <w:t>此合約依IFRS 16</w:t>
            </w:r>
            <w:r>
              <w:rPr>
                <w:rFonts w:ascii="標楷體" w:eastAsia="標楷體" w:hAnsi="標楷體" w:cs="Times New Roman" w:hint="eastAsia"/>
                <w:kern w:val="2"/>
              </w:rPr>
              <w:t>第</w:t>
            </w:r>
            <w:r w:rsidR="003F755F" w:rsidRPr="00F46AE5">
              <w:rPr>
                <w:rFonts w:ascii="標楷體" w:eastAsia="標楷體" w:hAnsi="標楷體" w:cs="Times New Roman" w:hint="eastAsia"/>
                <w:kern w:val="2"/>
              </w:rPr>
              <w:t>BC127</w:t>
            </w:r>
            <w:r>
              <w:rPr>
                <w:rFonts w:ascii="標楷體" w:eastAsia="標楷體" w:hAnsi="標楷體" w:cs="Times New Roman" w:hint="eastAsia"/>
                <w:kern w:val="2"/>
              </w:rPr>
              <w:t>段</w:t>
            </w:r>
            <w:r w:rsidR="003F755F" w:rsidRPr="00F46AE5">
              <w:rPr>
                <w:rFonts w:ascii="標楷體" w:eastAsia="標楷體" w:hAnsi="標楷體" w:cs="Times New Roman" w:hint="eastAsia"/>
                <w:kern w:val="2"/>
              </w:rPr>
              <w:t>評估是否具有</w:t>
            </w:r>
            <w:proofErr w:type="gramStart"/>
            <w:r w:rsidR="003F755F" w:rsidRPr="00F46AE5">
              <w:rPr>
                <w:rFonts w:ascii="標楷體" w:eastAsia="標楷體" w:hAnsi="標楷體" w:cs="Times New Roman" w:hint="eastAsia"/>
                <w:kern w:val="2"/>
              </w:rPr>
              <w:t>續租權</w:t>
            </w:r>
            <w:proofErr w:type="gramEnd"/>
            <w:r w:rsidR="003F755F" w:rsidRPr="00F46AE5">
              <w:rPr>
                <w:rFonts w:ascii="標楷體" w:eastAsia="標楷體" w:hAnsi="標楷體" w:cs="Times New Roman" w:hint="eastAsia"/>
                <w:kern w:val="2"/>
              </w:rPr>
              <w:t xml:space="preserve">? </w:t>
            </w:r>
          </w:p>
          <w:p w:rsidR="0040117C" w:rsidRPr="00F012F9" w:rsidRDefault="003F755F" w:rsidP="00F46AE5">
            <w:pPr>
              <w:pStyle w:val="Web"/>
              <w:snapToGrid w:val="0"/>
              <w:spacing w:before="0" w:beforeAutospacing="0" w:after="0" w:afterAutospacing="0"/>
              <w:ind w:left="202" w:hangingChars="84" w:hanging="202"/>
              <w:rPr>
                <w:rFonts w:ascii="標楷體" w:eastAsia="標楷體" w:hAnsi="標楷體"/>
              </w:rPr>
            </w:pPr>
            <w:r w:rsidRPr="00F46AE5">
              <w:rPr>
                <w:rFonts w:ascii="標楷體" w:eastAsia="標楷體" w:hAnsi="標楷體" w:cs="Times New Roman" w:hint="eastAsia"/>
                <w:kern w:val="2"/>
              </w:rPr>
              <w:t>2.若此合約約定之土地使用期間為10年，且若依IFRS 16判斷以上條款未賦予承租人</w:t>
            </w:r>
            <w:proofErr w:type="gramStart"/>
            <w:r w:rsidRPr="00F46AE5">
              <w:rPr>
                <w:rFonts w:ascii="標楷體" w:eastAsia="標楷體" w:hAnsi="標楷體" w:cs="Times New Roman" w:hint="eastAsia"/>
                <w:kern w:val="2"/>
              </w:rPr>
              <w:t>續租權</w:t>
            </w:r>
            <w:proofErr w:type="gramEnd"/>
            <w:r w:rsidRPr="00F46AE5">
              <w:rPr>
                <w:rFonts w:ascii="標楷體" w:eastAsia="標楷體" w:hAnsi="標楷體" w:cs="Times New Roman" w:hint="eastAsia"/>
                <w:kern w:val="2"/>
              </w:rPr>
              <w:t>，則於該承租土地上所建照之廠房依IAS 16評估之耐用年限是否即不得超過10年? 是否可主張因IFRS 16對是否有</w:t>
            </w:r>
            <w:proofErr w:type="gramStart"/>
            <w:r w:rsidRPr="00F46AE5">
              <w:rPr>
                <w:rFonts w:ascii="標楷體" w:eastAsia="標楷體" w:hAnsi="標楷體" w:cs="Times New Roman" w:hint="eastAsia"/>
                <w:kern w:val="2"/>
              </w:rPr>
              <w:t>續租權強調</w:t>
            </w:r>
            <w:proofErr w:type="gramEnd"/>
            <w:r w:rsidRPr="00F46AE5">
              <w:rPr>
                <w:rFonts w:ascii="標楷體" w:eastAsia="標楷體" w:hAnsi="標楷體" w:cs="Times New Roman" w:hint="eastAsia"/>
                <w:kern w:val="2"/>
              </w:rPr>
              <w:t>法律上之可執行權利，而耐用年限評估係基於企業之預期，二者認定之基礎有所差異而可作出不同結論?</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t>1.有關承租人是否具有可執行之續租權利，應依合約條款、條件及其他相關事實及情況（包含相關法令及行政規則等），按IFRS 16相關規定實質判斷。</w:t>
            </w:r>
          </w:p>
          <w:p w:rsidR="003F755F" w:rsidRPr="00F012F9" w:rsidRDefault="003F755F" w:rsidP="008B4DE4">
            <w:pPr>
              <w:pStyle w:val="Web"/>
              <w:snapToGrid w:val="0"/>
              <w:spacing w:before="0" w:beforeAutospacing="0" w:after="0" w:afterAutospacing="0"/>
              <w:ind w:left="202" w:hangingChars="84" w:hanging="202"/>
              <w:jc w:val="both"/>
              <w:rPr>
                <w:rFonts w:ascii="標楷體" w:eastAsia="標楷體" w:hAnsi="標楷體" w:cs="Times New Roman"/>
                <w:kern w:val="2"/>
              </w:rPr>
            </w:pPr>
            <w:r w:rsidRPr="00F012F9">
              <w:rPr>
                <w:rFonts w:ascii="標楷體" w:eastAsia="標楷體" w:hAnsi="標楷體" w:cs="Times New Roman" w:hint="eastAsia"/>
                <w:kern w:val="2"/>
              </w:rPr>
              <w:t>2.依IFRS 16.32規定，承租人應自開始日起至使用權資產之耐用年限屆滿時或租賃期間屆滿時兩者之</w:t>
            </w:r>
            <w:proofErr w:type="gramStart"/>
            <w:r w:rsidRPr="00F012F9">
              <w:rPr>
                <w:rFonts w:ascii="標楷體" w:eastAsia="標楷體" w:hAnsi="標楷體" w:cs="Times New Roman" w:hint="eastAsia"/>
                <w:kern w:val="2"/>
              </w:rPr>
              <w:t>較早者</w:t>
            </w:r>
            <w:proofErr w:type="gramEnd"/>
            <w:r w:rsidRPr="00F012F9">
              <w:rPr>
                <w:rFonts w:ascii="標楷體" w:eastAsia="標楷體" w:hAnsi="標楷體" w:cs="Times New Roman" w:hint="eastAsia"/>
                <w:kern w:val="2"/>
              </w:rPr>
              <w:t>，對使用權資產提列折舊。故承租人租賃</w:t>
            </w:r>
            <w:proofErr w:type="gramStart"/>
            <w:r w:rsidRPr="00F012F9">
              <w:rPr>
                <w:rFonts w:ascii="標楷體" w:eastAsia="標楷體" w:hAnsi="標楷體" w:cs="Times New Roman" w:hint="eastAsia"/>
                <w:kern w:val="2"/>
              </w:rPr>
              <w:t>期間若短於</w:t>
            </w:r>
            <w:proofErr w:type="gramEnd"/>
            <w:r w:rsidRPr="00F012F9">
              <w:rPr>
                <w:rFonts w:ascii="標楷體" w:eastAsia="標楷體" w:hAnsi="標楷體" w:cs="Times New Roman" w:hint="eastAsia"/>
                <w:kern w:val="2"/>
              </w:rPr>
              <w:t>承租土地上建造廠房之耐用年限，應以租賃期間作為廠房提列折舊之年限。</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 15</w:t>
            </w:r>
            <w:r w:rsidR="00F46AE5">
              <w:rPr>
                <w:rFonts w:ascii="標楷體" w:eastAsia="標楷體" w:hAnsi="標楷體" w:hint="eastAsia"/>
              </w:rPr>
              <w:t>第</w:t>
            </w:r>
            <w:r w:rsidRPr="00F012F9">
              <w:rPr>
                <w:rFonts w:ascii="標楷體" w:eastAsia="標楷體" w:hAnsi="標楷體" w:hint="eastAsia"/>
              </w:rPr>
              <w:t>95</w:t>
            </w:r>
            <w:r w:rsidR="00F46AE5">
              <w:rPr>
                <w:rFonts w:ascii="標楷體" w:eastAsia="標楷體" w:hAnsi="標楷體" w:hint="eastAsia"/>
              </w:rPr>
              <w:t>段</w:t>
            </w:r>
            <w:r w:rsidRPr="00F012F9">
              <w:rPr>
                <w:rFonts w:ascii="標楷體" w:eastAsia="標楷體" w:hAnsi="標楷體" w:hint="eastAsia"/>
              </w:rPr>
              <w:t>規定履行合約之成本會計處理。發布IFRS 15時，IAS 2配合修正將勞務存貨相關規定移除。適用IFRS 15後，過去依IAS 2認列勞務存貨之企業，應繼續依IAS 2認列存貨或依IFRS 15認列履行合約成本相關資產？</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企業應依IFRS15第95至98段之規定，將履行合約之勞務相關成本認列為資產或費用。</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履行合約成本</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IFRS15規定之(1)取得合約之增額成本，及(2)履行合約之成本所認列之資產，於資產負債表應分類為流動或非流動資產？</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企業應依IAS1區分流動及非流動資產之規定，以及合約之成本性質，將取得合約之增額成本及履行合約之成本分類為流動資產或非流動資產。</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流動與非流動之區分</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企業與園區管理局簽訂之土地租約若判斷租賃期間為20年，因並無20年的市場利率可供參考，企業應如何決定適當之折現率？</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另依IFRS16規定，計算使用權資產及負債之折現率，應優先適用「出租人隱含利率」，如無法取得時，則改</w:t>
            </w:r>
            <w:proofErr w:type="gramStart"/>
            <w:r w:rsidRPr="00F012F9">
              <w:rPr>
                <w:rFonts w:ascii="標楷體" w:eastAsia="標楷體" w:hAnsi="標楷體" w:hint="eastAsia"/>
              </w:rPr>
              <w:t>採</w:t>
            </w:r>
            <w:proofErr w:type="gramEnd"/>
            <w:r w:rsidRPr="00F012F9">
              <w:rPr>
                <w:rFonts w:ascii="標楷體" w:eastAsia="標楷體" w:hAnsi="標楷體" w:hint="eastAsia"/>
              </w:rPr>
              <w:t>「承租人之增額借款利率」(於類似經濟環境中為取得與使用權資產價值相近之資產，而以類似擔保品與類似</w:t>
            </w:r>
            <w:proofErr w:type="gramStart"/>
            <w:r w:rsidRPr="00F012F9">
              <w:rPr>
                <w:rFonts w:ascii="標楷體" w:eastAsia="標楷體" w:hAnsi="標楷體" w:hint="eastAsia"/>
              </w:rPr>
              <w:t>期間借</w:t>
            </w:r>
            <w:proofErr w:type="gramEnd"/>
            <w:r w:rsidRPr="00F012F9">
              <w:rPr>
                <w:rFonts w:ascii="標楷體" w:eastAsia="標楷體" w:hAnsi="標楷體" w:hint="eastAsia"/>
              </w:rPr>
              <w:t>入所需資金應支付之利率)。</w:t>
            </w:r>
            <w:proofErr w:type="gramStart"/>
            <w:r w:rsidRPr="00F012F9">
              <w:rPr>
                <w:rFonts w:ascii="標楷體" w:eastAsia="標楷體" w:hAnsi="標楷體" w:hint="eastAsia"/>
              </w:rPr>
              <w:t>惟</w:t>
            </w:r>
            <w:proofErr w:type="gramEnd"/>
            <w:r w:rsidRPr="00F012F9">
              <w:rPr>
                <w:rFonts w:ascii="標楷體" w:eastAsia="標楷體" w:hAnsi="標楷體" w:hint="eastAsia"/>
              </w:rPr>
              <w:t>承租人帳上無借款或金融業因法令限制無法對外借款時，是否有其他可參考之利率指標(如:發債利率或平均借款利率)?又若無類似資產、類似期間之借款利率可參考時，是否有其他權宜做法?</w:t>
            </w: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73558C">
            <w:pPr>
              <w:pStyle w:val="Web"/>
              <w:numPr>
                <w:ilvl w:val="0"/>
                <w:numId w:val="4"/>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1.</w:t>
            </w:r>
            <w:r w:rsidRPr="00F012F9">
              <w:rPr>
                <w:rFonts w:ascii="標楷體" w:eastAsia="標楷體" w:hAnsi="標楷體" w:cs="Times New Roman" w:hint="eastAsia"/>
                <w:kern w:val="2"/>
              </w:rPr>
              <w:t>IFRS16第26段規定，若租賃隱含利率容易確</w:t>
            </w:r>
            <w:r>
              <w:rPr>
                <w:rFonts w:ascii="標楷體" w:eastAsia="標楷體" w:hAnsi="標楷體" w:cs="Times New Roman" w:hint="eastAsia"/>
                <w:kern w:val="2"/>
              </w:rPr>
              <w:t xml:space="preserve"> </w:t>
            </w:r>
          </w:p>
          <w:p w:rsidR="003F755F" w:rsidRPr="0077658D" w:rsidRDefault="003F755F" w:rsidP="008B4DE4">
            <w:pPr>
              <w:pStyle w:val="Web"/>
              <w:snapToGrid w:val="0"/>
              <w:spacing w:before="0" w:beforeAutospacing="0" w:after="0" w:afterAutospacing="0"/>
              <w:ind w:leftChars="100" w:left="240"/>
              <w:contextualSpacing/>
              <w:rPr>
                <w:rFonts w:ascii="標楷體" w:eastAsia="標楷體" w:hAnsi="標楷體" w:cs="Times New Roman"/>
                <w:kern w:val="2"/>
              </w:rPr>
            </w:pPr>
            <w:r w:rsidRPr="0077658D">
              <w:rPr>
                <w:rFonts w:ascii="標楷體" w:eastAsia="標楷體" w:hAnsi="標楷體" w:cs="Times New Roman" w:hint="eastAsia"/>
                <w:kern w:val="2"/>
              </w:rPr>
              <w:t>定，租賃給付應使用該利率折現。若該利率並非 容易確定，承租人應使用承租人增額借款利率。復依IFRS 16.BC162提及，取決於標的資產之性質與租賃之條款及條件，承租人於決定其租賃增額借款利率時，或能參照可容易觀察之利率作為起點</w:t>
            </w:r>
            <w:proofErr w:type="gramStart"/>
            <w:r w:rsidRPr="0077658D">
              <w:rPr>
                <w:rFonts w:ascii="標楷體" w:eastAsia="標楷體" w:hAnsi="標楷體" w:cs="Times New Roman" w:hint="eastAsia"/>
                <w:kern w:val="2"/>
              </w:rPr>
              <w:t>（</w:t>
            </w:r>
            <w:proofErr w:type="gramEnd"/>
            <w:r w:rsidRPr="0077658D">
              <w:rPr>
                <w:rFonts w:ascii="標楷體" w:eastAsia="標楷體" w:hAnsi="標楷體" w:cs="Times New Roman" w:hint="eastAsia"/>
                <w:kern w:val="2"/>
              </w:rPr>
              <w:t>例如，承租人為購買所租賃類型資產而借款所支付，或會支付之利率；或在決定適用於不動產租賃之折現率時之不動產收益率</w:t>
            </w:r>
            <w:proofErr w:type="gramStart"/>
            <w:r w:rsidRPr="0077658D">
              <w:rPr>
                <w:rFonts w:ascii="標楷體" w:eastAsia="標楷體" w:hAnsi="標楷體" w:cs="Times New Roman" w:hint="eastAsia"/>
                <w:kern w:val="2"/>
              </w:rPr>
              <w:t>）</w:t>
            </w:r>
            <w:proofErr w:type="gramEnd"/>
            <w:r w:rsidRPr="0077658D">
              <w:rPr>
                <w:rFonts w:ascii="標楷體" w:eastAsia="標楷體" w:hAnsi="標楷體" w:cs="Times New Roman" w:hint="eastAsia"/>
                <w:kern w:val="2"/>
              </w:rPr>
              <w:t>。然而，承租人對該可觀察利率應作必要調整以決定IFRS 16中定義之增額借款利率。</w:t>
            </w:r>
          </w:p>
          <w:p w:rsidR="003F755F" w:rsidRDefault="003F755F" w:rsidP="0073558C">
            <w:pPr>
              <w:pStyle w:val="Web"/>
              <w:numPr>
                <w:ilvl w:val="0"/>
                <w:numId w:val="4"/>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2.</w:t>
            </w:r>
            <w:r w:rsidRPr="0077658D">
              <w:rPr>
                <w:rFonts w:ascii="標楷體" w:eastAsia="標楷體" w:hAnsi="標楷體" w:cs="Times New Roman" w:hint="eastAsia"/>
                <w:kern w:val="2"/>
              </w:rPr>
              <w:t>建議可參考以下</w:t>
            </w:r>
            <w:proofErr w:type="gramStart"/>
            <w:r w:rsidRPr="0077658D">
              <w:rPr>
                <w:rFonts w:ascii="標楷體" w:eastAsia="標楷體" w:hAnsi="標楷體" w:cs="Times New Roman" w:hint="eastAsia"/>
                <w:kern w:val="2"/>
              </w:rPr>
              <w:t>三</w:t>
            </w:r>
            <w:proofErr w:type="gramEnd"/>
            <w:r w:rsidRPr="0077658D">
              <w:rPr>
                <w:rFonts w:ascii="標楷體" w:eastAsia="標楷體" w:hAnsi="標楷體" w:cs="Times New Roman" w:hint="eastAsia"/>
                <w:kern w:val="2"/>
              </w:rPr>
              <w:t>步驟後決定適當之增額借款</w:t>
            </w:r>
            <w:r>
              <w:rPr>
                <w:rFonts w:ascii="標楷體" w:eastAsia="標楷體" w:hAnsi="標楷體" w:cs="Times New Roman" w:hint="eastAsia"/>
                <w:kern w:val="2"/>
              </w:rPr>
              <w:t xml:space="preserve"> </w:t>
            </w:r>
          </w:p>
          <w:p w:rsidR="003F755F" w:rsidRPr="0077658D" w:rsidRDefault="003F755F" w:rsidP="0073558C">
            <w:pPr>
              <w:pStyle w:val="Web"/>
              <w:numPr>
                <w:ilvl w:val="0"/>
                <w:numId w:val="4"/>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 xml:space="preserve">  </w:t>
            </w:r>
            <w:r w:rsidRPr="0077658D">
              <w:rPr>
                <w:rFonts w:ascii="標楷體" w:eastAsia="標楷體" w:hAnsi="標楷體" w:cs="Times New Roman" w:hint="eastAsia"/>
                <w:kern w:val="2"/>
              </w:rPr>
              <w:t>利率:</w:t>
            </w:r>
          </w:p>
          <w:p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(1)</w:t>
            </w:r>
            <w:r w:rsidR="003F755F" w:rsidRPr="0077658D">
              <w:rPr>
                <w:rFonts w:ascii="標楷體" w:eastAsia="標楷體" w:hAnsi="標楷體" w:cs="Times New Roman" w:hint="eastAsia"/>
                <w:kern w:val="2"/>
              </w:rPr>
              <w:t xml:space="preserve">決定參考利率(reference rate) </w:t>
            </w:r>
            <w:proofErr w:type="gramStart"/>
            <w:r w:rsidR="003F755F" w:rsidRPr="0077658D">
              <w:rPr>
                <w:rFonts w:ascii="標楷體" w:eastAsia="標楷體" w:hAnsi="標楷體" w:cs="Times New Roman" w:hint="eastAsia"/>
                <w:kern w:val="2"/>
              </w:rPr>
              <w:t>–</w:t>
            </w:r>
            <w:proofErr w:type="gramEnd"/>
            <w:r w:rsidR="003F755F" w:rsidRPr="0077658D">
              <w:rPr>
                <w:rFonts w:ascii="標楷體" w:eastAsia="標楷體" w:hAnsi="標楷體" w:cs="Times New Roman" w:hint="eastAsia"/>
                <w:kern w:val="2"/>
              </w:rPr>
              <w:t>使用相當存續期間之無風險利率，例如政府公債或國庫券，但因租金逐年給付而公債若係到期支付，應參照加權平均租賃期間；</w:t>
            </w:r>
          </w:p>
          <w:p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(2)</w:t>
            </w:r>
            <w:r w:rsidR="003F755F" w:rsidRPr="0077658D">
              <w:rPr>
                <w:rFonts w:ascii="標楷體" w:eastAsia="標楷體" w:hAnsi="標楷體" w:cs="Times New Roman" w:hint="eastAsia"/>
                <w:kern w:val="2"/>
              </w:rPr>
              <w:t xml:space="preserve">決定承租人之信用風險貼水 </w:t>
            </w:r>
            <w:proofErr w:type="gramStart"/>
            <w:r w:rsidR="003F755F" w:rsidRPr="0077658D">
              <w:rPr>
                <w:rFonts w:ascii="標楷體" w:eastAsia="標楷體" w:hAnsi="標楷體" w:cs="Times New Roman" w:hint="eastAsia"/>
                <w:kern w:val="2"/>
              </w:rPr>
              <w:t>–</w:t>
            </w:r>
            <w:proofErr w:type="gramEnd"/>
            <w:r w:rsidR="003F755F" w:rsidRPr="0077658D">
              <w:rPr>
                <w:rFonts w:ascii="標楷體" w:eastAsia="標楷體" w:hAnsi="標楷體" w:cs="Times New Roman" w:hint="eastAsia"/>
                <w:kern w:val="2"/>
              </w:rPr>
              <w:t xml:space="preserve"> 可能須仰賴專家、銀行等進行估計，因公司規模、產業、公司信用風險將致各公司間有所差異；</w:t>
            </w:r>
          </w:p>
          <w:p w:rsidR="003F755F" w:rsidRPr="00F012F9"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(3)</w:t>
            </w:r>
            <w:r w:rsidR="003F755F" w:rsidRPr="00F012F9">
              <w:rPr>
                <w:rFonts w:ascii="標楷體" w:eastAsia="標楷體" w:hAnsi="標楷體" w:cs="Times New Roman" w:hint="eastAsia"/>
                <w:kern w:val="2"/>
              </w:rPr>
              <w:t xml:space="preserve">決定租賃特定調整 </w:t>
            </w:r>
            <w:proofErr w:type="gramStart"/>
            <w:r w:rsidR="003F755F" w:rsidRPr="00F012F9">
              <w:rPr>
                <w:rFonts w:ascii="標楷體" w:eastAsia="標楷體" w:hAnsi="標楷體" w:cs="Times New Roman" w:hint="eastAsia"/>
                <w:kern w:val="2"/>
              </w:rPr>
              <w:t>–</w:t>
            </w:r>
            <w:proofErr w:type="gramEnd"/>
            <w:r w:rsidR="003F755F" w:rsidRPr="00F012F9">
              <w:rPr>
                <w:rFonts w:ascii="標楷體" w:eastAsia="標楷體" w:hAnsi="標楷體" w:cs="Times New Roman" w:hint="eastAsia"/>
                <w:kern w:val="2"/>
              </w:rPr>
              <w:t xml:space="preserve"> 前述風險貼水通常為無擔保品下所決定之利率調整，因使用權資產視同提供借款之擔保品，故應考量此附有擔保下利率之調整，此亦可能須仰賴專家、銀行等進行估計。</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F46AE5">
            <w:pPr>
              <w:widowControl/>
              <w:snapToGrid w:val="0"/>
              <w:rPr>
                <w:rFonts w:ascii="標楷體" w:eastAsia="標楷體" w:hAnsi="標楷體"/>
              </w:rPr>
            </w:pPr>
            <w:r w:rsidRPr="00F012F9">
              <w:rPr>
                <w:rFonts w:ascii="標楷體" w:eastAsia="標楷體" w:hAnsi="標楷體" w:hint="eastAsia"/>
              </w:rPr>
              <w:t>於107年首次適用IFRS 9時，於實務上可行之範圍內，企業尚應依IAS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規定揭露107年若仍適用IAS 39與採用IFRS 9對每一財務報表單行項目之影響數。金融業因金融資產數量繁多，係依IFRS 9規定調整資訊系統後，再由系統產出IFRS 9所需資訊。因金融業資訊系統已調整為符合IFRS 9之架構，實務上已無法再產出IAS 39之資訊，是否即可不揭露IAS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所要求資訊？</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F46AE5">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IAS8</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28(f)</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規定於實務上可行之範圍內，企業應揭露對所表達之本期及每一以前</w:t>
            </w:r>
            <w:proofErr w:type="gramStart"/>
            <w:r w:rsidRPr="00F012F9">
              <w:rPr>
                <w:rFonts w:ascii="標楷體" w:eastAsia="標楷體" w:hAnsi="標楷體" w:cs="Times New Roman" w:hint="eastAsia"/>
                <w:kern w:val="2"/>
              </w:rPr>
              <w:t>期間，</w:t>
            </w:r>
            <w:proofErr w:type="gramEnd"/>
            <w:r w:rsidRPr="00F012F9">
              <w:rPr>
                <w:rFonts w:ascii="標楷體" w:eastAsia="標楷體" w:hAnsi="標楷體" w:cs="Times New Roman" w:hint="eastAsia"/>
                <w:kern w:val="2"/>
              </w:rPr>
              <w:t>揭露每一受影響之財務報表單行項目之金額，惟依IFRS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42Q</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，於包含IFRS 9初次適用日之報導</w:t>
            </w:r>
            <w:proofErr w:type="gramStart"/>
            <w:r w:rsidRPr="00F012F9">
              <w:rPr>
                <w:rFonts w:ascii="標楷體" w:eastAsia="標楷體" w:hAnsi="標楷體" w:cs="Times New Roman" w:hint="eastAsia"/>
                <w:kern w:val="2"/>
              </w:rPr>
              <w:t>期間，</w:t>
            </w:r>
            <w:proofErr w:type="gramEnd"/>
            <w:r w:rsidRPr="00F012F9">
              <w:rPr>
                <w:rFonts w:ascii="標楷體" w:eastAsia="標楷體" w:hAnsi="標楷體" w:cs="Times New Roman" w:hint="eastAsia"/>
                <w:kern w:val="2"/>
              </w:rPr>
              <w:t>企業無須揭露下列期間依分類與衡量規定（包含有關金融資產按攤銷後成本衡量及減損之規定）將報導之單行項目金額：(a)先前期間倘若依IFRS 9將報導者；及(b)當期期間倘若依IAS 39將報導者。另企業民國107年財報應依IFRS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42I-42P</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等規定揭露初次適用IFRS 9之影響資訊。</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企業適用IFRS 15可能導致收入認列金額於不同期間內重新分配，例如由隨時間經過認列收入改為於最終交付商品時認列收入，或是因BUNDLE-SALE之</w:t>
            </w:r>
            <w:proofErr w:type="gramStart"/>
            <w:r w:rsidRPr="00F012F9">
              <w:rPr>
                <w:rFonts w:ascii="標楷體" w:eastAsia="標楷體" w:hAnsi="標楷體" w:hint="eastAsia"/>
              </w:rPr>
              <w:t>價金拆分</w:t>
            </w:r>
            <w:proofErr w:type="gramEnd"/>
            <w:r w:rsidRPr="00F012F9">
              <w:rPr>
                <w:rFonts w:ascii="標楷體" w:eastAsia="標楷體" w:hAnsi="標楷體" w:hint="eastAsia"/>
              </w:rPr>
              <w:t>方式不同而使</w:t>
            </w:r>
            <w:proofErr w:type="gramStart"/>
            <w:r w:rsidRPr="00F012F9">
              <w:rPr>
                <w:rFonts w:ascii="標楷體" w:eastAsia="標楷體" w:hAnsi="標楷體" w:hint="eastAsia"/>
              </w:rPr>
              <w:t>各期認列</w:t>
            </w:r>
            <w:proofErr w:type="gramEnd"/>
            <w:r w:rsidRPr="00F012F9">
              <w:rPr>
                <w:rFonts w:ascii="標楷體" w:eastAsia="標楷體" w:hAnsi="標楷體" w:hint="eastAsia"/>
              </w:rPr>
              <w:t>收入金額出現差異。於107.1.1首次適用IFRS 15時，對尚未完成之合約需追溯適用，並將首次適用之累積</w:t>
            </w:r>
            <w:proofErr w:type="gramStart"/>
            <w:r w:rsidRPr="00F012F9">
              <w:rPr>
                <w:rFonts w:ascii="標楷體" w:eastAsia="標楷體" w:hAnsi="標楷體" w:hint="eastAsia"/>
              </w:rPr>
              <w:t>影響數認列</w:t>
            </w:r>
            <w:proofErr w:type="gramEnd"/>
            <w:r w:rsidRPr="00F012F9">
              <w:rPr>
                <w:rFonts w:ascii="標楷體" w:eastAsia="標楷體" w:hAnsi="標楷體" w:hint="eastAsia"/>
              </w:rPr>
              <w:t>於保留盈餘，因此前述差異數將不進入綜合損益表。若企業考量IFRS 15會計處理之影響，而訂定根據IFRS 15導致之保留盈餘影響數支付（或回收）員工獎金之辦法，該等辦法導致之企業應付員工獎金（或應收員工返還獎金）應如何</w:t>
            </w:r>
            <w:proofErr w:type="gramStart"/>
            <w:r w:rsidRPr="00F012F9">
              <w:rPr>
                <w:rFonts w:ascii="標楷體" w:eastAsia="標楷體" w:hAnsi="標楷體" w:hint="eastAsia"/>
              </w:rPr>
              <w:t>入帳</w:t>
            </w:r>
            <w:proofErr w:type="gramEnd"/>
            <w:r w:rsidRPr="00F012F9">
              <w:rPr>
                <w:rFonts w:ascii="標楷體" w:eastAsia="標楷體" w:hAnsi="標楷體" w:hint="eastAsia"/>
              </w:rPr>
              <w:t>？</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公司首次適用IFRS 15時，依規定應對尚未完成之合約追溯適用，且將首次適用之累積</w:t>
            </w:r>
            <w:proofErr w:type="gramStart"/>
            <w:r w:rsidRPr="00F012F9">
              <w:rPr>
                <w:rFonts w:ascii="標楷體" w:eastAsia="標楷體" w:hAnsi="標楷體" w:cs="Times New Roman" w:hint="eastAsia"/>
                <w:kern w:val="2"/>
              </w:rPr>
              <w:t>影響數認列</w:t>
            </w:r>
            <w:proofErr w:type="gramEnd"/>
            <w:r w:rsidRPr="00F012F9">
              <w:rPr>
                <w:rFonts w:ascii="標楷體" w:eastAsia="標楷體" w:hAnsi="標楷體" w:cs="Times New Roman" w:hint="eastAsia"/>
                <w:kern w:val="2"/>
              </w:rPr>
              <w:t>於保留盈餘，若公司考量該保留盈餘變動影響而制定相關</w:t>
            </w:r>
            <w:proofErr w:type="gramStart"/>
            <w:r w:rsidRPr="00F012F9">
              <w:rPr>
                <w:rFonts w:ascii="標楷體" w:eastAsia="標楷體" w:hAnsi="標楷體" w:cs="Times New Roman" w:hint="eastAsia"/>
                <w:kern w:val="2"/>
              </w:rPr>
              <w:t>員工獎酬辦法</w:t>
            </w:r>
            <w:proofErr w:type="gramEnd"/>
            <w:r w:rsidRPr="00F012F9">
              <w:rPr>
                <w:rFonts w:ascii="標楷體" w:eastAsia="標楷體" w:hAnsi="標楷體" w:cs="Times New Roman" w:hint="eastAsia"/>
                <w:kern w:val="2"/>
              </w:rPr>
              <w:t>，其所導致企業之應付員工獎金（或應收員工返還獎金）相關會計處理，應依IAS 19規定處理。</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snapToGrid w:val="0"/>
              <w:jc w:val="center"/>
              <w:rPr>
                <w:rFonts w:ascii="標楷體" w:eastAsia="標楷體" w:hAnsi="標楷體"/>
              </w:rPr>
            </w:pPr>
            <w:r w:rsidRPr="008042EC">
              <w:rPr>
                <w:rFonts w:ascii="標楷體" w:eastAsia="標楷體" w:hAnsi="標楷體" w:hint="eastAsia"/>
              </w:rPr>
              <w:t>60</w:t>
            </w:r>
          </w:p>
        </w:tc>
        <w:tc>
          <w:tcPr>
            <w:tcW w:w="5953"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企業主要營業項目之一為興建太陽能電廠，</w:t>
            </w:r>
            <w:proofErr w:type="gramStart"/>
            <w:r w:rsidRPr="008042EC">
              <w:rPr>
                <w:rFonts w:ascii="標楷體" w:eastAsia="標楷體" w:hAnsi="標楷體" w:hint="eastAsia"/>
              </w:rPr>
              <w:t>並售電</w:t>
            </w:r>
            <w:proofErr w:type="gramEnd"/>
            <w:r w:rsidRPr="008042EC">
              <w:rPr>
                <w:rFonts w:ascii="標楷體" w:eastAsia="標楷體" w:hAnsi="標楷體" w:hint="eastAsia"/>
              </w:rPr>
              <w:t>予台電公司，與台電合約中明訂，售予台電公司的電力，僅能以特定之發電設備產出，該交易內容因符合IFRIC4「決定一項安排是否包含租賃」(雙方安排中已有一項特定資產或設備可明確辨認，且協議之達成與否取決於該設備，以及安排中該資產之使用權已移轉)，故依IAS17「租賃」規定處理。又因租賃期間已占租賃資產耐用年限的大部分</w:t>
            </w:r>
            <w:proofErr w:type="gramStart"/>
            <w:r w:rsidRPr="008042EC">
              <w:rPr>
                <w:rFonts w:ascii="標楷體" w:eastAsia="標楷體" w:hAnsi="標楷體" w:hint="eastAsia"/>
              </w:rPr>
              <w:t>期間，</w:t>
            </w:r>
            <w:proofErr w:type="gramEnd"/>
            <w:r w:rsidRPr="008042EC">
              <w:rPr>
                <w:rFonts w:ascii="標楷體" w:eastAsia="標楷體" w:hAnsi="標楷體" w:hint="eastAsia"/>
              </w:rPr>
              <w:t>是以企業估計合約期間之可能收取之電費，採用融資租賃進行會計處理。</w:t>
            </w:r>
          </w:p>
          <w:p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請問：</w:t>
            </w:r>
          </w:p>
          <w:p w:rsidR="0040117C" w:rsidRPr="008042EC" w:rsidRDefault="003F755F" w:rsidP="008B4DE4">
            <w:pPr>
              <w:widowControl/>
              <w:snapToGrid w:val="0"/>
              <w:rPr>
                <w:rFonts w:ascii="標楷體" w:eastAsia="標楷體" w:hAnsi="標楷體"/>
              </w:rPr>
            </w:pPr>
            <w:r w:rsidRPr="008042EC">
              <w:rPr>
                <w:rFonts w:ascii="標楷體" w:eastAsia="標楷體" w:hAnsi="標楷體" w:hint="eastAsia"/>
              </w:rPr>
              <w:t>1.若企業決定不採用IFRS 16.C3不重評估合約是否屬租</w:t>
            </w:r>
          </w:p>
          <w:p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proofErr w:type="gramStart"/>
            <w:r w:rsidR="003F755F" w:rsidRPr="008042EC">
              <w:rPr>
                <w:rFonts w:ascii="標楷體" w:eastAsia="標楷體" w:hAnsi="標楷體" w:hint="eastAsia"/>
              </w:rPr>
              <w:t>賃</w:t>
            </w:r>
            <w:proofErr w:type="gramEnd"/>
            <w:r w:rsidR="003F755F" w:rsidRPr="008042EC">
              <w:rPr>
                <w:rFonts w:ascii="標楷體" w:eastAsia="標楷體" w:hAnsi="標楷體" w:hint="eastAsia"/>
              </w:rPr>
              <w:t>之實務權宜作法，且判斷太陽能電廠型態及合約模</w:t>
            </w:r>
            <w:r w:rsidR="00602B95" w:rsidRPr="008042EC">
              <w:rPr>
                <w:rFonts w:ascii="標楷體" w:eastAsia="標楷體" w:hAnsi="標楷體" w:hint="eastAsia"/>
              </w:rPr>
              <w:t xml:space="preserve">  </w:t>
            </w:r>
          </w:p>
          <w:p w:rsidR="00602B95"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proofErr w:type="gramStart"/>
            <w:r w:rsidR="003F755F" w:rsidRPr="008042EC">
              <w:rPr>
                <w:rFonts w:ascii="標楷體" w:eastAsia="標楷體" w:hAnsi="標楷體" w:hint="eastAsia"/>
              </w:rPr>
              <w:t>式不符合</w:t>
            </w:r>
            <w:proofErr w:type="gramEnd"/>
            <w:r w:rsidR="003F755F" w:rsidRPr="008042EC">
              <w:rPr>
                <w:rFonts w:ascii="標楷體" w:eastAsia="標楷體" w:hAnsi="標楷體" w:hint="eastAsia"/>
              </w:rPr>
              <w:t>IFRS 16對租賃之定義而應</w:t>
            </w:r>
            <w:proofErr w:type="gramStart"/>
            <w:r w:rsidR="003F755F" w:rsidRPr="008042EC">
              <w:rPr>
                <w:rFonts w:ascii="標楷體" w:eastAsia="標楷體" w:hAnsi="標楷體" w:hint="eastAsia"/>
              </w:rPr>
              <w:t>採</w:t>
            </w:r>
            <w:proofErr w:type="gramEnd"/>
            <w:r w:rsidR="003F755F" w:rsidRPr="008042EC">
              <w:rPr>
                <w:rFonts w:ascii="標楷體" w:eastAsia="標楷體" w:hAnsi="標楷體" w:hint="eastAsia"/>
              </w:rPr>
              <w:t>IFRS 15處</w:t>
            </w:r>
          </w:p>
          <w:p w:rsidR="0040117C"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理，於初次適用IFRS 16時應如何處理？</w:t>
            </w:r>
          </w:p>
          <w:p w:rsidR="0040117C" w:rsidRPr="008042EC" w:rsidRDefault="0040117C" w:rsidP="008B4DE4">
            <w:pPr>
              <w:widowControl/>
              <w:snapToGrid w:val="0"/>
              <w:rPr>
                <w:rFonts w:ascii="標楷體" w:eastAsia="標楷體" w:hAnsi="標楷體"/>
              </w:rPr>
            </w:pPr>
            <w:r w:rsidRPr="008042EC">
              <w:rPr>
                <w:rFonts w:ascii="標楷體" w:eastAsia="標楷體" w:hAnsi="標楷體" w:hint="eastAsia"/>
              </w:rPr>
              <w:t>2.</w:t>
            </w:r>
            <w:r w:rsidR="003F755F" w:rsidRPr="008042EC">
              <w:rPr>
                <w:rFonts w:ascii="標楷體" w:eastAsia="標楷體" w:hAnsi="標楷體" w:hint="eastAsia"/>
              </w:rPr>
              <w:t>若企業決定採用IFRS 16.C3不重評估合約是否屬租賃</w:t>
            </w:r>
          </w:p>
          <w:p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之實務權宜作法，是否沿用先前IFRIC 4之結論以融</w:t>
            </w:r>
          </w:p>
          <w:p w:rsidR="003F755F"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資租賃處理？</w:t>
            </w:r>
          </w:p>
        </w:tc>
        <w:tc>
          <w:tcPr>
            <w:tcW w:w="5245"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1.若企業決定不採用IFRS 16.C3之實務權宜作法，且</w:t>
            </w:r>
            <w:proofErr w:type="gramStart"/>
            <w:r w:rsidRPr="008042EC">
              <w:rPr>
                <w:rFonts w:ascii="標楷體" w:eastAsia="標楷體" w:hAnsi="標楷體" w:cs="Times New Roman" w:hint="eastAsia"/>
                <w:kern w:val="2"/>
              </w:rPr>
              <w:t>評估後非屬</w:t>
            </w:r>
            <w:proofErr w:type="gramEnd"/>
            <w:r w:rsidRPr="008042EC">
              <w:rPr>
                <w:rFonts w:ascii="標楷體" w:eastAsia="標楷體" w:hAnsi="標楷體" w:cs="Times New Roman" w:hint="eastAsia"/>
                <w:kern w:val="2"/>
              </w:rPr>
              <w:t>IFRS 16之租賃而應適用IFRS 15，應於IFRS 16初次適用日依IAS 8規定處理。</w:t>
            </w:r>
          </w:p>
          <w:p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2.若企業決定採用IFRS 16.C3之實務權宜作法，於初次適用IFRS 16時，出租人不做租賃分類或衡量之調整。</w:t>
            </w:r>
          </w:p>
        </w:tc>
        <w:tc>
          <w:tcPr>
            <w:tcW w:w="1418" w:type="dxa"/>
          </w:tcPr>
          <w:p w:rsidR="003F755F" w:rsidRPr="008042EC" w:rsidRDefault="003F755F" w:rsidP="008B4DE4">
            <w:pPr>
              <w:snapToGrid w:val="0"/>
              <w:rPr>
                <w:rFonts w:ascii="標楷體" w:eastAsia="標楷體" w:hAnsi="標楷體"/>
              </w:rPr>
            </w:pPr>
            <w:r w:rsidRPr="008042EC">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3B0100" w:rsidRDefault="003F755F" w:rsidP="008B4DE4">
            <w:pPr>
              <w:snapToGrid w:val="0"/>
              <w:rPr>
                <w:rFonts w:ascii="標楷體" w:eastAsia="標楷體" w:hAnsi="標楷體"/>
                <w:color w:val="FF0000"/>
              </w:rPr>
            </w:pPr>
          </w:p>
        </w:tc>
      </w:tr>
      <w:tr w:rsidR="002C5155"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t>61</w:t>
            </w:r>
          </w:p>
        </w:tc>
        <w:tc>
          <w:tcPr>
            <w:tcW w:w="5953" w:type="dxa"/>
            <w:tcBorders>
              <w:top w:val="single" w:sz="4" w:space="0" w:color="auto"/>
              <w:left w:val="single" w:sz="4" w:space="0" w:color="auto"/>
              <w:bottom w:val="single" w:sz="4" w:space="0" w:color="auto"/>
              <w:right w:val="single" w:sz="4" w:space="0" w:color="auto"/>
            </w:tcBorders>
          </w:tcPr>
          <w:p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t>公司於首次採用IFRS時，依IFRS 1.D13之豁免，將</w:t>
            </w:r>
            <w:proofErr w:type="gramStart"/>
            <w:r w:rsidRPr="00EE0701">
              <w:rPr>
                <w:rFonts w:ascii="標楷體" w:eastAsia="標楷體" w:hAnsi="標楷體" w:hint="eastAsia"/>
              </w:rPr>
              <w:t>轉換日帳列國</w:t>
            </w:r>
            <w:proofErr w:type="gramEnd"/>
            <w:r w:rsidRPr="00EE0701">
              <w:rPr>
                <w:rFonts w:ascii="標楷體" w:eastAsia="標楷體" w:hAnsi="標楷體" w:hint="eastAsia"/>
              </w:rPr>
              <w:t>外營運機構財務報表換算之兌換差額(稅後金額)轉入保留盈餘。金管會101年4月6日</w:t>
            </w:r>
            <w:proofErr w:type="gramStart"/>
            <w:r w:rsidRPr="00EE0701">
              <w:rPr>
                <w:rFonts w:ascii="標楷體" w:eastAsia="標楷體" w:hAnsi="標楷體" w:hint="eastAsia"/>
              </w:rPr>
              <w:t>金管證發</w:t>
            </w:r>
            <w:proofErr w:type="gramEnd"/>
            <w:r w:rsidRPr="00EE0701">
              <w:rPr>
                <w:rFonts w:ascii="標楷體" w:eastAsia="標楷體" w:hAnsi="標楷體" w:hint="eastAsia"/>
              </w:rPr>
              <w:t>字第1010012865</w:t>
            </w:r>
            <w:r w:rsidR="00025800" w:rsidRPr="00EE0701">
              <w:rPr>
                <w:rFonts w:ascii="標楷體" w:eastAsia="標楷體" w:hAnsi="標楷體" w:hint="eastAsia"/>
              </w:rPr>
              <w:t>號令</w:t>
            </w:r>
            <w:r w:rsidRPr="00EE0701">
              <w:rPr>
                <w:rFonts w:ascii="標楷體" w:eastAsia="標楷體" w:hAnsi="標楷體" w:hint="eastAsia"/>
              </w:rPr>
              <w:t>要求，公司首次採用IFRSs時，</w:t>
            </w:r>
            <w:proofErr w:type="gramStart"/>
            <w:r w:rsidRPr="00EE0701">
              <w:rPr>
                <w:rFonts w:ascii="標楷體" w:eastAsia="標楷體" w:hAnsi="標楷體" w:hint="eastAsia"/>
              </w:rPr>
              <w:t>應就帳列</w:t>
            </w:r>
            <w:proofErr w:type="gramEnd"/>
            <w:r w:rsidRPr="00EE0701">
              <w:rPr>
                <w:rFonts w:ascii="標楷體" w:eastAsia="標楷體" w:hAnsi="標楷體" w:hint="eastAsia"/>
              </w:rPr>
              <w:t>股東權益項下之未實現重估增值及累積換算調整數（利益），因選擇適用IFRS 1豁免項目而轉入保留盈餘部分，分別提列相同數額之特別盈餘公積。</w:t>
            </w:r>
          </w:p>
          <w:p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t>當公司適用之稅率改變，針對首次採用IFRSs已轉入保留盈餘之累積兌換差額部分，公司是否得將稅率改變之所得稅影響金額相對調整保留盈餘，且因該保留盈餘已</w:t>
            </w:r>
            <w:proofErr w:type="gramStart"/>
            <w:r w:rsidRPr="00EE0701">
              <w:rPr>
                <w:rFonts w:ascii="標楷體" w:eastAsia="標楷體" w:hAnsi="標楷體" w:hint="eastAsia"/>
              </w:rPr>
              <w:t>提列同額</w:t>
            </w:r>
            <w:proofErr w:type="gramEnd"/>
            <w:r w:rsidRPr="00EE0701">
              <w:rPr>
                <w:rFonts w:ascii="標楷體" w:eastAsia="標楷體" w:hAnsi="標楷體" w:hint="eastAsia"/>
              </w:rPr>
              <w:t>特別盈餘公積因此而調整特別盈餘公積？</w:t>
            </w:r>
          </w:p>
        </w:tc>
        <w:tc>
          <w:tcPr>
            <w:tcW w:w="5245" w:type="dxa"/>
            <w:tcBorders>
              <w:top w:val="single" w:sz="4" w:space="0" w:color="auto"/>
              <w:left w:val="single" w:sz="4" w:space="0" w:color="auto"/>
              <w:bottom w:val="single" w:sz="4" w:space="0" w:color="auto"/>
              <w:right w:val="single" w:sz="4" w:space="0" w:color="auto"/>
            </w:tcBorders>
          </w:tcPr>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轉換日後遞延所得稅之變動，應以與IFRS現行使</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用者一致之方式認列。累積換算調整數之產生係源</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自於原本應列入其他綜合損益(OCI)之交易，因此，</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稅率變動對與累積換算調整數相關之遞延所得稅</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影響數，應依IAS12.60及IAS12.62之規定，認列</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於其他綜合損益。</w:t>
            </w:r>
          </w:p>
        </w:tc>
        <w:tc>
          <w:tcPr>
            <w:tcW w:w="1418" w:type="dxa"/>
          </w:tcPr>
          <w:p w:rsidR="002C5155" w:rsidRPr="008D3524" w:rsidRDefault="00025800" w:rsidP="008B4DE4">
            <w:pPr>
              <w:snapToGrid w:val="0"/>
              <w:rPr>
                <w:rFonts w:ascii="標楷體" w:eastAsia="標楷體" w:hAnsi="標楷體"/>
              </w:rPr>
            </w:pPr>
            <w:r w:rsidRPr="008D3524">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2C5155" w:rsidRPr="003B0100" w:rsidRDefault="002C5155" w:rsidP="008B4DE4">
            <w:pPr>
              <w:snapToGrid w:val="0"/>
              <w:rPr>
                <w:rFonts w:ascii="標楷體" w:eastAsia="標楷體" w:hAnsi="標楷體"/>
                <w:color w:val="FF0000"/>
              </w:rPr>
            </w:pPr>
          </w:p>
        </w:tc>
      </w:tr>
      <w:tr w:rsidR="002C5155"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t>62</w:t>
            </w:r>
          </w:p>
        </w:tc>
        <w:tc>
          <w:tcPr>
            <w:tcW w:w="5953" w:type="dxa"/>
            <w:tcBorders>
              <w:top w:val="single" w:sz="4" w:space="0" w:color="auto"/>
              <w:left w:val="single" w:sz="4" w:space="0" w:color="auto"/>
              <w:bottom w:val="single" w:sz="4" w:space="0" w:color="auto"/>
              <w:right w:val="single" w:sz="4" w:space="0" w:color="auto"/>
            </w:tcBorders>
          </w:tcPr>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根據「科學工業園區設置管理條例」所興建之員工宿舍，</w:t>
            </w:r>
            <w:proofErr w:type="gramStart"/>
            <w:r w:rsidRPr="00EE0701">
              <w:rPr>
                <w:rFonts w:ascii="標楷體" w:eastAsia="標楷體" w:hAnsi="標楷體" w:hint="eastAsia"/>
              </w:rPr>
              <w:t>僅限租與</w:t>
            </w:r>
            <w:proofErr w:type="gramEnd"/>
            <w:r w:rsidRPr="00EE0701">
              <w:rPr>
                <w:rFonts w:ascii="標楷體" w:eastAsia="標楷體" w:hAnsi="標楷體" w:hint="eastAsia"/>
              </w:rPr>
              <w:t>園區內設立機構之從業人員為限。甲公司分別與新竹</w:t>
            </w:r>
            <w:proofErr w:type="gramStart"/>
            <w:r w:rsidRPr="00EE0701">
              <w:rPr>
                <w:rFonts w:ascii="標楷體" w:eastAsia="標楷體" w:hAnsi="標楷體" w:hint="eastAsia"/>
              </w:rPr>
              <w:t>科學管理局及南部科學工業園區管理局</w:t>
            </w:r>
            <w:proofErr w:type="gramEnd"/>
            <w:r w:rsidRPr="00EE0701">
              <w:rPr>
                <w:rFonts w:ascii="標楷體" w:eastAsia="標楷體" w:hAnsi="標楷體" w:hint="eastAsia"/>
              </w:rPr>
              <w:t>租賃員工宿舍</w:t>
            </w:r>
            <w:proofErr w:type="gramStart"/>
            <w:r w:rsidRPr="00EE0701">
              <w:rPr>
                <w:rFonts w:ascii="標楷體" w:eastAsia="標楷體" w:hAnsi="標楷體" w:hint="eastAsia"/>
              </w:rPr>
              <w:t>提供予甲公司</w:t>
            </w:r>
            <w:proofErr w:type="gramEnd"/>
            <w:r w:rsidRPr="00EE0701">
              <w:rPr>
                <w:rFonts w:ascii="標楷體" w:eastAsia="標楷體" w:hAnsi="標楷體" w:hint="eastAsia"/>
              </w:rPr>
              <w:t>在職員工使用，甲公司向員工收取之租金與給付給管理局之租金並無差額，亦即，甲公司雖身為轉租之出租人，但於將標的宿舍再出租予員工之轉租過程中，並無收取任何報酬。</w:t>
            </w:r>
          </w:p>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與管理局所簽訂之租賃合約，若員工發生離職或退租等狀況，將由其他想租賃園區宿舍之甲公司員工遞補，原則上，發生空屋的情形不高，且一旦有空房，會有其他在職員工入住。</w:t>
            </w:r>
          </w:p>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會計問題：</w:t>
            </w:r>
          </w:p>
          <w:p w:rsidR="002C5155" w:rsidRPr="00EE0701" w:rsidRDefault="0090790C" w:rsidP="0090790C">
            <w:pPr>
              <w:widowControl/>
              <w:snapToGrid w:val="0"/>
              <w:rPr>
                <w:rFonts w:ascii="標楷體" w:eastAsia="標楷體" w:hAnsi="標楷體"/>
              </w:rPr>
            </w:pPr>
            <w:r w:rsidRPr="00EE0701">
              <w:rPr>
                <w:rFonts w:ascii="標楷體" w:eastAsia="標楷體" w:hAnsi="標楷體" w:hint="eastAsia"/>
              </w:rPr>
              <w:t>甲公司承租與轉租</w:t>
            </w:r>
            <w:proofErr w:type="gramStart"/>
            <w:r w:rsidRPr="00EE0701">
              <w:rPr>
                <w:rFonts w:ascii="標楷體" w:eastAsia="標楷體" w:hAnsi="標楷體" w:hint="eastAsia"/>
              </w:rPr>
              <w:t>無任何價差</w:t>
            </w:r>
            <w:proofErr w:type="gramEnd"/>
            <w:r w:rsidRPr="00EE0701">
              <w:rPr>
                <w:rFonts w:ascii="標楷體" w:eastAsia="標楷體" w:hAnsi="標楷體" w:hint="eastAsia"/>
              </w:rPr>
              <w:t>，是否可權宜將此交易做為代收付?亦或依IFRS 16之規定，由於符合轉租中使用權資產之租賃，故應依轉租之規定進行相關之會計處理及揭露?</w:t>
            </w:r>
          </w:p>
          <w:p w:rsidR="002C5155" w:rsidRPr="00EE0701" w:rsidRDefault="002C5155"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IFRS16第BC232段說明，因每一合約係單獨協</w:t>
            </w:r>
          </w:p>
          <w:p w:rsidR="0090790C" w:rsidRPr="00EE0701" w:rsidRDefault="0090790C" w:rsidP="00EE0701">
            <w:pPr>
              <w:pStyle w:val="Web"/>
              <w:snapToGrid w:val="0"/>
              <w:spacing w:before="0" w:beforeAutospacing="0" w:after="0" w:afterAutospacing="0"/>
              <w:rPr>
                <w:rFonts w:ascii="標楷體" w:eastAsia="標楷體" w:hAnsi="標楷體" w:cs="Times New Roman"/>
                <w:kern w:val="2"/>
              </w:rPr>
            </w:pPr>
            <w:r w:rsidRPr="00EE0701">
              <w:rPr>
                <w:rFonts w:ascii="標楷體" w:eastAsia="標楷體" w:hAnsi="標楷體" w:cs="Times New Roman" w:hint="eastAsia"/>
                <w:kern w:val="2"/>
              </w:rPr>
              <w:t>商，且轉租之交易對方與主租賃之交易對方係為</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不同之個體，將主租賃及轉租作為兩項單獨合約</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處理係屬適當。據此，對轉租出租人而言，源自</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主租賃之義務通常不會因轉租之條款及條件而消</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滅。IFRS16第BC235至BC236段亦有說明，轉租</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出租人不應將主租賃及同一標的資產之轉租所產</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生之資產與負債互抵，除非符合金融工具之互抵</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規定；轉租出租人亦不得將與主租賃及同一標的</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資產之轉租有關之租賃收益與租賃費用互抵，除</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非符合IAS1中互抵之規定。因此，問題所述之甲</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公司應依IFRS16之規定處理予園區管理局簽訂之</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主契約及轉租予員工之契約，不得</w:t>
            </w:r>
            <w:proofErr w:type="gramStart"/>
            <w:r w:rsidRPr="00EE0701">
              <w:rPr>
                <w:rFonts w:ascii="標楷體" w:eastAsia="標楷體" w:hAnsi="標楷體" w:cs="Times New Roman" w:hint="eastAsia"/>
                <w:kern w:val="2"/>
              </w:rPr>
              <w:t>逕</w:t>
            </w:r>
            <w:proofErr w:type="gramEnd"/>
            <w:r w:rsidRPr="00EE0701">
              <w:rPr>
                <w:rFonts w:ascii="標楷體" w:eastAsia="標楷體" w:hAnsi="標楷體" w:cs="Times New Roman" w:hint="eastAsia"/>
                <w:kern w:val="2"/>
              </w:rPr>
              <w:t>以代收代付</w:t>
            </w:r>
          </w:p>
          <w:p w:rsidR="002C5155"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w:t>
            </w:r>
          </w:p>
        </w:tc>
        <w:tc>
          <w:tcPr>
            <w:tcW w:w="1418" w:type="dxa"/>
          </w:tcPr>
          <w:p w:rsidR="002C5155" w:rsidRPr="008D3524" w:rsidRDefault="0090790C" w:rsidP="008B4DE4">
            <w:pPr>
              <w:snapToGrid w:val="0"/>
              <w:rPr>
                <w:rFonts w:ascii="標楷體" w:eastAsia="標楷體" w:hAnsi="標楷體"/>
              </w:rPr>
            </w:pPr>
            <w:r w:rsidRPr="008D3524">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2C5155" w:rsidRPr="003B0100" w:rsidRDefault="002C5155" w:rsidP="008B4DE4">
            <w:pPr>
              <w:snapToGrid w:val="0"/>
              <w:rPr>
                <w:rFonts w:ascii="標楷體" w:eastAsia="標楷體" w:hAnsi="標楷體"/>
                <w:color w:val="FF0000"/>
              </w:rPr>
            </w:pPr>
          </w:p>
        </w:tc>
      </w:tr>
      <w:tr w:rsidR="00EE0701"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EE0701" w:rsidRPr="009165E0" w:rsidRDefault="00EE0701" w:rsidP="008B4DE4">
            <w:pPr>
              <w:snapToGrid w:val="0"/>
              <w:jc w:val="center"/>
              <w:rPr>
                <w:rFonts w:ascii="標楷體" w:eastAsia="標楷體" w:hAnsi="標楷體"/>
              </w:rPr>
            </w:pPr>
            <w:r w:rsidRPr="009165E0">
              <w:rPr>
                <w:rFonts w:ascii="標楷體" w:eastAsia="標楷體" w:hAnsi="標楷體" w:hint="eastAsia"/>
              </w:rPr>
              <w:t>63</w:t>
            </w:r>
          </w:p>
        </w:tc>
        <w:tc>
          <w:tcPr>
            <w:tcW w:w="5953" w:type="dxa"/>
            <w:tcBorders>
              <w:top w:val="single" w:sz="4" w:space="0" w:color="auto"/>
              <w:left w:val="single" w:sz="4" w:space="0" w:color="auto"/>
              <w:bottom w:val="single" w:sz="4" w:space="0" w:color="auto"/>
              <w:right w:val="single" w:sz="4" w:space="0" w:color="auto"/>
            </w:tcBorders>
          </w:tcPr>
          <w:p w:rsidR="00EE0701" w:rsidRPr="009165E0" w:rsidRDefault="00EE0701" w:rsidP="00EE0701">
            <w:pPr>
              <w:widowControl/>
              <w:snapToGrid w:val="0"/>
              <w:jc w:val="both"/>
              <w:rPr>
                <w:rFonts w:ascii="標楷體" w:eastAsia="標楷體" w:hAnsi="標楷體"/>
              </w:rPr>
            </w:pPr>
            <w:r w:rsidRPr="009165E0">
              <w:rPr>
                <w:rFonts w:ascii="標楷體" w:eastAsia="標楷體" w:hAnsi="標楷體" w:hint="eastAsia"/>
              </w:rPr>
              <w:t>承租人與出租人簽訂合約時，實務上出租人多會要求承租人支付某固定金額之押金或擔保金(例如：收取一個月或兩個月租金金額之押金)。請問：該押金係屬IFRS 9</w:t>
            </w:r>
            <w:proofErr w:type="gramStart"/>
            <w:r w:rsidRPr="009165E0">
              <w:rPr>
                <w:rFonts w:ascii="標楷體" w:eastAsia="標楷體" w:hAnsi="標楷體" w:hint="eastAsia"/>
              </w:rPr>
              <w:t>按攤銷後</w:t>
            </w:r>
            <w:proofErr w:type="gramEnd"/>
            <w:r w:rsidRPr="009165E0">
              <w:rPr>
                <w:rFonts w:ascii="標楷體" w:eastAsia="標楷體" w:hAnsi="標楷體" w:hint="eastAsia"/>
              </w:rPr>
              <w:t xml:space="preserve">成本衡量之金融資產範圍，亦或係屬IFRS 16使用權資產之範圍?                                </w:t>
            </w:r>
          </w:p>
        </w:tc>
        <w:tc>
          <w:tcPr>
            <w:tcW w:w="5245" w:type="dxa"/>
            <w:tcBorders>
              <w:top w:val="single" w:sz="4" w:space="0" w:color="auto"/>
              <w:left w:val="single" w:sz="4" w:space="0" w:color="auto"/>
              <w:bottom w:val="single" w:sz="4" w:space="0" w:color="auto"/>
              <w:right w:val="single" w:sz="4" w:space="0" w:color="auto"/>
            </w:tcBorders>
          </w:tcPr>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承租人應視租賃契約對於「押金」之規範而定。</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「押金」若屬保證金之性質(即不會抵付租金者)</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宜以「</w:t>
            </w:r>
            <w:proofErr w:type="gramStart"/>
            <w:r w:rsidRPr="00E52A6E">
              <w:rPr>
                <w:rFonts w:ascii="標楷體" w:eastAsia="標楷體" w:hAnsi="標楷體" w:cs="Times New Roman" w:hint="eastAsia"/>
                <w:kern w:val="2"/>
              </w:rPr>
              <w:t>存出保證金</w:t>
            </w:r>
            <w:proofErr w:type="gramEnd"/>
            <w:r w:rsidRPr="00E52A6E">
              <w:rPr>
                <w:rFonts w:ascii="標楷體" w:eastAsia="標楷體" w:hAnsi="標楷體" w:cs="Times New Roman" w:hint="eastAsia"/>
                <w:kern w:val="2"/>
              </w:rPr>
              <w:t>」列示，係屬IFRS9之範圍；</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「押金」若屬可抵付租金者，係屬租賃給付之</w:t>
            </w:r>
            <w:proofErr w:type="gramStart"/>
            <w:r w:rsidRPr="00E52A6E">
              <w:rPr>
                <w:rFonts w:ascii="標楷體" w:eastAsia="標楷體" w:hAnsi="標楷體" w:cs="Times New Roman" w:hint="eastAsia"/>
                <w:kern w:val="2"/>
              </w:rPr>
              <w:t>一</w:t>
            </w:r>
            <w:proofErr w:type="gramEnd"/>
          </w:p>
          <w:p w:rsidR="00EE0701" w:rsidRPr="00E52A6E" w:rsidRDefault="00EE0701" w:rsidP="00A866B6">
            <w:pPr>
              <w:pStyle w:val="Web"/>
              <w:snapToGrid w:val="0"/>
              <w:spacing w:before="0" w:beforeAutospacing="0" w:after="0" w:afterAutospacing="0"/>
              <w:ind w:left="240" w:hangingChars="100" w:hanging="240"/>
              <w:rPr>
                <w:rFonts w:ascii="標楷體" w:eastAsia="標楷體" w:hAnsi="標楷體" w:cs="Times New Roman"/>
                <w:kern w:val="2"/>
              </w:rPr>
            </w:pPr>
            <w:r w:rsidRPr="00E52A6E">
              <w:rPr>
                <w:rFonts w:ascii="標楷體" w:eastAsia="標楷體" w:hAnsi="標楷體" w:cs="Times New Roman" w:hint="eastAsia"/>
                <w:kern w:val="2"/>
              </w:rPr>
              <w:t>部分，宜列入「使用權資產」。</w:t>
            </w:r>
          </w:p>
        </w:tc>
        <w:tc>
          <w:tcPr>
            <w:tcW w:w="1418" w:type="dxa"/>
          </w:tcPr>
          <w:p w:rsidR="00EE0701" w:rsidRPr="00E52A6E" w:rsidRDefault="00EE0701" w:rsidP="008B4DE4">
            <w:pPr>
              <w:snapToGrid w:val="0"/>
              <w:rPr>
                <w:rFonts w:ascii="標楷體" w:eastAsia="標楷體" w:hAnsi="標楷體"/>
              </w:rPr>
            </w:pPr>
            <w:r w:rsidRPr="00E52A6E">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EE0701" w:rsidRPr="00E52A6E" w:rsidRDefault="00EE0701" w:rsidP="008B4DE4">
            <w:pPr>
              <w:snapToGrid w:val="0"/>
              <w:rPr>
                <w:rFonts w:ascii="標楷體" w:eastAsia="標楷體" w:hAnsi="標楷體"/>
              </w:rPr>
            </w:pPr>
          </w:p>
        </w:tc>
      </w:tr>
      <w:tr w:rsidR="00A866B6"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A866B6" w:rsidRPr="009165E0" w:rsidRDefault="00A866B6" w:rsidP="008B4DE4">
            <w:pPr>
              <w:snapToGrid w:val="0"/>
              <w:jc w:val="center"/>
              <w:rPr>
                <w:rFonts w:ascii="標楷體" w:eastAsia="標楷體" w:hAnsi="標楷體"/>
              </w:rPr>
            </w:pPr>
            <w:r w:rsidRPr="009165E0">
              <w:rPr>
                <w:rFonts w:ascii="標楷體" w:eastAsia="標楷體" w:hAnsi="標楷體" w:hint="eastAsia"/>
              </w:rPr>
              <w:t>64</w:t>
            </w:r>
          </w:p>
        </w:tc>
        <w:tc>
          <w:tcPr>
            <w:tcW w:w="5953"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若合約中包含租賃及非租賃組成部分，IFRS 16有提供承租人得選擇不拆分租賃及非租賃組成部分，而以單一租賃組成部分處理之實務權宜作法；但出租人無此實務權宜作法，而應適用IFRS 15之規定將對價分攤至租賃及非租賃組成部分。</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US FASB於2018年7月發布ASC 2018-11  Targeted Improvements to Topic 842, Leases，修正內容提及，出租人於符合特定條件時(條件1：租賃及非租賃組成部分移轉之時點及型態(pattern)相同、條件2：租賃組成部分若單獨處理，將分類為營業租賃)，得選擇不拆分租賃及非租賃組成部分，並依組合組成部分(combined component)中之主導性組成部分(predominant component)決定會計處理，亦即，若非租賃組成部分為主導性組成部分，依收入處理；</w:t>
            </w:r>
            <w:proofErr w:type="gramStart"/>
            <w:r w:rsidRPr="009165E0">
              <w:rPr>
                <w:rFonts w:ascii="標楷體" w:eastAsia="標楷體" w:hAnsi="標楷體" w:hint="eastAsia"/>
              </w:rPr>
              <w:t>反之，</w:t>
            </w:r>
            <w:proofErr w:type="gramEnd"/>
            <w:r w:rsidRPr="009165E0">
              <w:rPr>
                <w:rFonts w:ascii="標楷體" w:eastAsia="標楷體" w:hAnsi="標楷體" w:hint="eastAsia"/>
              </w:rPr>
              <w:t>依租賃處理。</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該修正之結論基礎提到，新租賃準則發布後FASB收到意見表示，若租賃及非租賃組成部分移轉之時點及型態相同時，是否進行拆分對收入認列並無影響，</w:t>
            </w:r>
            <w:proofErr w:type="gramStart"/>
            <w:r w:rsidRPr="009165E0">
              <w:rPr>
                <w:rFonts w:ascii="標楷體" w:eastAsia="標楷體" w:hAnsi="標楷體" w:hint="eastAsia"/>
              </w:rPr>
              <w:t>且拆分</w:t>
            </w:r>
            <w:proofErr w:type="gramEnd"/>
            <w:r w:rsidRPr="009165E0">
              <w:rPr>
                <w:rFonts w:ascii="標楷體" w:eastAsia="標楷體" w:hAnsi="標楷體" w:hint="eastAsia"/>
              </w:rPr>
              <w:t>組成部分時，對價分攤之方法可能涉及判斷(例如，若合約中各組成部分並無可觀察售價)，拆分之結果反而可能無法正確反映交易實質，因而進行此項修正。</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於TIFRS之下，是否可引用上述ASC 842修正後處理，讓出租人得豁免拆分租賃及非租賃組成部分?</w:t>
            </w:r>
          </w:p>
        </w:tc>
        <w:tc>
          <w:tcPr>
            <w:tcW w:w="5245"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pStyle w:val="Web"/>
              <w:snapToGrid w:val="0"/>
              <w:spacing w:before="0" w:beforeAutospacing="0" w:after="0" w:afterAutospacing="0"/>
              <w:rPr>
                <w:rFonts w:ascii="標楷體" w:eastAsia="標楷體" w:hAnsi="標楷體" w:cs="Times New Roman"/>
                <w:kern w:val="2"/>
              </w:rPr>
            </w:pPr>
            <w:r w:rsidRPr="009165E0">
              <w:rPr>
                <w:rFonts w:ascii="標楷體" w:eastAsia="標楷體" w:hAnsi="標楷體" w:cs="Times New Roman" w:hint="eastAsia"/>
                <w:kern w:val="2"/>
              </w:rPr>
              <w:t>IFRS 16目前並無出租人豁免拆分租賃及非租賃組成部分之規定，故出租人仍應依IFRS16第12及17段之規定，將合約中每一租賃組成部分作為單獨租賃，並與合約中之非租賃組成部分分別處理。</w:t>
            </w:r>
          </w:p>
        </w:tc>
        <w:tc>
          <w:tcPr>
            <w:tcW w:w="1418" w:type="dxa"/>
          </w:tcPr>
          <w:p w:rsidR="00A866B6" w:rsidRPr="009165E0" w:rsidRDefault="00A866B6" w:rsidP="008B4DE4">
            <w:pPr>
              <w:snapToGrid w:val="0"/>
              <w:rPr>
                <w:rFonts w:ascii="標楷體" w:eastAsia="標楷體" w:hAnsi="標楷體"/>
              </w:rPr>
            </w:pPr>
            <w:r w:rsidRPr="009165E0">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rPr>
                <w:rFonts w:ascii="標楷體" w:eastAsia="標楷體" w:hAnsi="標楷體"/>
              </w:rPr>
            </w:pPr>
          </w:p>
        </w:tc>
      </w:tr>
      <w:tr w:rsidR="00A866B6"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jc w:val="center"/>
              <w:rPr>
                <w:rFonts w:ascii="標楷體" w:eastAsia="標楷體" w:hAnsi="標楷體"/>
              </w:rPr>
            </w:pPr>
            <w:r>
              <w:rPr>
                <w:rFonts w:ascii="標楷體" w:eastAsia="標楷體" w:hAnsi="標楷體" w:hint="eastAsia"/>
              </w:rPr>
              <w:t>65</w:t>
            </w:r>
          </w:p>
        </w:tc>
        <w:tc>
          <w:tcPr>
            <w:tcW w:w="5953" w:type="dxa"/>
            <w:tcBorders>
              <w:top w:val="single" w:sz="4" w:space="0" w:color="auto"/>
              <w:left w:val="single" w:sz="4" w:space="0" w:color="auto"/>
              <w:bottom w:val="single" w:sz="4" w:space="0" w:color="auto"/>
              <w:right w:val="single" w:sz="4" w:space="0" w:color="auto"/>
            </w:tcBorders>
          </w:tcPr>
          <w:p w:rsidR="00A866B6" w:rsidRPr="009165E0" w:rsidRDefault="00A866B6" w:rsidP="00EE0701">
            <w:pPr>
              <w:widowControl/>
              <w:snapToGrid w:val="0"/>
              <w:jc w:val="both"/>
              <w:rPr>
                <w:rFonts w:ascii="標楷體" w:eastAsia="標楷體" w:hAnsi="標楷體"/>
              </w:rPr>
            </w:pPr>
            <w:r w:rsidRPr="009165E0">
              <w:rPr>
                <w:rFonts w:ascii="標楷體" w:eastAsia="標楷體" w:hAnsi="標楷體" w:hint="eastAsia"/>
              </w:rPr>
              <w:t>若租賃合約約定承租人應分期繳納租金，承租人並於租賃開始日或之前支付部分租金，則該已支付租金，於現金流量表應分類為投資活動或是籌資活動?</w:t>
            </w:r>
          </w:p>
        </w:tc>
        <w:tc>
          <w:tcPr>
            <w:tcW w:w="5245"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pStyle w:val="Web"/>
              <w:snapToGrid w:val="0"/>
              <w:spacing w:before="0" w:beforeAutospacing="0" w:after="0" w:afterAutospacing="0"/>
              <w:jc w:val="both"/>
              <w:rPr>
                <w:rFonts w:ascii="標楷體" w:eastAsia="標楷體" w:hAnsi="標楷體" w:cs="Times New Roman"/>
                <w:kern w:val="2"/>
              </w:rPr>
            </w:pPr>
            <w:r w:rsidRPr="009165E0">
              <w:rPr>
                <w:rFonts w:ascii="標楷體" w:eastAsia="標楷體" w:hAnsi="標楷體" w:cs="Times New Roman" w:hint="eastAsia"/>
                <w:kern w:val="2"/>
              </w:rPr>
              <w:t xml:space="preserve">由企業選擇其會計政策於現金流量表分類為投資活動或籌資活動，後續應一致採用。  </w:t>
            </w:r>
          </w:p>
        </w:tc>
        <w:tc>
          <w:tcPr>
            <w:tcW w:w="1418" w:type="dxa"/>
          </w:tcPr>
          <w:p w:rsidR="00A866B6" w:rsidRPr="009165E0" w:rsidRDefault="00A866B6" w:rsidP="008B4DE4">
            <w:pPr>
              <w:snapToGrid w:val="0"/>
              <w:rPr>
                <w:rFonts w:ascii="標楷體" w:eastAsia="標楷體" w:hAnsi="標楷體"/>
              </w:rPr>
            </w:pPr>
            <w:r w:rsidRPr="009165E0">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rPr>
                <w:rFonts w:ascii="標楷體" w:eastAsia="標楷體" w:hAnsi="標楷體"/>
              </w:rPr>
            </w:pPr>
          </w:p>
        </w:tc>
      </w:tr>
      <w:tr w:rsidR="009165E0"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9165E0" w:rsidRDefault="00AB0724" w:rsidP="008B4DE4">
            <w:pPr>
              <w:snapToGrid w:val="0"/>
              <w:jc w:val="center"/>
              <w:rPr>
                <w:rFonts w:ascii="標楷體" w:eastAsia="標楷體" w:hAnsi="標楷體"/>
              </w:rPr>
            </w:pPr>
            <w:r>
              <w:rPr>
                <w:rFonts w:ascii="標楷體" w:eastAsia="標楷體" w:hAnsi="標楷體" w:hint="eastAsia"/>
              </w:rPr>
              <w:t>66</w:t>
            </w:r>
          </w:p>
        </w:tc>
        <w:tc>
          <w:tcPr>
            <w:tcW w:w="5953" w:type="dxa"/>
            <w:tcBorders>
              <w:top w:val="single" w:sz="4" w:space="0" w:color="auto"/>
              <w:left w:val="single" w:sz="4" w:space="0" w:color="auto"/>
              <w:bottom w:val="single" w:sz="4" w:space="0" w:color="auto"/>
              <w:right w:val="single" w:sz="4" w:space="0" w:color="auto"/>
            </w:tcBorders>
          </w:tcPr>
          <w:p w:rsidR="006B4255" w:rsidRPr="002C1F8E" w:rsidRDefault="009165E0" w:rsidP="0073558C">
            <w:pPr>
              <w:pStyle w:val="af1"/>
              <w:widowControl/>
              <w:numPr>
                <w:ilvl w:val="0"/>
                <w:numId w:val="7"/>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企業若出售FVOCI權益工具投資予關聯企業，相關其他權益可否全額轉入保留盈餘？或需比照IAS 28.28順流交易之處理，僅對非關聯企業之權益範圍內之金額應轉列保留盈餘？</w:t>
            </w:r>
          </w:p>
          <w:p w:rsidR="009165E0" w:rsidRPr="002C1F8E" w:rsidRDefault="009165E0" w:rsidP="0073558C">
            <w:pPr>
              <w:pStyle w:val="af1"/>
              <w:widowControl/>
              <w:numPr>
                <w:ilvl w:val="0"/>
                <w:numId w:val="7"/>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若情況變為關聯企業出售FVOCI權益工具投資予其投資公司，是否比照前述交易處理？</w:t>
            </w:r>
          </w:p>
          <w:p w:rsidR="009165E0" w:rsidRPr="002C1F8E" w:rsidRDefault="009165E0" w:rsidP="009165E0">
            <w:pPr>
              <w:widowControl/>
              <w:snapToGrid w:val="0"/>
              <w:jc w:val="both"/>
              <w:rPr>
                <w:rFonts w:ascii="標楷體" w:eastAsia="標楷體" w:hAnsi="標楷體"/>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rsidR="009165E0" w:rsidRPr="002C1F8E" w:rsidRDefault="009165E0" w:rsidP="00A866B6">
            <w:pPr>
              <w:pStyle w:val="Web"/>
              <w:snapToGrid w:val="0"/>
              <w:spacing w:before="0" w:beforeAutospacing="0" w:after="0" w:afterAutospacing="0"/>
              <w:jc w:val="both"/>
              <w:rPr>
                <w:rFonts w:ascii="標楷體" w:eastAsia="標楷體" w:hAnsi="標楷體" w:cs="Times New Roman"/>
                <w:color w:val="000000" w:themeColor="text1"/>
                <w:kern w:val="2"/>
              </w:rPr>
            </w:pPr>
            <w:r w:rsidRPr="002C1F8E">
              <w:rPr>
                <w:rFonts w:ascii="標楷體" w:eastAsia="標楷體" w:hAnsi="標楷體" w:hint="eastAsia"/>
                <w:color w:val="000000" w:themeColor="text1"/>
              </w:rPr>
              <w:t>企業出售透過其他綜合損益按公允價值衡量之權益工具投資予關聯企業時，</w:t>
            </w:r>
            <w:proofErr w:type="gramStart"/>
            <w:r w:rsidRPr="002C1F8E">
              <w:rPr>
                <w:rFonts w:ascii="標楷體" w:eastAsia="標楷體" w:hAnsi="標楷體" w:hint="eastAsia"/>
                <w:color w:val="000000" w:themeColor="text1"/>
              </w:rPr>
              <w:t>原認列</w:t>
            </w:r>
            <w:proofErr w:type="gramEnd"/>
            <w:r w:rsidRPr="002C1F8E">
              <w:rPr>
                <w:rFonts w:ascii="標楷體" w:eastAsia="標楷體" w:hAnsi="標楷體" w:hint="eastAsia"/>
                <w:color w:val="000000" w:themeColor="text1"/>
              </w:rPr>
              <w:t>於其他綜合損益之公允價值變動仍為企業綜合損益之一部分，故相關之其他權益仍應比照國際會計準則第28號「投資關聯企業及合資」（以下簡稱IAS28）第28段對順流交易之規定，僅在非關係人投資者對關聯企業之權益範圍內之金額轉列保留盈餘。關聯企業出售透過其他綜合損益按公允價值衡量之權益工具投資予其投資公司時，亦應比照IAS28第28段之規定處理。</w:t>
            </w:r>
          </w:p>
        </w:tc>
        <w:tc>
          <w:tcPr>
            <w:tcW w:w="1418" w:type="dxa"/>
          </w:tcPr>
          <w:p w:rsidR="009165E0" w:rsidRPr="002C1F8E" w:rsidRDefault="008348D9" w:rsidP="008B4DE4">
            <w:pPr>
              <w:snapToGrid w:val="0"/>
              <w:rPr>
                <w:rFonts w:ascii="標楷體" w:eastAsia="標楷體" w:hAnsi="標楷體"/>
                <w:color w:val="000000" w:themeColor="text1"/>
              </w:rPr>
            </w:pPr>
            <w:r w:rsidRPr="002C1F8E">
              <w:rPr>
                <w:rFonts w:ascii="標楷體" w:eastAsia="標楷體" w:hAnsi="標楷體" w:hint="eastAsia"/>
                <w:color w:val="000000" w:themeColor="text1"/>
              </w:rPr>
              <w:t>關聯企業交易</w:t>
            </w:r>
          </w:p>
        </w:tc>
        <w:tc>
          <w:tcPr>
            <w:tcW w:w="1417" w:type="dxa"/>
            <w:tcBorders>
              <w:top w:val="single" w:sz="4" w:space="0" w:color="auto"/>
              <w:left w:val="single" w:sz="4" w:space="0" w:color="auto"/>
              <w:bottom w:val="single" w:sz="4" w:space="0" w:color="auto"/>
              <w:right w:val="single" w:sz="4" w:space="0" w:color="auto"/>
            </w:tcBorders>
          </w:tcPr>
          <w:p w:rsidR="009165E0" w:rsidRPr="00E52A6E" w:rsidRDefault="009165E0" w:rsidP="008B4DE4">
            <w:pPr>
              <w:snapToGrid w:val="0"/>
              <w:rPr>
                <w:rFonts w:ascii="標楷體" w:eastAsia="標楷體" w:hAnsi="標楷體"/>
              </w:rPr>
            </w:pPr>
          </w:p>
        </w:tc>
      </w:tr>
      <w:tr w:rsidR="002C1F8E"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C1F8E" w:rsidRDefault="002C1F8E" w:rsidP="008B4DE4">
            <w:pPr>
              <w:snapToGrid w:val="0"/>
              <w:jc w:val="center"/>
              <w:rPr>
                <w:rFonts w:ascii="標楷體" w:eastAsia="標楷體" w:hAnsi="標楷體"/>
              </w:rPr>
            </w:pPr>
            <w:r>
              <w:rPr>
                <w:rFonts w:ascii="標楷體" w:eastAsia="標楷體" w:hAnsi="標楷體" w:hint="eastAsia"/>
              </w:rPr>
              <w:t>67</w:t>
            </w:r>
          </w:p>
        </w:tc>
        <w:tc>
          <w:tcPr>
            <w:tcW w:w="5953" w:type="dxa"/>
            <w:tcBorders>
              <w:top w:val="single" w:sz="4" w:space="0" w:color="auto"/>
              <w:left w:val="single" w:sz="4" w:space="0" w:color="auto"/>
              <w:bottom w:val="single" w:sz="4" w:space="0" w:color="auto"/>
              <w:right w:val="single" w:sz="4" w:space="0" w:color="auto"/>
            </w:tcBorders>
          </w:tcPr>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目前行政院推動「歡迎台商回台投資行動方案」，政府提供補助貸款銀行委辦手續費而使台商獲取低利貸款，此方案係以企業需求為導向，提供客製化單一窗口服務，整合土地、水電、人力、稅務與資金等政策措施，積極協助台商回台投資。舉例來說：若A公司向銀行貸款，其通常可取得之貸款利率為1.2%，若</w:t>
            </w:r>
            <w:proofErr w:type="gramStart"/>
            <w:r w:rsidRPr="00BD1105">
              <w:rPr>
                <w:rFonts w:ascii="標楷體" w:eastAsia="標楷體" w:hAnsi="標楷體" w:hint="eastAsia"/>
                <w:color w:val="000000" w:themeColor="text1"/>
              </w:rPr>
              <w:t>採</w:t>
            </w:r>
            <w:proofErr w:type="gramEnd"/>
            <w:r w:rsidRPr="00BD1105">
              <w:rPr>
                <w:rFonts w:ascii="標楷體" w:eastAsia="標楷體" w:hAnsi="標楷體" w:hint="eastAsia"/>
                <w:color w:val="000000" w:themeColor="text1"/>
              </w:rPr>
              <w:t>前述方案，則實際需支付之貸款利率將為0.5%。</w:t>
            </w:r>
          </w:p>
          <w:p w:rsidR="002C1F8E" w:rsidRPr="00BD1105" w:rsidRDefault="002C1F8E" w:rsidP="002C1F8E">
            <w:pPr>
              <w:widowControl/>
              <w:snapToGrid w:val="0"/>
              <w:jc w:val="both"/>
              <w:rPr>
                <w:rFonts w:ascii="標楷體" w:eastAsia="標楷體" w:hAnsi="標楷體"/>
                <w:color w:val="000000" w:themeColor="text1"/>
              </w:rPr>
            </w:pP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實務上對獲取低利貸款之台商會計處理出現下列兩種看法：</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1：此類貸款以台商實際支付予銀行之較低利息為基礎，無須考量政府補助貸款銀行之利息，若以前述背景為例，A公司依實際支付之0.5%設算利息費用。</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2：此類貸款應依IFRS 9之規定認列及衡量，亦即A公司依公允價值認列貸款，惟政府補助貸款銀行之利益，依IAS 20規定處理自政府獲取低於市場利率之貸款。</w:t>
            </w:r>
          </w:p>
          <w:p w:rsidR="002C1F8E" w:rsidRPr="00BD1105" w:rsidRDefault="002C1F8E" w:rsidP="002C1F8E">
            <w:pPr>
              <w:widowControl/>
              <w:snapToGrid w:val="0"/>
              <w:jc w:val="both"/>
              <w:rPr>
                <w:rFonts w:ascii="標楷體" w:eastAsia="標楷體" w:hAnsi="標楷體"/>
                <w:color w:val="000000" w:themeColor="text1"/>
              </w:rPr>
            </w:pPr>
          </w:p>
          <w:p w:rsidR="006C4FFA"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會計問題：</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公司因政府提供補助貸款銀行委辦手續費而享有之低利貸款是否涉及應適用IAS 20</w:t>
            </w:r>
            <w:r w:rsidR="006C4FFA" w:rsidRPr="00BD1105">
              <w:rPr>
                <w:rFonts w:ascii="標楷體" w:eastAsia="標楷體" w:hAnsi="標楷體" w:hint="eastAsia"/>
                <w:color w:val="000000" w:themeColor="text1"/>
              </w:rPr>
              <w:t>「政府補助之會計及政府輔助之揭露」</w:t>
            </w:r>
            <w:r w:rsidRPr="00BD1105">
              <w:rPr>
                <w:rFonts w:ascii="標楷體" w:eastAsia="標楷體" w:hAnsi="標楷體" w:hint="eastAsia"/>
                <w:color w:val="000000" w:themeColor="text1"/>
              </w:rPr>
              <w:t>之規定?</w:t>
            </w:r>
          </w:p>
        </w:tc>
        <w:tc>
          <w:tcPr>
            <w:tcW w:w="5245" w:type="dxa"/>
            <w:tcBorders>
              <w:top w:val="single" w:sz="4" w:space="0" w:color="auto"/>
              <w:left w:val="single" w:sz="4" w:space="0" w:color="auto"/>
              <w:bottom w:val="single" w:sz="4" w:space="0" w:color="auto"/>
              <w:right w:val="single" w:sz="4" w:space="0" w:color="auto"/>
            </w:tcBorders>
          </w:tcPr>
          <w:p w:rsidR="002C1F8E" w:rsidRPr="00BD1105" w:rsidRDefault="006C4FFA" w:rsidP="006C4FFA">
            <w:pPr>
              <w:pStyle w:val="Web"/>
              <w:snapToGrid w:val="0"/>
              <w:spacing w:before="0" w:beforeAutospacing="0" w:after="0" w:afterAutospacing="0"/>
              <w:jc w:val="both"/>
              <w:rPr>
                <w:rFonts w:ascii="標楷體" w:eastAsia="標楷體" w:hAnsi="標楷體"/>
                <w:color w:val="000000" w:themeColor="text1"/>
              </w:rPr>
            </w:pPr>
            <w:r w:rsidRPr="00BD1105">
              <w:rPr>
                <w:rFonts w:ascii="標楷體" w:eastAsia="標楷體" w:hAnsi="標楷體" w:hint="eastAsia"/>
                <w:color w:val="000000" w:themeColor="text1"/>
              </w:rPr>
              <w:t>公司應依IAS 20處理。</w:t>
            </w:r>
          </w:p>
        </w:tc>
        <w:tc>
          <w:tcPr>
            <w:tcW w:w="1418" w:type="dxa"/>
          </w:tcPr>
          <w:p w:rsidR="002C1F8E" w:rsidRPr="00BD1105" w:rsidRDefault="001F6799" w:rsidP="008B4DE4">
            <w:pPr>
              <w:snapToGrid w:val="0"/>
              <w:rPr>
                <w:rFonts w:ascii="標楷體" w:eastAsia="標楷體" w:hAnsi="標楷體"/>
                <w:color w:val="000000" w:themeColor="text1"/>
              </w:rPr>
            </w:pPr>
            <w:r w:rsidRPr="00BD1105">
              <w:rPr>
                <w:rFonts w:ascii="標楷體" w:eastAsia="標楷體" w:hAnsi="標楷體" w:hint="eastAsia"/>
                <w:color w:val="000000" w:themeColor="text1"/>
              </w:rPr>
              <w:t>政府補助</w:t>
            </w:r>
          </w:p>
        </w:tc>
        <w:tc>
          <w:tcPr>
            <w:tcW w:w="1417" w:type="dxa"/>
            <w:tcBorders>
              <w:top w:val="single" w:sz="4" w:space="0" w:color="auto"/>
              <w:left w:val="single" w:sz="4" w:space="0" w:color="auto"/>
              <w:bottom w:val="single" w:sz="4" w:space="0" w:color="auto"/>
              <w:right w:val="single" w:sz="4" w:space="0" w:color="auto"/>
            </w:tcBorders>
          </w:tcPr>
          <w:p w:rsidR="002C1F8E" w:rsidRPr="00E52A6E" w:rsidRDefault="002C1F8E" w:rsidP="008B4DE4">
            <w:pPr>
              <w:snapToGrid w:val="0"/>
              <w:rPr>
                <w:rFonts w:ascii="標楷體" w:eastAsia="標楷體" w:hAnsi="標楷體"/>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6</w:t>
            </w:r>
            <w:r w:rsidRPr="00215D41">
              <w:rPr>
                <w:rFonts w:ascii="標楷體" w:eastAsia="標楷體" w:hAnsi="標楷體"/>
                <w:color w:val="000000" w:themeColor="text1"/>
              </w:rPr>
              <w:t>8</w:t>
            </w:r>
          </w:p>
        </w:tc>
        <w:tc>
          <w:tcPr>
            <w:tcW w:w="5953"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rPr>
              <w:t>總統於</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7</w:t>
            </w:r>
            <w:r w:rsidRPr="00215D41">
              <w:rPr>
                <w:rFonts w:eastAsia="標楷體"/>
                <w:color w:val="000000" w:themeColor="text1"/>
                <w:kern w:val="0"/>
                <w:sz w:val="26"/>
                <w:szCs w:val="26"/>
              </w:rPr>
              <w:t>月</w:t>
            </w:r>
            <w:r w:rsidRPr="00215D41">
              <w:rPr>
                <w:rFonts w:eastAsia="標楷體"/>
                <w:color w:val="000000" w:themeColor="text1"/>
                <w:kern w:val="0"/>
                <w:sz w:val="26"/>
                <w:szCs w:val="26"/>
              </w:rPr>
              <w:t>24</w:t>
            </w:r>
            <w:r w:rsidRPr="00215D41">
              <w:rPr>
                <w:rFonts w:eastAsia="標楷體"/>
                <w:color w:val="000000" w:themeColor="text1"/>
                <w:kern w:val="0"/>
                <w:sz w:val="26"/>
                <w:szCs w:val="26"/>
              </w:rPr>
              <w:t>日公布「境外資金</w:t>
            </w:r>
            <w:proofErr w:type="gramStart"/>
            <w:r w:rsidRPr="00215D41">
              <w:rPr>
                <w:rFonts w:eastAsia="標楷體"/>
                <w:color w:val="000000" w:themeColor="text1"/>
                <w:kern w:val="0"/>
                <w:sz w:val="26"/>
                <w:szCs w:val="26"/>
              </w:rPr>
              <w:t>匯</w:t>
            </w:r>
            <w:proofErr w:type="gramEnd"/>
            <w:r w:rsidRPr="00215D41">
              <w:rPr>
                <w:rFonts w:eastAsia="標楷體"/>
                <w:color w:val="000000" w:themeColor="text1"/>
                <w:kern w:val="0"/>
                <w:sz w:val="26"/>
                <w:szCs w:val="26"/>
              </w:rPr>
              <w:t>回管理運用及課稅條例」，營利事業自</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8</w:t>
            </w:r>
            <w:r w:rsidRPr="00215D41">
              <w:rPr>
                <w:rFonts w:eastAsia="標楷體"/>
                <w:color w:val="000000" w:themeColor="text1"/>
                <w:kern w:val="0"/>
                <w:sz w:val="26"/>
                <w:szCs w:val="26"/>
              </w:rPr>
              <w:t>月</w:t>
            </w:r>
            <w:r w:rsidRPr="00215D41">
              <w:rPr>
                <w:rFonts w:eastAsia="標楷體"/>
                <w:color w:val="000000" w:themeColor="text1"/>
                <w:kern w:val="0"/>
                <w:sz w:val="26"/>
                <w:szCs w:val="26"/>
              </w:rPr>
              <w:t>15</w:t>
            </w:r>
            <w:r w:rsidRPr="00215D41">
              <w:rPr>
                <w:rFonts w:eastAsia="標楷體"/>
                <w:color w:val="000000" w:themeColor="text1"/>
                <w:kern w:val="0"/>
                <w:sz w:val="26"/>
                <w:szCs w:val="26"/>
              </w:rPr>
              <w:t>日起二年內依據該條例規定</w:t>
            </w:r>
            <w:proofErr w:type="gramStart"/>
            <w:r w:rsidRPr="00215D41">
              <w:rPr>
                <w:rFonts w:eastAsia="標楷體"/>
                <w:color w:val="000000" w:themeColor="text1"/>
                <w:kern w:val="0"/>
                <w:sz w:val="26"/>
                <w:szCs w:val="26"/>
              </w:rPr>
              <w:t>匯</w:t>
            </w:r>
            <w:proofErr w:type="gramEnd"/>
            <w:r w:rsidRPr="00215D41">
              <w:rPr>
                <w:rFonts w:eastAsia="標楷體"/>
                <w:color w:val="000000" w:themeColor="text1"/>
                <w:kern w:val="0"/>
                <w:sz w:val="26"/>
                <w:szCs w:val="26"/>
              </w:rPr>
              <w:t>回之境外資金，於存入專戶時適用特別稅率</w:t>
            </w:r>
            <w:r w:rsidRPr="00215D41">
              <w:rPr>
                <w:rFonts w:eastAsia="標楷體"/>
                <w:color w:val="000000" w:themeColor="text1"/>
                <w:kern w:val="0"/>
                <w:sz w:val="26"/>
                <w:szCs w:val="26"/>
              </w:rPr>
              <w:t>(</w:t>
            </w:r>
            <w:r w:rsidRPr="00215D41">
              <w:rPr>
                <w:rFonts w:eastAsia="標楷體"/>
                <w:color w:val="000000" w:themeColor="text1"/>
                <w:kern w:val="0"/>
                <w:sz w:val="26"/>
                <w:szCs w:val="26"/>
              </w:rPr>
              <w:t>第一年</w:t>
            </w:r>
            <w:r w:rsidRPr="00215D41">
              <w:rPr>
                <w:rFonts w:eastAsia="標楷體"/>
                <w:color w:val="000000" w:themeColor="text1"/>
                <w:kern w:val="0"/>
                <w:sz w:val="26"/>
                <w:szCs w:val="26"/>
              </w:rPr>
              <w:t>8%</w:t>
            </w:r>
            <w:r w:rsidRPr="00215D41">
              <w:rPr>
                <w:rFonts w:eastAsia="標楷體"/>
                <w:color w:val="000000" w:themeColor="text1"/>
                <w:kern w:val="0"/>
                <w:sz w:val="26"/>
                <w:szCs w:val="26"/>
              </w:rPr>
              <w:t>，第二年</w:t>
            </w:r>
            <w:r w:rsidRPr="00215D41">
              <w:rPr>
                <w:rFonts w:eastAsia="標楷體"/>
                <w:color w:val="000000" w:themeColor="text1"/>
                <w:kern w:val="0"/>
                <w:sz w:val="26"/>
                <w:szCs w:val="26"/>
              </w:rPr>
              <w:t>10%</w:t>
            </w:r>
            <w:r w:rsidRPr="00215D41">
              <w:rPr>
                <w:rFonts w:eastAsia="標楷體"/>
                <w:color w:val="000000" w:themeColor="text1"/>
                <w:kern w:val="0"/>
                <w:sz w:val="26"/>
                <w:szCs w:val="26"/>
              </w:rPr>
              <w:t>，不適用境外稅額扣抵</w:t>
            </w:r>
            <w:r w:rsidRPr="00215D41">
              <w:rPr>
                <w:rFonts w:eastAsia="標楷體"/>
                <w:color w:val="000000" w:themeColor="text1"/>
                <w:kern w:val="0"/>
                <w:sz w:val="26"/>
                <w:szCs w:val="26"/>
              </w:rPr>
              <w:t>)</w:t>
            </w:r>
            <w:r w:rsidRPr="00215D41">
              <w:rPr>
                <w:rFonts w:eastAsia="標楷體"/>
                <w:color w:val="000000" w:themeColor="text1"/>
                <w:kern w:val="0"/>
                <w:sz w:val="26"/>
                <w:szCs w:val="26"/>
              </w:rPr>
              <w:t>，並於期限內完成實質投資時退還半數稅額，或自第六年起每年於三分之一限額內分次提領後自由運用。</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rsidR="00BD1105" w:rsidRPr="00215D41" w:rsidRDefault="00BD1105" w:rsidP="00BD1105">
            <w:pPr>
              <w:widowControl/>
              <w:adjustRightInd w:val="0"/>
              <w:snapToGrid w:val="0"/>
              <w:ind w:left="216" w:hangingChars="90" w:hanging="216"/>
              <w:jc w:val="both"/>
              <w:rPr>
                <w:rFonts w:eastAsia="標楷體"/>
                <w:color w:val="000000" w:themeColor="text1"/>
                <w:kern w:val="0"/>
                <w:sz w:val="26"/>
                <w:szCs w:val="26"/>
              </w:rPr>
            </w:pPr>
            <w:r w:rsidRPr="00215D41">
              <w:rPr>
                <w:rFonts w:ascii="標楷體" w:eastAsia="標楷體" w:hAnsi="標楷體" w:hint="eastAsia"/>
                <w:color w:val="000000" w:themeColor="text1"/>
              </w:rPr>
              <w:t>1.</w:t>
            </w:r>
            <w:r w:rsidRPr="00215D41">
              <w:rPr>
                <w:rFonts w:eastAsia="標楷體"/>
                <w:color w:val="000000" w:themeColor="text1"/>
                <w:kern w:val="0"/>
                <w:sz w:val="26"/>
                <w:szCs w:val="26"/>
                <w:u w:val="single"/>
              </w:rPr>
              <w:t>企業對於海外投資所產生之應課稅暫時性差異所應認列之遞延所得稅負債，應於哪</w:t>
            </w:r>
            <w:proofErr w:type="gramStart"/>
            <w:r w:rsidRPr="00215D41">
              <w:rPr>
                <w:rFonts w:eastAsia="標楷體"/>
                <w:color w:val="000000" w:themeColor="text1"/>
                <w:kern w:val="0"/>
                <w:sz w:val="26"/>
                <w:szCs w:val="26"/>
                <w:u w:val="single"/>
              </w:rPr>
              <w:t>個</w:t>
            </w:r>
            <w:proofErr w:type="gramEnd"/>
            <w:r w:rsidRPr="00215D41">
              <w:rPr>
                <w:rFonts w:eastAsia="標楷體"/>
                <w:color w:val="000000" w:themeColor="text1"/>
                <w:kern w:val="0"/>
                <w:sz w:val="26"/>
                <w:szCs w:val="26"/>
                <w:u w:val="single"/>
              </w:rPr>
              <w:t>時點改依前述特別稅率衡量？</w:t>
            </w:r>
            <w:r w:rsidRPr="00215D41">
              <w:rPr>
                <w:rFonts w:eastAsia="標楷體"/>
                <w:color w:val="000000" w:themeColor="text1"/>
                <w:kern w:val="0"/>
                <w:sz w:val="26"/>
                <w:szCs w:val="26"/>
              </w:rPr>
              <w:t>例如：被投資公司決議分配盈餘且企業選擇適用該課稅條例時？依作業辦法向</w:t>
            </w:r>
            <w:proofErr w:type="gramStart"/>
            <w:r w:rsidRPr="00215D41">
              <w:rPr>
                <w:rFonts w:eastAsia="標楷體"/>
                <w:color w:val="000000" w:themeColor="text1"/>
                <w:kern w:val="0"/>
                <w:sz w:val="26"/>
                <w:szCs w:val="26"/>
              </w:rPr>
              <w:t>稽</w:t>
            </w:r>
            <w:proofErr w:type="gramEnd"/>
            <w:r w:rsidRPr="00215D41">
              <w:rPr>
                <w:rFonts w:eastAsia="標楷體"/>
                <w:color w:val="000000" w:themeColor="text1"/>
                <w:kern w:val="0"/>
                <w:sz w:val="26"/>
                <w:szCs w:val="26"/>
              </w:rPr>
              <w:t>徵機關提出申請時？經</w:t>
            </w:r>
            <w:proofErr w:type="gramStart"/>
            <w:r w:rsidRPr="00215D41">
              <w:rPr>
                <w:rFonts w:eastAsia="標楷體"/>
                <w:color w:val="000000" w:themeColor="text1"/>
                <w:kern w:val="0"/>
                <w:sz w:val="26"/>
                <w:szCs w:val="26"/>
              </w:rPr>
              <w:t>稽</w:t>
            </w:r>
            <w:proofErr w:type="gramEnd"/>
            <w:r w:rsidRPr="00215D41">
              <w:rPr>
                <w:rFonts w:eastAsia="標楷體"/>
                <w:color w:val="000000" w:themeColor="text1"/>
                <w:kern w:val="0"/>
                <w:sz w:val="26"/>
                <w:szCs w:val="26"/>
              </w:rPr>
              <w:t>徵機關核准時？或資金匯入專戶時？</w:t>
            </w:r>
          </w:p>
          <w:p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rPr>
            </w:pPr>
            <w:r w:rsidRPr="00215D41">
              <w:rPr>
                <w:rFonts w:eastAsia="標楷體" w:hint="eastAsia"/>
                <w:bCs/>
                <w:color w:val="000000" w:themeColor="text1"/>
                <w:kern w:val="0"/>
                <w:sz w:val="26"/>
                <w:szCs w:val="26"/>
              </w:rPr>
              <w:t>2.</w:t>
            </w:r>
            <w:r w:rsidRPr="00215D41">
              <w:rPr>
                <w:rFonts w:eastAsia="標楷體"/>
                <w:color w:val="000000" w:themeColor="text1"/>
                <w:kern w:val="0"/>
                <w:sz w:val="26"/>
                <w:szCs w:val="26"/>
                <w:u w:val="single"/>
              </w:rPr>
              <w:t>後續完成實質投資，應於哪</w:t>
            </w:r>
            <w:proofErr w:type="gramStart"/>
            <w:r w:rsidRPr="00215D41">
              <w:rPr>
                <w:rFonts w:eastAsia="標楷體"/>
                <w:color w:val="000000" w:themeColor="text1"/>
                <w:kern w:val="0"/>
                <w:sz w:val="26"/>
                <w:szCs w:val="26"/>
                <w:u w:val="single"/>
              </w:rPr>
              <w:t>個時點認列</w:t>
            </w:r>
            <w:proofErr w:type="gramEnd"/>
            <w:r w:rsidRPr="00215D41">
              <w:rPr>
                <w:rFonts w:eastAsia="標楷體"/>
                <w:color w:val="000000" w:themeColor="text1"/>
                <w:kern w:val="0"/>
                <w:sz w:val="26"/>
                <w:szCs w:val="26"/>
                <w:u w:val="single"/>
              </w:rPr>
              <w:t>應退稅款及所得稅利益？</w:t>
            </w:r>
            <w:r w:rsidRPr="00215D41">
              <w:rPr>
                <w:rFonts w:eastAsia="標楷體"/>
                <w:color w:val="000000" w:themeColor="text1"/>
                <w:kern w:val="0"/>
                <w:sz w:val="26"/>
                <w:szCs w:val="26"/>
              </w:rPr>
              <w:t>例如：於投資計畫完成並符合退稅條件時？投資計劃完成且向經濟部申請時？或經濟部核發完成證明時？</w:t>
            </w:r>
          </w:p>
          <w:p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u w:val="single"/>
              </w:rPr>
            </w:pPr>
            <w:r w:rsidRPr="00215D41">
              <w:rPr>
                <w:rFonts w:eastAsia="標楷體" w:hint="eastAsia"/>
                <w:color w:val="000000" w:themeColor="text1"/>
                <w:kern w:val="0"/>
                <w:sz w:val="26"/>
                <w:szCs w:val="26"/>
              </w:rPr>
              <w:t>3.</w:t>
            </w:r>
            <w:r w:rsidRPr="00215D41">
              <w:rPr>
                <w:rFonts w:eastAsia="標楷體"/>
                <w:color w:val="000000" w:themeColor="text1"/>
                <w:kern w:val="0"/>
                <w:sz w:val="26"/>
                <w:szCs w:val="26"/>
                <w:u w:val="single"/>
              </w:rPr>
              <w:t>資金</w:t>
            </w:r>
            <w:proofErr w:type="gramStart"/>
            <w:r w:rsidRPr="00215D41">
              <w:rPr>
                <w:rFonts w:eastAsia="標楷體"/>
                <w:color w:val="000000" w:themeColor="text1"/>
                <w:kern w:val="0"/>
                <w:sz w:val="26"/>
                <w:szCs w:val="26"/>
                <w:u w:val="single"/>
              </w:rPr>
              <w:t>匯</w:t>
            </w:r>
            <w:proofErr w:type="gramEnd"/>
            <w:r w:rsidRPr="00215D41">
              <w:rPr>
                <w:rFonts w:eastAsia="標楷體"/>
                <w:color w:val="000000" w:themeColor="text1"/>
                <w:kern w:val="0"/>
                <w:sz w:val="26"/>
                <w:szCs w:val="26"/>
                <w:u w:val="single"/>
              </w:rPr>
              <w:t>回存</w:t>
            </w:r>
            <w:proofErr w:type="gramStart"/>
            <w:r w:rsidRPr="00215D41">
              <w:rPr>
                <w:rFonts w:eastAsia="標楷體"/>
                <w:color w:val="000000" w:themeColor="text1"/>
                <w:kern w:val="0"/>
                <w:sz w:val="26"/>
                <w:szCs w:val="26"/>
                <w:u w:val="single"/>
              </w:rPr>
              <w:t>入專戶後</w:t>
            </w:r>
            <w:proofErr w:type="gramEnd"/>
            <w:r w:rsidRPr="00215D41">
              <w:rPr>
                <w:rFonts w:eastAsia="標楷體"/>
                <w:color w:val="000000" w:themeColor="text1"/>
                <w:kern w:val="0"/>
                <w:sz w:val="26"/>
                <w:szCs w:val="26"/>
                <w:u w:val="single"/>
              </w:rPr>
              <w:t>，該專戶</w:t>
            </w:r>
            <w:proofErr w:type="gramStart"/>
            <w:r w:rsidRPr="00215D41">
              <w:rPr>
                <w:rFonts w:eastAsia="標楷體"/>
                <w:color w:val="000000" w:themeColor="text1"/>
                <w:kern w:val="0"/>
                <w:sz w:val="26"/>
                <w:szCs w:val="26"/>
                <w:u w:val="single"/>
              </w:rPr>
              <w:t>是否屬受限制</w:t>
            </w:r>
            <w:proofErr w:type="gramEnd"/>
            <w:r w:rsidRPr="00215D41">
              <w:rPr>
                <w:rFonts w:eastAsia="標楷體"/>
                <w:color w:val="000000" w:themeColor="text1"/>
                <w:kern w:val="0"/>
                <w:sz w:val="26"/>
                <w:szCs w:val="26"/>
                <w:u w:val="single"/>
              </w:rPr>
              <w:t>之銀行存款，不宜於資產負債表列示為現金及約當現金？</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245" w:type="dxa"/>
            <w:tcBorders>
              <w:top w:val="single" w:sz="4" w:space="0" w:color="auto"/>
              <w:left w:val="single" w:sz="4" w:space="0" w:color="auto"/>
              <w:bottom w:val="single" w:sz="4" w:space="0" w:color="auto"/>
              <w:right w:val="single" w:sz="4" w:space="0" w:color="auto"/>
            </w:tcBorders>
          </w:tcPr>
          <w:p w:rsidR="00BD1105" w:rsidRPr="00215D41" w:rsidRDefault="00BD1105" w:rsidP="0073558C">
            <w:pPr>
              <w:pStyle w:val="af1"/>
              <w:widowControl/>
              <w:numPr>
                <w:ilvl w:val="0"/>
                <w:numId w:val="8"/>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color w:val="000000" w:themeColor="text1"/>
                <w:kern w:val="0"/>
                <w:sz w:val="26"/>
                <w:szCs w:val="26"/>
              </w:rPr>
              <w:t>IAS12</w:t>
            </w:r>
            <w:r w:rsidRPr="00215D41">
              <w:rPr>
                <w:rFonts w:eastAsia="標楷體"/>
                <w:color w:val="000000" w:themeColor="text1"/>
                <w:kern w:val="0"/>
                <w:sz w:val="26"/>
                <w:szCs w:val="26"/>
              </w:rPr>
              <w:t>第</w:t>
            </w:r>
            <w:r w:rsidRPr="00215D41">
              <w:rPr>
                <w:rFonts w:eastAsia="標楷體"/>
                <w:color w:val="000000" w:themeColor="text1"/>
                <w:kern w:val="0"/>
                <w:sz w:val="26"/>
                <w:szCs w:val="26"/>
              </w:rPr>
              <w:t>47</w:t>
            </w:r>
            <w:r w:rsidRPr="00215D41">
              <w:rPr>
                <w:rFonts w:eastAsia="標楷體"/>
                <w:color w:val="000000" w:themeColor="text1"/>
                <w:kern w:val="0"/>
                <w:sz w:val="26"/>
                <w:szCs w:val="26"/>
              </w:rPr>
              <w:t>段規定「遞延所得稅資產及負債應以預期資產實現或負債清償當期之稅率衡量，該稅率應以報導期間結束日已立法或已實質性立法之稅率（及稅法）為基礎。」</w:t>
            </w:r>
            <w:r w:rsidRPr="00215D41">
              <w:rPr>
                <w:rFonts w:eastAsia="標楷體" w:hint="eastAsia"/>
                <w:color w:val="000000" w:themeColor="text1"/>
                <w:kern w:val="0"/>
                <w:sz w:val="26"/>
                <w:szCs w:val="26"/>
              </w:rPr>
              <w:t>所述特殊稅率之適用，企業須符合「境外資金</w:t>
            </w:r>
            <w:proofErr w:type="gramStart"/>
            <w:r w:rsidRPr="00215D41">
              <w:rPr>
                <w:rFonts w:eastAsia="標楷體" w:hint="eastAsia"/>
                <w:color w:val="000000" w:themeColor="text1"/>
                <w:kern w:val="0"/>
                <w:sz w:val="26"/>
                <w:szCs w:val="26"/>
              </w:rPr>
              <w:t>匯</w:t>
            </w:r>
            <w:proofErr w:type="gramEnd"/>
            <w:r w:rsidRPr="00215D41">
              <w:rPr>
                <w:rFonts w:eastAsia="標楷體" w:hint="eastAsia"/>
                <w:color w:val="000000" w:themeColor="text1"/>
                <w:kern w:val="0"/>
                <w:sz w:val="26"/>
                <w:szCs w:val="26"/>
              </w:rPr>
              <w:t>回管理運用及課稅條例」第五條之規定，而因相關審查並非企業可控制事項，且亦無歷史經驗可供參考，因此</w:t>
            </w:r>
            <w:r w:rsidRPr="00215D41">
              <w:rPr>
                <w:rFonts w:eastAsia="標楷體"/>
                <w:color w:val="000000" w:themeColor="text1"/>
                <w:kern w:val="0"/>
                <w:sz w:val="26"/>
                <w:szCs w:val="26"/>
              </w:rPr>
              <w:t>企業應於</w:t>
            </w:r>
            <w:r w:rsidRPr="00215D41">
              <w:rPr>
                <w:rFonts w:eastAsia="標楷體" w:hint="eastAsia"/>
                <w:color w:val="000000" w:themeColor="text1"/>
                <w:kern w:val="0"/>
                <w:sz w:val="26"/>
                <w:szCs w:val="26"/>
              </w:rPr>
              <w:t>通過國稅局及受理銀行之審查並</w:t>
            </w:r>
            <w:proofErr w:type="gramStart"/>
            <w:r w:rsidRPr="00215D41">
              <w:rPr>
                <w:rFonts w:eastAsia="標楷體" w:hint="eastAsia"/>
                <w:color w:val="000000" w:themeColor="text1"/>
                <w:kern w:val="0"/>
                <w:sz w:val="26"/>
                <w:szCs w:val="26"/>
              </w:rPr>
              <w:t>匯</w:t>
            </w:r>
            <w:proofErr w:type="gramEnd"/>
            <w:r w:rsidRPr="00215D41">
              <w:rPr>
                <w:rFonts w:eastAsia="標楷體" w:hint="eastAsia"/>
                <w:color w:val="000000" w:themeColor="text1"/>
                <w:kern w:val="0"/>
                <w:sz w:val="26"/>
                <w:szCs w:val="26"/>
              </w:rPr>
              <w:t>回資金，</w:t>
            </w:r>
            <w:r w:rsidRPr="00215D41">
              <w:rPr>
                <w:rFonts w:eastAsia="標楷體"/>
                <w:color w:val="000000" w:themeColor="text1"/>
                <w:kern w:val="0"/>
                <w:sz w:val="26"/>
                <w:szCs w:val="26"/>
              </w:rPr>
              <w:t>且預期資金將依該條例之規定管理運用而不會發生</w:t>
            </w:r>
            <w:r w:rsidRPr="00215D41">
              <w:rPr>
                <w:rFonts w:eastAsia="標楷體" w:hint="eastAsia"/>
                <w:color w:val="000000" w:themeColor="text1"/>
                <w:kern w:val="0"/>
                <w:sz w:val="26"/>
                <w:szCs w:val="26"/>
              </w:rPr>
              <w:t>改</w:t>
            </w:r>
            <w:r w:rsidRPr="00215D41">
              <w:rPr>
                <w:rFonts w:eastAsia="標楷體"/>
                <w:color w:val="000000" w:themeColor="text1"/>
                <w:kern w:val="0"/>
                <w:sz w:val="26"/>
                <w:szCs w:val="26"/>
              </w:rPr>
              <w:t>按</w:t>
            </w:r>
            <w:r w:rsidRPr="00215D41">
              <w:rPr>
                <w:rFonts w:eastAsia="標楷體"/>
                <w:color w:val="000000" w:themeColor="text1"/>
                <w:kern w:val="0"/>
                <w:sz w:val="26"/>
                <w:szCs w:val="26"/>
              </w:rPr>
              <w:t>20%</w:t>
            </w:r>
            <w:r w:rsidRPr="00215D41">
              <w:rPr>
                <w:rFonts w:eastAsia="標楷體"/>
                <w:color w:val="000000" w:themeColor="text1"/>
                <w:kern w:val="0"/>
                <w:sz w:val="26"/>
                <w:szCs w:val="26"/>
              </w:rPr>
              <w:t>稅率課稅之情況時，</w:t>
            </w:r>
            <w:r w:rsidRPr="00215D41">
              <w:rPr>
                <w:rFonts w:eastAsia="標楷體" w:hint="eastAsia"/>
                <w:color w:val="000000" w:themeColor="text1"/>
                <w:kern w:val="0"/>
                <w:sz w:val="26"/>
                <w:szCs w:val="26"/>
              </w:rPr>
              <w:t>方能主張可合理預期相關負債清償時係以該</w:t>
            </w:r>
            <w:r w:rsidRPr="00215D41">
              <w:rPr>
                <w:rFonts w:eastAsia="標楷體"/>
                <w:color w:val="000000" w:themeColor="text1"/>
                <w:kern w:val="0"/>
                <w:sz w:val="26"/>
                <w:szCs w:val="26"/>
              </w:rPr>
              <w:t>特別稅率衡量所得稅負債。</w:t>
            </w:r>
            <w:proofErr w:type="gramStart"/>
            <w:r w:rsidRPr="00215D41">
              <w:rPr>
                <w:rFonts w:eastAsia="標楷體" w:hint="eastAsia"/>
                <w:color w:val="000000" w:themeColor="text1"/>
                <w:kern w:val="0"/>
                <w:sz w:val="26"/>
                <w:szCs w:val="26"/>
              </w:rPr>
              <w:t>此外，</w:t>
            </w:r>
            <w:proofErr w:type="gramEnd"/>
            <w:r w:rsidRPr="00215D41">
              <w:rPr>
                <w:rFonts w:eastAsia="標楷體" w:hint="eastAsia"/>
                <w:color w:val="000000" w:themeColor="text1"/>
                <w:kern w:val="0"/>
                <w:sz w:val="26"/>
                <w:szCs w:val="26"/>
              </w:rPr>
              <w:t>若企業於報導期間結束日已開始進行相關程序，且在報導期間結束日至通過發布財務報表日間將資金</w:t>
            </w:r>
            <w:proofErr w:type="gramStart"/>
            <w:r w:rsidRPr="00215D41">
              <w:rPr>
                <w:rFonts w:eastAsia="標楷體" w:hint="eastAsia"/>
                <w:color w:val="000000" w:themeColor="text1"/>
                <w:kern w:val="0"/>
                <w:sz w:val="26"/>
                <w:szCs w:val="26"/>
              </w:rPr>
              <w:t>匯回者</w:t>
            </w:r>
            <w:proofErr w:type="gramEnd"/>
            <w:r w:rsidRPr="00215D41">
              <w:rPr>
                <w:rFonts w:eastAsia="標楷體" w:hint="eastAsia"/>
                <w:color w:val="000000" w:themeColor="text1"/>
                <w:kern w:val="0"/>
                <w:sz w:val="26"/>
                <w:szCs w:val="26"/>
              </w:rPr>
              <w:t>，係對存在於報導期間結束日之情況提供佐證之事項，屬於報導期間後調整事項，應依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rsidR="00BD1105" w:rsidRPr="00215D41" w:rsidRDefault="00BD1105" w:rsidP="0073558C">
            <w:pPr>
              <w:pStyle w:val="af1"/>
              <w:widowControl/>
              <w:numPr>
                <w:ilvl w:val="0"/>
                <w:numId w:val="8"/>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hint="eastAsia"/>
                <w:color w:val="000000" w:themeColor="text1"/>
                <w:kern w:val="0"/>
                <w:sz w:val="26"/>
                <w:szCs w:val="26"/>
              </w:rPr>
              <w:t>企業應於</w:t>
            </w:r>
            <w:r w:rsidRPr="00215D41">
              <w:rPr>
                <w:rFonts w:eastAsia="標楷體"/>
                <w:color w:val="000000" w:themeColor="text1"/>
                <w:kern w:val="0"/>
                <w:sz w:val="26"/>
                <w:szCs w:val="26"/>
              </w:rPr>
              <w:t>後續完成投資</w:t>
            </w:r>
            <w:r w:rsidRPr="00215D41">
              <w:rPr>
                <w:rFonts w:eastAsia="標楷體" w:hint="eastAsia"/>
                <w:color w:val="000000" w:themeColor="text1"/>
                <w:kern w:val="0"/>
                <w:sz w:val="26"/>
                <w:szCs w:val="26"/>
              </w:rPr>
              <w:t>，且取具</w:t>
            </w:r>
            <w:r w:rsidRPr="00215D41">
              <w:rPr>
                <w:rFonts w:eastAsia="標楷體"/>
                <w:color w:val="000000" w:themeColor="text1"/>
                <w:kern w:val="0"/>
                <w:sz w:val="26"/>
                <w:szCs w:val="26"/>
              </w:rPr>
              <w:t>經濟部核發完成證明時</w:t>
            </w:r>
            <w:r w:rsidRPr="00215D41">
              <w:rPr>
                <w:rFonts w:eastAsia="標楷體" w:hint="eastAsia"/>
                <w:color w:val="000000" w:themeColor="text1"/>
                <w:kern w:val="0"/>
                <w:sz w:val="26"/>
                <w:szCs w:val="26"/>
              </w:rPr>
              <w:t>，認列</w:t>
            </w:r>
            <w:proofErr w:type="gramStart"/>
            <w:r w:rsidRPr="00215D41">
              <w:rPr>
                <w:rFonts w:eastAsia="標楷體" w:hint="eastAsia"/>
                <w:color w:val="000000" w:themeColor="text1"/>
                <w:kern w:val="0"/>
                <w:sz w:val="26"/>
                <w:szCs w:val="26"/>
              </w:rPr>
              <w:t>應收退稅款</w:t>
            </w:r>
            <w:proofErr w:type="gramEnd"/>
            <w:r w:rsidRPr="00215D41">
              <w:rPr>
                <w:rFonts w:eastAsia="標楷體" w:hint="eastAsia"/>
                <w:color w:val="000000" w:themeColor="text1"/>
                <w:kern w:val="0"/>
                <w:sz w:val="26"/>
                <w:szCs w:val="26"/>
              </w:rPr>
              <w:t>及所得稅利益。若企業於報導期間結束日已完成投資計畫並符合退稅條件，且在報導期間結束日至通過發布財務報表日間取具經濟部核發</w:t>
            </w:r>
            <w:r w:rsidRPr="00215D41">
              <w:rPr>
                <w:rFonts w:eastAsia="標楷體"/>
                <w:color w:val="000000" w:themeColor="text1"/>
                <w:kern w:val="0"/>
                <w:sz w:val="26"/>
                <w:szCs w:val="26"/>
              </w:rPr>
              <w:t>完成</w:t>
            </w:r>
            <w:r w:rsidRPr="00215D41">
              <w:rPr>
                <w:rFonts w:eastAsia="標楷體" w:hint="eastAsia"/>
                <w:color w:val="000000" w:themeColor="text1"/>
                <w:kern w:val="0"/>
                <w:sz w:val="26"/>
                <w:szCs w:val="26"/>
              </w:rPr>
              <w:t>證明者，係對存在於報導期間結束日之情況提供佐證之事項，屬報導期間後調整事項，應依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rsidR="00BD1105" w:rsidRPr="00B75D92" w:rsidRDefault="00BD1105" w:rsidP="0073558C">
            <w:pPr>
              <w:pStyle w:val="af1"/>
              <w:widowControl/>
              <w:numPr>
                <w:ilvl w:val="0"/>
                <w:numId w:val="8"/>
              </w:numPr>
              <w:adjustRightInd w:val="0"/>
              <w:snapToGrid w:val="0"/>
              <w:ind w:leftChars="0"/>
              <w:jc w:val="both"/>
              <w:rPr>
                <w:rFonts w:eastAsia="標楷體"/>
                <w:color w:val="000000" w:themeColor="text1"/>
                <w:kern w:val="0"/>
                <w:sz w:val="26"/>
                <w:szCs w:val="26"/>
              </w:rPr>
            </w:pPr>
            <w:r w:rsidRPr="00215D41">
              <w:rPr>
                <w:rFonts w:eastAsia="標楷體"/>
                <w:color w:val="000000" w:themeColor="text1"/>
                <w:kern w:val="0"/>
                <w:sz w:val="26"/>
                <w:szCs w:val="26"/>
              </w:rPr>
              <w:t>企業適用專法所</w:t>
            </w:r>
            <w:proofErr w:type="gramStart"/>
            <w:r w:rsidRPr="00215D41">
              <w:rPr>
                <w:rFonts w:eastAsia="標楷體"/>
                <w:color w:val="000000" w:themeColor="text1"/>
                <w:kern w:val="0"/>
                <w:sz w:val="26"/>
                <w:szCs w:val="26"/>
              </w:rPr>
              <w:t>匯</w:t>
            </w:r>
            <w:proofErr w:type="gramEnd"/>
            <w:r w:rsidRPr="00215D41">
              <w:rPr>
                <w:rFonts w:eastAsia="標楷體"/>
                <w:color w:val="000000" w:themeColor="text1"/>
                <w:kern w:val="0"/>
                <w:sz w:val="26"/>
                <w:szCs w:val="26"/>
              </w:rPr>
              <w:t>回之資金，依專法有三種使用方式：</w:t>
            </w:r>
            <w:r w:rsidRPr="00215D41">
              <w:rPr>
                <w:rFonts w:eastAsia="標楷體"/>
                <w:color w:val="000000" w:themeColor="text1"/>
                <w:kern w:val="0"/>
                <w:sz w:val="26"/>
                <w:szCs w:val="26"/>
              </w:rPr>
              <w:t>(1)</w:t>
            </w:r>
            <w:r w:rsidRPr="00215D41">
              <w:rPr>
                <w:rFonts w:eastAsia="標楷體"/>
                <w:color w:val="000000" w:themeColor="text1"/>
                <w:kern w:val="0"/>
                <w:sz w:val="26"/>
                <w:szCs w:val="26"/>
              </w:rPr>
              <w:t>投入依經濟部核准之投資計畫；</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2</w:t>
            </w:r>
            <w:r w:rsidRPr="00215D41">
              <w:rPr>
                <w:rFonts w:eastAsia="標楷體"/>
                <w:color w:val="000000" w:themeColor="text1"/>
                <w:kern w:val="0"/>
                <w:sz w:val="26"/>
                <w:szCs w:val="26"/>
              </w:rPr>
              <w:t>)25%</w:t>
            </w:r>
            <w:r w:rsidRPr="00215D41">
              <w:rPr>
                <w:rFonts w:eastAsia="標楷體"/>
                <w:color w:val="000000" w:themeColor="text1"/>
                <w:kern w:val="0"/>
                <w:sz w:val="26"/>
                <w:szCs w:val="26"/>
              </w:rPr>
              <w:t>限額內得從事金融投資；</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3</w:t>
            </w:r>
            <w:r w:rsidRPr="00215D41">
              <w:rPr>
                <w:rFonts w:eastAsia="標楷體"/>
                <w:color w:val="000000" w:themeColor="text1"/>
                <w:kern w:val="0"/>
                <w:sz w:val="26"/>
                <w:szCs w:val="26"/>
              </w:rPr>
              <w:t>)5%</w:t>
            </w:r>
            <w:r w:rsidRPr="00215D41">
              <w:rPr>
                <w:rFonts w:eastAsia="標楷體"/>
                <w:color w:val="000000" w:themeColor="text1"/>
                <w:kern w:val="0"/>
                <w:sz w:val="26"/>
                <w:szCs w:val="26"/>
              </w:rPr>
              <w:t>限額內得提取自由運用。</w:t>
            </w:r>
            <w:r w:rsidR="00B75D92" w:rsidRPr="0089283C">
              <w:rPr>
                <w:rFonts w:eastAsia="標楷體" w:hint="eastAsia"/>
                <w:kern w:val="0"/>
                <w:sz w:val="26"/>
                <w:szCs w:val="26"/>
                <w:lang w:eastAsia="zh-HK"/>
              </w:rPr>
              <w:t>依專法對於前述</w:t>
            </w:r>
            <w:r w:rsidR="00B75D92" w:rsidRPr="0089283C">
              <w:rPr>
                <w:rFonts w:eastAsia="標楷體" w:hint="eastAsia"/>
                <w:kern w:val="0"/>
                <w:sz w:val="26"/>
                <w:szCs w:val="26"/>
                <w:lang w:eastAsia="zh-HK"/>
              </w:rPr>
              <w:t>(1)</w:t>
            </w:r>
            <w:r w:rsidR="00B75D92" w:rsidRPr="0089283C">
              <w:rPr>
                <w:rFonts w:eastAsia="標楷體" w:hint="eastAsia"/>
                <w:kern w:val="0"/>
                <w:sz w:val="26"/>
                <w:szCs w:val="26"/>
                <w:lang w:eastAsia="zh-HK"/>
              </w:rPr>
              <w:t>及</w:t>
            </w:r>
            <w:r w:rsidR="00B75D92" w:rsidRPr="0089283C">
              <w:rPr>
                <w:rFonts w:eastAsia="標楷體" w:hint="eastAsia"/>
                <w:kern w:val="0"/>
                <w:sz w:val="26"/>
                <w:szCs w:val="26"/>
                <w:lang w:eastAsia="zh-HK"/>
              </w:rPr>
              <w:t>(2)</w:t>
            </w:r>
            <w:r w:rsidR="00B75D92" w:rsidRPr="0089283C">
              <w:rPr>
                <w:rFonts w:eastAsia="標楷體" w:hint="eastAsia"/>
                <w:kern w:val="0"/>
                <w:sz w:val="26"/>
                <w:szCs w:val="26"/>
                <w:lang w:eastAsia="zh-HK"/>
              </w:rPr>
              <w:t>資金之運用限制並未改變該存款之性質</w:t>
            </w:r>
            <w:proofErr w:type="gramStart"/>
            <w:r w:rsidR="00B75D92" w:rsidRPr="0089283C">
              <w:rPr>
                <w:rFonts w:eastAsia="標楷體" w:hint="eastAsia"/>
                <w:kern w:val="0"/>
                <w:sz w:val="26"/>
                <w:szCs w:val="26"/>
                <w:lang w:eastAsia="zh-HK"/>
              </w:rPr>
              <w:t>—</w:t>
            </w:r>
            <w:proofErr w:type="gramEnd"/>
            <w:r w:rsidR="00B75D92" w:rsidRPr="0089283C">
              <w:rPr>
                <w:rFonts w:eastAsia="標楷體" w:hint="eastAsia"/>
                <w:kern w:val="0"/>
                <w:sz w:val="26"/>
                <w:szCs w:val="26"/>
                <w:lang w:eastAsia="zh-HK"/>
              </w:rPr>
              <w:t>企業可要求即取得該等金額，故該專戶存款仍應列報為現金及約當現金。</w:t>
            </w:r>
            <w:proofErr w:type="gramStart"/>
            <w:r w:rsidR="00B75D92" w:rsidRPr="0089283C">
              <w:rPr>
                <w:rFonts w:eastAsia="標楷體" w:hint="eastAsia"/>
                <w:kern w:val="0"/>
                <w:sz w:val="26"/>
                <w:szCs w:val="26"/>
                <w:lang w:eastAsia="zh-HK"/>
              </w:rPr>
              <w:t>然因專法</w:t>
            </w:r>
            <w:proofErr w:type="gramEnd"/>
            <w:r w:rsidR="00B75D92" w:rsidRPr="0089283C">
              <w:rPr>
                <w:rFonts w:eastAsia="標楷體" w:hint="eastAsia"/>
                <w:kern w:val="0"/>
                <w:sz w:val="26"/>
                <w:szCs w:val="26"/>
                <w:lang w:eastAsia="zh-HK"/>
              </w:rPr>
              <w:t>之申請期限已於民國</w:t>
            </w:r>
            <w:r w:rsidR="00B75D92" w:rsidRPr="0089283C">
              <w:rPr>
                <w:rFonts w:eastAsia="標楷體" w:hint="eastAsia"/>
                <w:kern w:val="0"/>
                <w:sz w:val="26"/>
                <w:szCs w:val="26"/>
                <w:lang w:eastAsia="zh-HK"/>
              </w:rPr>
              <w:t>110</w:t>
            </w:r>
            <w:r w:rsidR="00B75D92" w:rsidRPr="0089283C">
              <w:rPr>
                <w:rFonts w:eastAsia="標楷體" w:hint="eastAsia"/>
                <w:kern w:val="0"/>
                <w:sz w:val="26"/>
                <w:szCs w:val="26"/>
                <w:lang w:eastAsia="zh-HK"/>
              </w:rPr>
              <w:t>年</w:t>
            </w:r>
            <w:r w:rsidR="00B75D92" w:rsidRPr="0089283C">
              <w:rPr>
                <w:rFonts w:eastAsia="標楷體" w:hint="eastAsia"/>
                <w:kern w:val="0"/>
                <w:sz w:val="26"/>
                <w:szCs w:val="26"/>
                <w:lang w:eastAsia="zh-HK"/>
              </w:rPr>
              <w:t>8</w:t>
            </w:r>
            <w:r w:rsidR="00B75D92" w:rsidRPr="0089283C">
              <w:rPr>
                <w:rFonts w:eastAsia="標楷體" w:hint="eastAsia"/>
                <w:kern w:val="0"/>
                <w:sz w:val="26"/>
                <w:szCs w:val="26"/>
                <w:lang w:eastAsia="zh-HK"/>
              </w:rPr>
              <w:t>月</w:t>
            </w:r>
            <w:r w:rsidR="00B75D92" w:rsidRPr="0089283C">
              <w:rPr>
                <w:rFonts w:eastAsia="標楷體" w:hint="eastAsia"/>
                <w:kern w:val="0"/>
                <w:sz w:val="26"/>
                <w:szCs w:val="26"/>
                <w:lang w:eastAsia="zh-HK"/>
              </w:rPr>
              <w:t>16</w:t>
            </w:r>
            <w:r w:rsidR="00B75D92" w:rsidRPr="0089283C">
              <w:rPr>
                <w:rFonts w:eastAsia="標楷體" w:hint="eastAsia"/>
                <w:kern w:val="0"/>
                <w:sz w:val="26"/>
                <w:szCs w:val="26"/>
                <w:lang w:eastAsia="zh-HK"/>
              </w:rPr>
              <w:t>日截止，對於企業專戶存款中仍存有尚未動用之餘額者，應自本問答集修改之日起重分類至現金及約當現金，並依</w:t>
            </w:r>
            <w:r w:rsidR="00B75D92" w:rsidRPr="0089283C">
              <w:rPr>
                <w:rFonts w:eastAsia="標楷體" w:hint="eastAsia"/>
                <w:kern w:val="0"/>
                <w:sz w:val="26"/>
                <w:szCs w:val="26"/>
                <w:lang w:eastAsia="zh-HK"/>
              </w:rPr>
              <w:t>IAS1</w:t>
            </w:r>
            <w:r w:rsidR="00B75D92" w:rsidRPr="0089283C">
              <w:rPr>
                <w:rFonts w:eastAsia="標楷體" w:hint="eastAsia"/>
                <w:kern w:val="0"/>
                <w:sz w:val="26"/>
                <w:szCs w:val="26"/>
                <w:lang w:eastAsia="zh-HK"/>
              </w:rPr>
              <w:t>第</w:t>
            </w:r>
            <w:r w:rsidR="00B75D92" w:rsidRPr="0089283C">
              <w:rPr>
                <w:rFonts w:eastAsia="標楷體" w:hint="eastAsia"/>
                <w:kern w:val="0"/>
                <w:sz w:val="26"/>
                <w:szCs w:val="26"/>
                <w:lang w:eastAsia="zh-HK"/>
              </w:rPr>
              <w:t>41</w:t>
            </w:r>
            <w:r w:rsidR="00B75D92" w:rsidRPr="0089283C">
              <w:rPr>
                <w:rFonts w:eastAsia="標楷體" w:hint="eastAsia"/>
                <w:kern w:val="0"/>
                <w:sz w:val="26"/>
                <w:szCs w:val="26"/>
                <w:lang w:eastAsia="zh-HK"/>
              </w:rPr>
              <w:t>段之規定重分類比較金額。</w:t>
            </w:r>
          </w:p>
        </w:tc>
        <w:tc>
          <w:tcPr>
            <w:tcW w:w="1418" w:type="dxa"/>
          </w:tcPr>
          <w:p w:rsidR="00BD1105" w:rsidRDefault="00BD1105" w:rsidP="00BD1105">
            <w:pPr>
              <w:snapToGrid w:val="0"/>
              <w:rPr>
                <w:rFonts w:ascii="標楷體" w:eastAsia="標楷體" w:hAnsi="標楷體"/>
                <w:color w:val="000000" w:themeColor="text1"/>
              </w:rPr>
            </w:pPr>
            <w:r w:rsidRPr="00215D41">
              <w:rPr>
                <w:rFonts w:ascii="標楷體" w:eastAsia="標楷體" w:hAnsi="標楷體" w:hint="eastAsia"/>
                <w:color w:val="000000" w:themeColor="text1"/>
              </w:rPr>
              <w:t>稅務</w:t>
            </w:r>
          </w:p>
          <w:p w:rsidR="00C143E1" w:rsidRDefault="00C143E1" w:rsidP="00BD1105">
            <w:pPr>
              <w:snapToGrid w:val="0"/>
              <w:rPr>
                <w:rFonts w:ascii="標楷體" w:eastAsia="標楷體" w:hAnsi="標楷體"/>
                <w:color w:val="000000" w:themeColor="text1"/>
              </w:rPr>
            </w:pPr>
          </w:p>
          <w:p w:rsidR="00C143E1" w:rsidRPr="00215D41" w:rsidRDefault="00C143E1" w:rsidP="00C143E1">
            <w:pPr>
              <w:snapToGrid w:val="0"/>
              <w:jc w:val="both"/>
              <w:rPr>
                <w:rFonts w:ascii="標楷體" w:eastAsia="標楷體" w:hAnsi="標楷體"/>
                <w:color w:val="000000" w:themeColor="text1"/>
              </w:rPr>
            </w:pPr>
            <w:r w:rsidRPr="0089283C">
              <w:rPr>
                <w:rFonts w:ascii="標楷體" w:eastAsia="標楷體" w:hAnsi="標楷體" w:hint="eastAsia"/>
              </w:rPr>
              <w:t>議事決議「因與第三方之合約而受使用限制之活期存款」</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69</w:t>
            </w:r>
          </w:p>
        </w:tc>
        <w:tc>
          <w:tcPr>
            <w:tcW w:w="5953"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會計研究發展基金會</w:t>
            </w:r>
            <w:r w:rsidRPr="00215D41">
              <w:rPr>
                <w:rFonts w:eastAsia="標楷體"/>
                <w:color w:val="000000" w:themeColor="text1"/>
                <w:kern w:val="0"/>
                <w:sz w:val="26"/>
                <w:szCs w:val="26"/>
              </w:rPr>
              <w:t>107/10/26</w:t>
            </w:r>
            <w:r w:rsidRPr="00215D41">
              <w:rPr>
                <w:rFonts w:eastAsia="標楷體" w:hint="eastAsia"/>
                <w:color w:val="000000" w:themeColor="text1"/>
                <w:kern w:val="0"/>
                <w:sz w:val="26"/>
                <w:szCs w:val="26"/>
              </w:rPr>
              <w:t>更新後</w:t>
            </w:r>
            <w:r w:rsidRPr="00215D41">
              <w:rPr>
                <w:rFonts w:eastAsia="標楷體" w:hint="eastAsia"/>
                <w:color w:val="000000" w:themeColor="text1"/>
                <w:kern w:val="0"/>
                <w:sz w:val="26"/>
                <w:szCs w:val="26"/>
              </w:rPr>
              <w:t>IFRS</w:t>
            </w:r>
            <w:r w:rsidRPr="00215D41">
              <w:rPr>
                <w:rFonts w:eastAsia="標楷體" w:hint="eastAsia"/>
                <w:color w:val="000000" w:themeColor="text1"/>
                <w:kern w:val="0"/>
                <w:sz w:val="26"/>
                <w:szCs w:val="26"/>
              </w:rPr>
              <w:t>問答集「共同控制下企業合併之會計處理疑義」規範「組織重組下新設立公司之帳</w:t>
            </w:r>
            <w:proofErr w:type="gramStart"/>
            <w:r w:rsidRPr="00215D41">
              <w:rPr>
                <w:rFonts w:eastAsia="標楷體" w:hint="eastAsia"/>
                <w:color w:val="000000" w:themeColor="text1"/>
                <w:kern w:val="0"/>
                <w:sz w:val="26"/>
                <w:szCs w:val="26"/>
              </w:rPr>
              <w:t>務</w:t>
            </w:r>
            <w:proofErr w:type="gramEnd"/>
            <w:r w:rsidRPr="00215D41">
              <w:rPr>
                <w:rFonts w:eastAsia="標楷體" w:hint="eastAsia"/>
                <w:color w:val="000000" w:themeColor="text1"/>
                <w:kern w:val="0"/>
                <w:sz w:val="26"/>
                <w:szCs w:val="26"/>
              </w:rPr>
              <w:t>處理</w:t>
            </w:r>
            <w:proofErr w:type="gramStart"/>
            <w:r w:rsidRPr="00215D41">
              <w:rPr>
                <w:rFonts w:eastAsia="標楷體" w:hint="eastAsia"/>
                <w:color w:val="000000" w:themeColor="text1"/>
                <w:kern w:val="0"/>
                <w:sz w:val="26"/>
                <w:szCs w:val="26"/>
              </w:rPr>
              <w:t>應按與已</w:t>
            </w:r>
            <w:proofErr w:type="gramEnd"/>
            <w:r w:rsidRPr="00215D41">
              <w:rPr>
                <w:rFonts w:eastAsia="標楷體" w:hint="eastAsia"/>
                <w:color w:val="000000" w:themeColor="text1"/>
                <w:kern w:val="0"/>
                <w:sz w:val="26"/>
                <w:szCs w:val="26"/>
              </w:rPr>
              <w:t>存在之公司一致之方式處理，視為自始合併而編製比較期間財務報表，不受設立日之限制。」</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實務上常見企業以分割方式，將業務移轉至新設立子公司之交易，以達到專業分工之效益。</w:t>
            </w: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舉例：甲公司將【原料</w:t>
            </w:r>
            <w:r w:rsidRPr="00215D41">
              <w:rPr>
                <w:rFonts w:eastAsia="標楷體" w:hint="eastAsia"/>
                <w:color w:val="000000" w:themeColor="text1"/>
                <w:kern w:val="0"/>
                <w:sz w:val="26"/>
                <w:szCs w:val="26"/>
              </w:rPr>
              <w:t xml:space="preserve"> &gt; A</w:t>
            </w:r>
            <w:r w:rsidRPr="00215D41">
              <w:rPr>
                <w:rFonts w:eastAsia="標楷體" w:hint="eastAsia"/>
                <w:color w:val="000000" w:themeColor="text1"/>
                <w:kern w:val="0"/>
                <w:sz w:val="26"/>
                <w:szCs w:val="26"/>
              </w:rPr>
              <w:t>製程</w:t>
            </w:r>
            <w:r w:rsidRPr="00215D41">
              <w:rPr>
                <w:rFonts w:eastAsia="標楷體" w:hint="eastAsia"/>
                <w:color w:val="000000" w:themeColor="text1"/>
                <w:kern w:val="0"/>
                <w:sz w:val="26"/>
                <w:szCs w:val="26"/>
              </w:rPr>
              <w:t xml:space="preserve"> &gt; B</w:t>
            </w:r>
            <w:r w:rsidRPr="00215D41">
              <w:rPr>
                <w:rFonts w:eastAsia="標楷體" w:hint="eastAsia"/>
                <w:color w:val="000000" w:themeColor="text1"/>
                <w:kern w:val="0"/>
                <w:sz w:val="26"/>
                <w:szCs w:val="26"/>
              </w:rPr>
              <w:t>製程】中之【</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製程】分割設立乙子公司，兩製程之產品分別為</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及</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產品，</w:t>
            </w:r>
            <w:proofErr w:type="gramStart"/>
            <w:r w:rsidRPr="00215D41">
              <w:rPr>
                <w:rFonts w:eastAsia="標楷體" w:hint="eastAsia"/>
                <w:color w:val="000000" w:themeColor="text1"/>
                <w:kern w:val="0"/>
                <w:sz w:val="26"/>
                <w:szCs w:val="26"/>
              </w:rPr>
              <w:t>均有單獨</w:t>
            </w:r>
            <w:proofErr w:type="gramEnd"/>
            <w:r w:rsidRPr="00215D41">
              <w:rPr>
                <w:rFonts w:eastAsia="標楷體" w:hint="eastAsia"/>
                <w:color w:val="000000" w:themeColor="text1"/>
                <w:kern w:val="0"/>
                <w:sz w:val="26"/>
                <w:szCs w:val="26"/>
              </w:rPr>
              <w:t>銷售市場，分割後，乙公司將以成本加成方式向甲公司進貨</w:t>
            </w:r>
            <w:r w:rsidRPr="00215D41">
              <w:rPr>
                <w:rFonts w:eastAsia="標楷體" w:hint="eastAsia"/>
                <w:color w:val="000000" w:themeColor="text1"/>
                <w:kern w:val="0"/>
                <w:sz w:val="26"/>
                <w:szCs w:val="26"/>
              </w:rPr>
              <w:t>- A</w:t>
            </w:r>
            <w:r w:rsidRPr="00215D41">
              <w:rPr>
                <w:rFonts w:eastAsia="標楷體" w:hint="eastAsia"/>
                <w:color w:val="000000" w:themeColor="text1"/>
                <w:kern w:val="0"/>
                <w:sz w:val="26"/>
                <w:szCs w:val="26"/>
              </w:rPr>
              <w:t>產品。</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rsidR="00BD1105" w:rsidRPr="00215D41" w:rsidRDefault="00BD1105" w:rsidP="00BD1105">
            <w:pPr>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當母公司為新設立子公司業務上主要供應商之一，該子公司於追溯重編財務資訊時，比較期間如何處理與母公司間（過去為企業內部資源移轉）交易之進貨價格及關係人交易揭露？應</w:t>
            </w:r>
            <w:r w:rsidRPr="00215D41">
              <w:rPr>
                <w:rFonts w:eastAsia="標楷體"/>
                <w:color w:val="000000" w:themeColor="text1"/>
                <w:kern w:val="0"/>
                <w:sz w:val="26"/>
                <w:szCs w:val="26"/>
              </w:rPr>
              <w:t>(1)</w:t>
            </w:r>
            <w:r w:rsidRPr="00215D41">
              <w:rPr>
                <w:rFonts w:eastAsia="標楷體" w:hint="eastAsia"/>
                <w:color w:val="000000" w:themeColor="text1"/>
                <w:kern w:val="0"/>
                <w:sz w:val="26"/>
                <w:szCs w:val="26"/>
              </w:rPr>
              <w:t>按過去內部資源</w:t>
            </w:r>
            <w:proofErr w:type="gramStart"/>
            <w:r w:rsidRPr="00215D41">
              <w:rPr>
                <w:rFonts w:eastAsia="標楷體" w:hint="eastAsia"/>
                <w:color w:val="000000" w:themeColor="text1"/>
                <w:kern w:val="0"/>
                <w:sz w:val="26"/>
                <w:szCs w:val="26"/>
              </w:rPr>
              <w:t>移轉下母公司帳面</w:t>
            </w:r>
            <w:proofErr w:type="gramEnd"/>
            <w:r w:rsidRPr="00215D41">
              <w:rPr>
                <w:rFonts w:eastAsia="標楷體" w:hint="eastAsia"/>
                <w:color w:val="000000" w:themeColor="text1"/>
                <w:kern w:val="0"/>
                <w:sz w:val="26"/>
                <w:szCs w:val="26"/>
              </w:rPr>
              <w:t>金額列報，或</w:t>
            </w:r>
            <w:r w:rsidRPr="00215D41">
              <w:rPr>
                <w:rFonts w:eastAsia="標楷體"/>
                <w:color w:val="000000" w:themeColor="text1"/>
                <w:kern w:val="0"/>
                <w:sz w:val="26"/>
                <w:szCs w:val="26"/>
              </w:rPr>
              <w:t>(2)</w:t>
            </w:r>
            <w:r w:rsidRPr="00215D41">
              <w:rPr>
                <w:rFonts w:eastAsia="標楷體" w:hint="eastAsia"/>
                <w:color w:val="000000" w:themeColor="text1"/>
                <w:kern w:val="0"/>
                <w:sz w:val="26"/>
                <w:szCs w:val="26"/>
              </w:rPr>
              <w:t>參考子公司設立後之訂價（如乙公司之成本加成方式）追溯重編？</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245"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母公司分割資產予新設立之子公司，屬組織重組，應按</w:t>
            </w:r>
            <w:proofErr w:type="gramStart"/>
            <w:r w:rsidRPr="00215D41">
              <w:rPr>
                <w:rFonts w:eastAsia="標楷體" w:hint="eastAsia"/>
                <w:color w:val="000000" w:themeColor="text1"/>
                <w:kern w:val="0"/>
                <w:sz w:val="26"/>
                <w:szCs w:val="26"/>
              </w:rPr>
              <w:t>帳面</w:t>
            </w:r>
            <w:proofErr w:type="gramEnd"/>
            <w:r w:rsidRPr="00215D41">
              <w:rPr>
                <w:rFonts w:eastAsia="標楷體" w:hint="eastAsia"/>
                <w:color w:val="000000" w:themeColor="text1"/>
                <w:kern w:val="0"/>
                <w:sz w:val="26"/>
                <w:szCs w:val="26"/>
              </w:rPr>
              <w:t>金額移轉。因此，子公司於追溯重編設立日前之財務資訊時，對於</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產品之進貨價格</w:t>
            </w:r>
            <w:proofErr w:type="gramStart"/>
            <w:r w:rsidRPr="00215D41">
              <w:rPr>
                <w:rFonts w:eastAsia="標楷體" w:hint="eastAsia"/>
                <w:color w:val="000000" w:themeColor="text1"/>
                <w:kern w:val="0"/>
                <w:sz w:val="26"/>
                <w:szCs w:val="26"/>
              </w:rPr>
              <w:t>應按母公司</w:t>
            </w:r>
            <w:proofErr w:type="gramEnd"/>
            <w:r w:rsidRPr="00215D41">
              <w:rPr>
                <w:rFonts w:eastAsia="標楷體" w:hint="eastAsia"/>
                <w:color w:val="000000" w:themeColor="text1"/>
                <w:kern w:val="0"/>
                <w:sz w:val="26"/>
                <w:szCs w:val="26"/>
              </w:rPr>
              <w:t>之</w:t>
            </w:r>
            <w:proofErr w:type="gramStart"/>
            <w:r w:rsidRPr="00215D41">
              <w:rPr>
                <w:rFonts w:eastAsia="標楷體" w:hint="eastAsia"/>
                <w:color w:val="000000" w:themeColor="text1"/>
                <w:kern w:val="0"/>
                <w:sz w:val="26"/>
                <w:szCs w:val="26"/>
              </w:rPr>
              <w:t>帳面</w:t>
            </w:r>
            <w:proofErr w:type="gramEnd"/>
            <w:r w:rsidRPr="00215D41">
              <w:rPr>
                <w:rFonts w:eastAsia="標楷體" w:hint="eastAsia"/>
                <w:color w:val="000000" w:themeColor="text1"/>
                <w:kern w:val="0"/>
                <w:sz w:val="26"/>
                <w:szCs w:val="26"/>
              </w:rPr>
              <w:t>金額列報，並於必要時提供擬制性資訊。</w:t>
            </w:r>
          </w:p>
        </w:tc>
        <w:tc>
          <w:tcPr>
            <w:tcW w:w="1418" w:type="dxa"/>
          </w:tcPr>
          <w:p w:rsidR="00BD1105" w:rsidRPr="00215D41" w:rsidRDefault="00BD1105" w:rsidP="00BD1105">
            <w:pPr>
              <w:snapToGrid w:val="0"/>
              <w:rPr>
                <w:rFonts w:ascii="標楷體" w:eastAsia="標楷體" w:hAnsi="標楷體"/>
                <w:color w:val="000000" w:themeColor="text1"/>
              </w:rPr>
            </w:pPr>
            <w:r w:rsidRPr="00215D41">
              <w:rPr>
                <w:rFonts w:eastAsia="標楷體" w:hint="eastAsia"/>
                <w:color w:val="000000" w:themeColor="text1"/>
                <w:kern w:val="0"/>
                <w:sz w:val="26"/>
                <w:szCs w:val="26"/>
              </w:rPr>
              <w:t>共同控制下組織重組</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70</w:t>
            </w:r>
          </w:p>
        </w:tc>
        <w:tc>
          <w:tcPr>
            <w:tcW w:w="5953"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因</w:t>
            </w:r>
            <w:proofErr w:type="gramStart"/>
            <w:r w:rsidRPr="00215D41">
              <w:rPr>
                <w:rFonts w:eastAsia="標楷體" w:hint="eastAsia"/>
                <w:color w:val="000000" w:themeColor="text1"/>
                <w:kern w:val="0"/>
                <w:sz w:val="26"/>
                <w:szCs w:val="26"/>
              </w:rPr>
              <w:t>新型冠</w:t>
            </w:r>
            <w:proofErr w:type="gramEnd"/>
            <w:r w:rsidRPr="00215D41">
              <w:rPr>
                <w:rFonts w:eastAsia="標楷體" w:hint="eastAsia"/>
                <w:color w:val="000000" w:themeColor="text1"/>
                <w:kern w:val="0"/>
                <w:sz w:val="26"/>
                <w:szCs w:val="26"/>
              </w:rPr>
              <w:t>狀病毒</w:t>
            </w:r>
            <w:proofErr w:type="gramStart"/>
            <w:r w:rsidRPr="00215D41">
              <w:rPr>
                <w:rFonts w:eastAsia="標楷體" w:hint="eastAsia"/>
                <w:color w:val="000000" w:themeColor="text1"/>
                <w:kern w:val="0"/>
                <w:sz w:val="26"/>
                <w:szCs w:val="26"/>
              </w:rPr>
              <w:t>疫</w:t>
            </w:r>
            <w:proofErr w:type="gramEnd"/>
            <w:r w:rsidRPr="00215D41">
              <w:rPr>
                <w:rFonts w:eastAsia="標楷體" w:hint="eastAsia"/>
                <w:color w:val="000000" w:themeColor="text1"/>
                <w:kern w:val="0"/>
                <w:sz w:val="26"/>
                <w:szCs w:val="26"/>
              </w:rPr>
              <w:t>情影響，大陸特定地區因防疫延遲復工，按當地政府規定員工停工期間仍需支付員工薪</w:t>
            </w:r>
            <w:r w:rsidRPr="00215D41">
              <w:rPr>
                <w:rFonts w:eastAsia="標楷體" w:hint="eastAsia"/>
                <w:color w:val="000000" w:themeColor="text1"/>
                <w:kern w:val="0"/>
                <w:sz w:val="26"/>
                <w:szCs w:val="26"/>
                <w:lang w:eastAsia="zh-HK"/>
              </w:rPr>
              <w:t>資</w:t>
            </w:r>
            <w:r w:rsidRPr="00215D41">
              <w:rPr>
                <w:rFonts w:eastAsia="標楷體" w:hint="eastAsia"/>
                <w:color w:val="000000" w:themeColor="text1"/>
                <w:kern w:val="0"/>
                <w:sz w:val="26"/>
                <w:szCs w:val="26"/>
              </w:rPr>
              <w:t>，由於該停工係屬不可抗力之災害所造成，而停工期間亦無相關營業收入產生，該停工</w:t>
            </w:r>
            <w:r w:rsidRPr="00215D41">
              <w:rPr>
                <w:rFonts w:eastAsia="標楷體" w:hint="eastAsia"/>
                <w:color w:val="000000" w:themeColor="text1"/>
                <w:kern w:val="0"/>
                <w:sz w:val="26"/>
                <w:szCs w:val="26"/>
                <w:lang w:eastAsia="zh-HK"/>
              </w:rPr>
              <w:t>期間之相關支出</w:t>
            </w:r>
            <w:r w:rsidRPr="00215D41">
              <w:rPr>
                <w:rFonts w:eastAsia="標楷體" w:hint="eastAsia"/>
                <w:color w:val="000000" w:themeColor="text1"/>
                <w:kern w:val="0"/>
                <w:sz w:val="26"/>
                <w:szCs w:val="26"/>
              </w:rPr>
              <w:t>是否應列為營業外支出？</w:t>
            </w:r>
          </w:p>
        </w:tc>
        <w:tc>
          <w:tcPr>
            <w:tcW w:w="5245"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依據</w:t>
            </w:r>
            <w:r w:rsidRPr="00215D41">
              <w:rPr>
                <w:rFonts w:eastAsia="標楷體" w:hint="eastAsia"/>
                <w:color w:val="000000" w:themeColor="text1"/>
                <w:kern w:val="0"/>
                <w:sz w:val="26"/>
                <w:szCs w:val="26"/>
              </w:rPr>
              <w:t>IAS 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rPr>
              <w:t>BC63</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rPr>
              <w:t>之說明，企業面對正常營運風險所產生之非常項目，不足以表達為損益表之單獨組成部分；應以交易或其他事項之性質或功能，而非其發生之次數，來決定其於損益表之表達，因此受</w:t>
            </w:r>
            <w:proofErr w:type="gramStart"/>
            <w:r w:rsidRPr="00215D41">
              <w:rPr>
                <w:rFonts w:eastAsia="標楷體" w:hint="eastAsia"/>
                <w:color w:val="000000" w:themeColor="text1"/>
                <w:kern w:val="0"/>
                <w:sz w:val="26"/>
                <w:szCs w:val="26"/>
              </w:rPr>
              <w:t>新型冠</w:t>
            </w:r>
            <w:proofErr w:type="gramEnd"/>
            <w:r w:rsidRPr="00215D41">
              <w:rPr>
                <w:rFonts w:eastAsia="標楷體" w:hint="eastAsia"/>
                <w:color w:val="000000" w:themeColor="text1"/>
                <w:kern w:val="0"/>
                <w:sz w:val="26"/>
                <w:szCs w:val="26"/>
              </w:rPr>
              <w:t>狀病毒影響</w:t>
            </w:r>
            <w:r w:rsidRPr="00215D41">
              <w:rPr>
                <w:rFonts w:eastAsia="標楷體" w:hint="eastAsia"/>
                <w:color w:val="000000" w:themeColor="text1"/>
                <w:kern w:val="0"/>
                <w:sz w:val="26"/>
                <w:szCs w:val="26"/>
                <w:lang w:eastAsia="zh-HK"/>
              </w:rPr>
              <w:t>之</w:t>
            </w:r>
            <w:r w:rsidRPr="00215D41">
              <w:rPr>
                <w:rFonts w:eastAsia="標楷體" w:hint="eastAsia"/>
                <w:color w:val="000000" w:themeColor="text1"/>
                <w:kern w:val="0"/>
                <w:sz w:val="26"/>
                <w:szCs w:val="26"/>
              </w:rPr>
              <w:t>相關支出（</w:t>
            </w:r>
            <w:r w:rsidRPr="00215D41">
              <w:rPr>
                <w:rFonts w:eastAsia="標楷體" w:hint="eastAsia"/>
                <w:color w:val="000000" w:themeColor="text1"/>
                <w:kern w:val="0"/>
                <w:sz w:val="26"/>
                <w:szCs w:val="26"/>
                <w:lang w:eastAsia="zh-HK"/>
              </w:rPr>
              <w:t>例如</w:t>
            </w:r>
            <w:r w:rsidRPr="00215D41">
              <w:rPr>
                <w:rFonts w:eastAsia="標楷體" w:hint="eastAsia"/>
                <w:color w:val="000000" w:themeColor="text1"/>
                <w:kern w:val="0"/>
                <w:sz w:val="26"/>
                <w:szCs w:val="26"/>
              </w:rPr>
              <w:t>員工薪</w:t>
            </w:r>
            <w:r w:rsidRPr="00215D41">
              <w:rPr>
                <w:rFonts w:eastAsia="標楷體" w:hint="eastAsia"/>
                <w:color w:val="000000" w:themeColor="text1"/>
                <w:kern w:val="0"/>
                <w:sz w:val="26"/>
                <w:szCs w:val="26"/>
                <w:lang w:eastAsia="zh-HK"/>
              </w:rPr>
              <w:t>資</w:t>
            </w:r>
            <w:r w:rsidRPr="00215D41">
              <w:rPr>
                <w:rFonts w:ascii="標楷體" w:eastAsia="標楷體" w:hAnsi="標楷體" w:hint="eastAsia"/>
                <w:color w:val="000000" w:themeColor="text1"/>
                <w:kern w:val="0"/>
                <w:sz w:val="26"/>
                <w:szCs w:val="26"/>
                <w:lang w:eastAsia="zh-HK"/>
              </w:rPr>
              <w:t>、</w:t>
            </w:r>
            <w:r w:rsidRPr="00215D41">
              <w:rPr>
                <w:rFonts w:eastAsia="標楷體" w:hint="eastAsia"/>
                <w:color w:val="000000" w:themeColor="text1"/>
                <w:kern w:val="0"/>
                <w:sz w:val="26"/>
                <w:szCs w:val="26"/>
                <w:lang w:eastAsia="zh-HK"/>
              </w:rPr>
              <w:t>相關廠房折舊費用等</w:t>
            </w:r>
            <w:r w:rsidRPr="00215D41">
              <w:rPr>
                <w:rFonts w:eastAsia="標楷體" w:hint="eastAsia"/>
                <w:color w:val="000000" w:themeColor="text1"/>
                <w:kern w:val="0"/>
                <w:sz w:val="26"/>
                <w:szCs w:val="26"/>
              </w:rPr>
              <w:t>），仍應按一般正常交易處理；綜合損益表採用功能別為基礎分類者，相關支出按其功能別分類表達，不應因停工事件而改變其分類方式。</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1418" w:type="dxa"/>
          </w:tcPr>
          <w:p w:rsidR="00BD1105" w:rsidRPr="00215D41" w:rsidRDefault="00BD1105" w:rsidP="00BD1105">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t>財務報表之表達</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71</w:t>
            </w:r>
          </w:p>
        </w:tc>
        <w:tc>
          <w:tcPr>
            <w:tcW w:w="5953"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lang w:eastAsia="zh-HK"/>
              </w:rPr>
              <w:t>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(d)(i)</w:t>
            </w:r>
            <w:r w:rsidRPr="00215D41">
              <w:rPr>
                <w:rFonts w:eastAsia="標楷體"/>
                <w:color w:val="000000" w:themeColor="text1"/>
                <w:kern w:val="0"/>
                <w:sz w:val="26"/>
                <w:szCs w:val="26"/>
                <w:lang w:eastAsia="zh-HK"/>
              </w:rPr>
              <w:t>之現金流量避險工具損益，與適用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(b)(i)</w:t>
            </w:r>
            <w:r w:rsidRPr="00215D41">
              <w:rPr>
                <w:rFonts w:eastAsia="標楷體"/>
                <w:color w:val="000000" w:themeColor="text1"/>
                <w:kern w:val="0"/>
                <w:sz w:val="26"/>
                <w:szCs w:val="26"/>
                <w:lang w:eastAsia="zh-HK"/>
              </w:rPr>
              <w:t>之避險選擇權時間價值變動，係於發生時認列於其他綜合損益並累計於權益，再</w:t>
            </w:r>
            <w:proofErr w:type="gramStart"/>
            <w:r w:rsidRPr="00215D41">
              <w:rPr>
                <w:rFonts w:eastAsia="標楷體"/>
                <w:color w:val="000000" w:themeColor="text1"/>
                <w:kern w:val="0"/>
                <w:sz w:val="26"/>
                <w:szCs w:val="26"/>
                <w:lang w:eastAsia="zh-HK"/>
              </w:rPr>
              <w:t>於被避險</w:t>
            </w:r>
            <w:proofErr w:type="gramEnd"/>
            <w:r w:rsidRPr="00215D41">
              <w:rPr>
                <w:rFonts w:eastAsia="標楷體"/>
                <w:color w:val="000000" w:themeColor="text1"/>
                <w:kern w:val="0"/>
                <w:sz w:val="26"/>
                <w:szCs w:val="26"/>
                <w:lang w:eastAsia="zh-HK"/>
              </w:rPr>
              <w:t>交易發生時自權益中移除，並直接</w:t>
            </w:r>
            <w:proofErr w:type="gramStart"/>
            <w:r w:rsidRPr="00215D41">
              <w:rPr>
                <w:rFonts w:eastAsia="標楷體"/>
                <w:color w:val="000000" w:themeColor="text1"/>
                <w:kern w:val="0"/>
                <w:sz w:val="26"/>
                <w:szCs w:val="26"/>
                <w:lang w:eastAsia="zh-HK"/>
              </w:rPr>
              <w:t>納入被避險</w:t>
            </w:r>
            <w:proofErr w:type="gramEnd"/>
            <w:r w:rsidRPr="00215D41">
              <w:rPr>
                <w:rFonts w:eastAsia="標楷體"/>
                <w:color w:val="000000" w:themeColor="text1"/>
                <w:kern w:val="0"/>
                <w:sz w:val="26"/>
                <w:szCs w:val="26"/>
                <w:lang w:eastAsia="zh-HK"/>
              </w:rPr>
              <w:t>交易所認列非金融資產或非金融負債之原始成本。此非屬重分類調整，因此不影響其他綜合損益。</w:t>
            </w:r>
            <w:r w:rsidRPr="00215D41">
              <w:rPr>
                <w:rFonts w:eastAsia="標楷體" w:hint="eastAsia"/>
                <w:color w:val="000000" w:themeColor="text1"/>
                <w:kern w:val="0"/>
                <w:sz w:val="26"/>
                <w:szCs w:val="26"/>
                <w:lang w:eastAsia="zh-HK"/>
              </w:rPr>
              <w:t>惟該等金額後續可能</w:t>
            </w:r>
            <w:proofErr w:type="gramStart"/>
            <w:r w:rsidRPr="00215D41">
              <w:rPr>
                <w:rFonts w:eastAsia="標楷體" w:hint="eastAsia"/>
                <w:color w:val="000000" w:themeColor="text1"/>
                <w:kern w:val="0"/>
                <w:sz w:val="26"/>
                <w:szCs w:val="26"/>
                <w:lang w:eastAsia="zh-HK"/>
              </w:rPr>
              <w:t>因被避險</w:t>
            </w:r>
            <w:proofErr w:type="gramEnd"/>
            <w:r w:rsidRPr="00215D41">
              <w:rPr>
                <w:rFonts w:eastAsia="標楷體" w:hint="eastAsia"/>
                <w:color w:val="000000" w:themeColor="text1"/>
                <w:kern w:val="0"/>
                <w:sz w:val="26"/>
                <w:szCs w:val="26"/>
                <w:lang w:eastAsia="zh-HK"/>
              </w:rPr>
              <w:t>交易不再預期會發生而重分類至損益</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6.5.12</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lang w:eastAsia="zh-HK"/>
              </w:rPr>
              <w:t>(b)</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，且轉列</w:t>
            </w:r>
            <w:proofErr w:type="gramStart"/>
            <w:r w:rsidRPr="00215D41">
              <w:rPr>
                <w:rFonts w:eastAsia="標楷體" w:hint="eastAsia"/>
                <w:color w:val="000000" w:themeColor="text1"/>
                <w:kern w:val="0"/>
                <w:sz w:val="26"/>
                <w:szCs w:val="26"/>
                <w:lang w:eastAsia="zh-HK"/>
              </w:rPr>
              <w:t>至被避險</w:t>
            </w:r>
            <w:proofErr w:type="gramEnd"/>
            <w:r w:rsidRPr="00215D41">
              <w:rPr>
                <w:rFonts w:eastAsia="標楷體" w:hint="eastAsia"/>
                <w:color w:val="000000" w:themeColor="text1"/>
                <w:kern w:val="0"/>
                <w:sz w:val="26"/>
                <w:szCs w:val="26"/>
                <w:lang w:eastAsia="zh-HK"/>
              </w:rPr>
              <w:t>交易所認列非金融資產或負債</w:t>
            </w:r>
            <w:proofErr w:type="gramStart"/>
            <w:r w:rsidRPr="00215D41">
              <w:rPr>
                <w:rFonts w:eastAsia="標楷體" w:hint="eastAsia"/>
                <w:color w:val="000000" w:themeColor="text1"/>
                <w:kern w:val="0"/>
                <w:sz w:val="26"/>
                <w:szCs w:val="26"/>
                <w:lang w:eastAsia="zh-HK"/>
              </w:rPr>
              <w:t>帳面</w:t>
            </w:r>
            <w:proofErr w:type="gramEnd"/>
            <w:r w:rsidRPr="00215D41">
              <w:rPr>
                <w:rFonts w:eastAsia="標楷體" w:hint="eastAsia"/>
                <w:color w:val="000000" w:themeColor="text1"/>
                <w:kern w:val="0"/>
                <w:sz w:val="26"/>
                <w:szCs w:val="26"/>
                <w:lang w:eastAsia="zh-HK"/>
              </w:rPr>
              <w:t>金額之部分亦會透過折舊或攤銷而影響損益</w:t>
            </w:r>
            <w:r w:rsidRPr="00215D41">
              <w:rPr>
                <w:rFonts w:eastAsia="標楷體" w:hint="eastAsia"/>
                <w:color w:val="000000" w:themeColor="text1"/>
                <w:kern w:val="0"/>
                <w:sz w:val="26"/>
                <w:szCs w:val="26"/>
              </w:rPr>
              <w:t>。</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依</w:t>
            </w:r>
            <w:r w:rsidRPr="00215D41">
              <w:rPr>
                <w:rFonts w:eastAsia="標楷體"/>
                <w:color w:val="000000" w:themeColor="text1"/>
                <w:kern w:val="0"/>
                <w:sz w:val="26"/>
                <w:szCs w:val="26"/>
                <w:lang w:eastAsia="zh-HK"/>
              </w:rPr>
              <w:t>IAS 1.82A</w:t>
            </w:r>
            <w:r w:rsidRPr="00215D41">
              <w:rPr>
                <w:rFonts w:eastAsia="標楷體"/>
                <w:color w:val="000000" w:themeColor="text1"/>
                <w:kern w:val="0"/>
                <w:sz w:val="26"/>
                <w:szCs w:val="26"/>
                <w:lang w:eastAsia="zh-HK"/>
              </w:rPr>
              <w:t>規定，綜合損益表中其他綜合損益項目應分類為</w:t>
            </w:r>
            <w:r w:rsidRPr="00215D41">
              <w:rPr>
                <w:rFonts w:eastAsia="標楷體"/>
                <w:color w:val="000000" w:themeColor="text1"/>
                <w:kern w:val="0"/>
                <w:sz w:val="26"/>
                <w:szCs w:val="26"/>
                <w:lang w:eastAsia="zh-HK"/>
              </w:rPr>
              <w:t>(1)</w:t>
            </w:r>
            <w:r w:rsidRPr="00215D41">
              <w:rPr>
                <w:rFonts w:eastAsia="標楷體"/>
                <w:color w:val="000000" w:themeColor="text1"/>
                <w:kern w:val="0"/>
                <w:sz w:val="26"/>
                <w:szCs w:val="26"/>
                <w:lang w:eastAsia="zh-HK"/>
              </w:rPr>
              <w:t>後續不重分類至損益者及</w:t>
            </w:r>
            <w:r w:rsidRPr="00215D41">
              <w:rPr>
                <w:rFonts w:eastAsia="標楷體"/>
                <w:color w:val="000000" w:themeColor="text1"/>
                <w:kern w:val="0"/>
                <w:sz w:val="26"/>
                <w:szCs w:val="26"/>
                <w:lang w:eastAsia="zh-HK"/>
              </w:rPr>
              <w:t>(2)</w:t>
            </w:r>
            <w:r w:rsidRPr="00215D41">
              <w:rPr>
                <w:rFonts w:eastAsia="標楷體"/>
                <w:color w:val="000000" w:themeColor="text1"/>
                <w:kern w:val="0"/>
                <w:sz w:val="26"/>
                <w:szCs w:val="26"/>
                <w:lang w:eastAsia="zh-HK"/>
              </w:rPr>
              <w:t>後續將重分類至損益者。</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hint="eastAsia"/>
                <w:color w:val="000000" w:themeColor="text1"/>
                <w:kern w:val="0"/>
                <w:sz w:val="26"/>
                <w:szCs w:val="26"/>
                <w:lang w:eastAsia="zh-HK"/>
              </w:rPr>
              <w:t>會計問題：</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前述避險工具損益，於綜合損益表中應如何分類？</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tc>
        <w:tc>
          <w:tcPr>
            <w:tcW w:w="5245"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lang w:eastAsia="zh-HK"/>
              </w:rPr>
              <w:t>IAS1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96</w:t>
            </w:r>
            <w:r w:rsidRPr="00215D41">
              <w:rPr>
                <w:rFonts w:eastAsia="標楷體" w:hint="eastAsia"/>
                <w:color w:val="000000" w:themeColor="text1"/>
                <w:kern w:val="0"/>
                <w:sz w:val="26"/>
                <w:szCs w:val="26"/>
                <w:lang w:eastAsia="zh-HK"/>
              </w:rPr>
              <w:t>段規定，依國際財務報導準則第</w:t>
            </w:r>
            <w:r w:rsidRPr="00215D41">
              <w:rPr>
                <w:rFonts w:eastAsia="標楷體" w:hint="eastAsia"/>
                <w:color w:val="000000" w:themeColor="text1"/>
                <w:kern w:val="0"/>
                <w:sz w:val="26"/>
                <w:szCs w:val="26"/>
                <w:lang w:eastAsia="zh-HK"/>
              </w:rPr>
              <w:t>9</w:t>
            </w:r>
            <w:r w:rsidRPr="00215D41">
              <w:rPr>
                <w:rFonts w:eastAsia="標楷體" w:hint="eastAsia"/>
                <w:color w:val="000000" w:themeColor="text1"/>
                <w:kern w:val="0"/>
                <w:sz w:val="26"/>
                <w:szCs w:val="26"/>
                <w:lang w:eastAsia="zh-HK"/>
              </w:rPr>
              <w:t>號之規定，若現金流量避險或選擇權時間價值（或遠期合約之遠期部分，或金融工具之外幣基差）之會計處理，導致自現金流量避險準備或單獨權益組成部分分別移除之金額直接納入資產或負債之原始成本或其他</w:t>
            </w:r>
            <w:proofErr w:type="gramStart"/>
            <w:r w:rsidRPr="00215D41">
              <w:rPr>
                <w:rFonts w:eastAsia="標楷體" w:hint="eastAsia"/>
                <w:color w:val="000000" w:themeColor="text1"/>
                <w:kern w:val="0"/>
                <w:sz w:val="26"/>
                <w:szCs w:val="26"/>
                <w:lang w:eastAsia="zh-HK"/>
              </w:rPr>
              <w:t>帳面</w:t>
            </w:r>
            <w:proofErr w:type="gramEnd"/>
            <w:r w:rsidRPr="00215D41">
              <w:rPr>
                <w:rFonts w:eastAsia="標楷體" w:hint="eastAsia"/>
                <w:color w:val="000000" w:themeColor="text1"/>
                <w:kern w:val="0"/>
                <w:sz w:val="26"/>
                <w:szCs w:val="26"/>
                <w:lang w:eastAsia="zh-HK"/>
              </w:rPr>
              <w:t>金額，並不會產生重分類調整。因此</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問題所述適用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(d)(i)</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現金流量避險或</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(b)(i)</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選擇權時間價值</w:t>
            </w:r>
            <w:r w:rsidRPr="00215D41">
              <w:rPr>
                <w:rFonts w:eastAsia="標楷體"/>
                <w:color w:val="000000" w:themeColor="text1"/>
                <w:kern w:val="0"/>
                <w:sz w:val="26"/>
                <w:szCs w:val="26"/>
                <w:lang w:eastAsia="zh-HK"/>
              </w:rPr>
              <w:t>避險</w:t>
            </w:r>
            <w:r w:rsidRPr="00215D41">
              <w:rPr>
                <w:rFonts w:eastAsia="標楷體" w:hint="eastAsia"/>
                <w:color w:val="000000" w:themeColor="text1"/>
                <w:kern w:val="0"/>
                <w:sz w:val="26"/>
                <w:szCs w:val="26"/>
                <w:lang w:eastAsia="zh-HK"/>
              </w:rPr>
              <w:t>之公允價值變動</w:t>
            </w:r>
            <w:r w:rsidRPr="00215D41">
              <w:rPr>
                <w:rFonts w:eastAsia="標楷體" w:hint="eastAsia"/>
                <w:color w:val="000000" w:themeColor="text1"/>
                <w:kern w:val="0"/>
                <w:sz w:val="26"/>
                <w:szCs w:val="26"/>
              </w:rPr>
              <w:t>，</w:t>
            </w:r>
            <w:r w:rsidRPr="00215D41">
              <w:rPr>
                <w:rFonts w:eastAsia="標楷體"/>
                <w:color w:val="000000" w:themeColor="text1"/>
                <w:kern w:val="0"/>
                <w:sz w:val="26"/>
                <w:szCs w:val="26"/>
              </w:rPr>
              <w:t>於綜合損益表中應分類為後續不重分類至損益</w:t>
            </w:r>
            <w:r w:rsidRPr="00215D41">
              <w:rPr>
                <w:rFonts w:eastAsia="標楷體" w:hint="eastAsia"/>
                <w:color w:val="000000" w:themeColor="text1"/>
                <w:kern w:val="0"/>
                <w:sz w:val="26"/>
                <w:szCs w:val="26"/>
              </w:rPr>
              <w:t>者。</w:t>
            </w:r>
          </w:p>
        </w:tc>
        <w:tc>
          <w:tcPr>
            <w:tcW w:w="1418" w:type="dxa"/>
          </w:tcPr>
          <w:p w:rsidR="00B438DB" w:rsidRPr="00215D41" w:rsidRDefault="00B438DB" w:rsidP="00B438DB">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t>財務報表之表達</w:t>
            </w:r>
          </w:p>
        </w:tc>
        <w:tc>
          <w:tcPr>
            <w:tcW w:w="1417"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snapToGrid w:val="0"/>
              <w:rPr>
                <w:rFonts w:ascii="標楷體" w:eastAsia="標楷體" w:hAnsi="標楷體"/>
                <w:color w:val="000000" w:themeColor="text1"/>
              </w:rPr>
            </w:pPr>
          </w:p>
        </w:tc>
      </w:tr>
      <w:tr w:rsidR="00551DF0" w:rsidRPr="00066C56" w:rsidTr="007D3D7A">
        <w:trPr>
          <w:trHeight w:val="302"/>
        </w:trPr>
        <w:tc>
          <w:tcPr>
            <w:tcW w:w="710"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72</w:t>
            </w:r>
          </w:p>
        </w:tc>
        <w:tc>
          <w:tcPr>
            <w:tcW w:w="5953" w:type="dxa"/>
            <w:shd w:val="clear" w:color="auto" w:fill="auto"/>
          </w:tcPr>
          <w:p w:rsidR="00215D41" w:rsidRPr="0075321F" w:rsidRDefault="00215D41" w:rsidP="009030C8">
            <w:pPr>
              <w:spacing w:line="320" w:lineRule="atLeast"/>
              <w:jc w:val="both"/>
              <w:rPr>
                <w:rFonts w:eastAsia="標楷體"/>
                <w:sz w:val="26"/>
                <w:szCs w:val="26"/>
              </w:rPr>
            </w:pPr>
            <w:r w:rsidRPr="0075321F">
              <w:rPr>
                <w:rFonts w:eastAsia="標楷體"/>
                <w:sz w:val="26"/>
                <w:szCs w:val="26"/>
              </w:rPr>
              <w:t>承租人若依</w:t>
            </w:r>
            <w:r w:rsidRPr="0075321F">
              <w:rPr>
                <w:rFonts w:eastAsia="標楷體"/>
                <w:sz w:val="26"/>
                <w:szCs w:val="26"/>
              </w:rPr>
              <w:t>IFRS 16</w:t>
            </w:r>
            <w:r w:rsidRPr="0075321F">
              <w:rPr>
                <w:rFonts w:eastAsia="標楷體"/>
                <w:sz w:val="26"/>
                <w:szCs w:val="26"/>
              </w:rPr>
              <w:t>之修正「</w:t>
            </w:r>
            <w:proofErr w:type="gramStart"/>
            <w:r w:rsidRPr="0075321F">
              <w:rPr>
                <w:rFonts w:eastAsia="標楷體"/>
                <w:sz w:val="26"/>
                <w:szCs w:val="26"/>
              </w:rPr>
              <w:t>新型冠</w:t>
            </w:r>
            <w:proofErr w:type="gramEnd"/>
            <w:r w:rsidRPr="0075321F">
              <w:rPr>
                <w:rFonts w:eastAsia="標楷體"/>
                <w:sz w:val="26"/>
                <w:szCs w:val="26"/>
              </w:rPr>
              <w:t>狀病毒肺炎相關租金減讓」選擇對與</w:t>
            </w:r>
            <w:r w:rsidRPr="0075321F">
              <w:rPr>
                <w:rFonts w:eastAsia="標楷體"/>
                <w:sz w:val="26"/>
                <w:szCs w:val="26"/>
              </w:rPr>
              <w:t>Covid-19</w:t>
            </w:r>
            <w:r w:rsidRPr="0075321F">
              <w:rPr>
                <w:rFonts w:eastAsia="標楷體"/>
                <w:sz w:val="26"/>
                <w:szCs w:val="26"/>
              </w:rPr>
              <w:t>直接相關且符合條件之租金減讓適用實務權宜作法，以下情況應如何處理</w:t>
            </w:r>
            <w:r w:rsidRPr="0075321F">
              <w:rPr>
                <w:rFonts w:eastAsia="標楷體"/>
                <w:sz w:val="26"/>
                <w:szCs w:val="26"/>
              </w:rPr>
              <w:t>?</w:t>
            </w:r>
          </w:p>
          <w:p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w:t>
            </w:r>
            <w:proofErr w:type="gramStart"/>
            <w:r w:rsidRPr="0075321F">
              <w:rPr>
                <w:rFonts w:eastAsia="標楷體"/>
                <w:b/>
                <w:bCs/>
                <w:sz w:val="26"/>
                <w:szCs w:val="26"/>
              </w:rPr>
              <w:t>一</w:t>
            </w:r>
            <w:proofErr w:type="gramEnd"/>
            <w:r w:rsidRPr="0075321F">
              <w:rPr>
                <w:rFonts w:eastAsia="標楷體"/>
                <w:b/>
                <w:bCs/>
                <w:sz w:val="26"/>
                <w:szCs w:val="26"/>
              </w:rPr>
              <w:t>：</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月按月支付之租金，則承租人是否應於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日將調降之總租金一次認列於損益並相對調整租賃負債</w:t>
            </w:r>
            <w:r w:rsidRPr="0075321F">
              <w:rPr>
                <w:rFonts w:eastAsia="標楷體"/>
                <w:sz w:val="26"/>
                <w:szCs w:val="26"/>
              </w:rPr>
              <w:t xml:space="preserve">? </w:t>
            </w:r>
            <w:proofErr w:type="gramStart"/>
            <w:r w:rsidRPr="0075321F">
              <w:rPr>
                <w:rFonts w:eastAsia="標楷體"/>
                <w:sz w:val="26"/>
                <w:szCs w:val="26"/>
              </w:rPr>
              <w:t>此外，</w:t>
            </w:r>
            <w:proofErr w:type="gramEnd"/>
            <w:r w:rsidRPr="0075321F">
              <w:rPr>
                <w:rFonts w:eastAsia="標楷體"/>
                <w:sz w:val="26"/>
                <w:szCs w:val="26"/>
              </w:rPr>
              <w:t>於綜合損益表應如何表達該損益金額</w:t>
            </w:r>
            <w:r w:rsidRPr="0075321F">
              <w:rPr>
                <w:rFonts w:eastAsia="標楷體"/>
                <w:sz w:val="26"/>
                <w:szCs w:val="26"/>
              </w:rPr>
              <w:t>?</w:t>
            </w:r>
          </w:p>
          <w:p w:rsidR="00215D41" w:rsidRPr="0075321F" w:rsidRDefault="00215D41" w:rsidP="00215D41">
            <w:pPr>
              <w:widowControl/>
              <w:adjustRightInd w:val="0"/>
              <w:snapToGrid w:val="0"/>
              <w:spacing w:line="320" w:lineRule="atLeast"/>
              <w:jc w:val="both"/>
              <w:rPr>
                <w:rFonts w:eastAsia="標楷體"/>
                <w:b/>
                <w:bCs/>
                <w:sz w:val="26"/>
                <w:szCs w:val="26"/>
              </w:rPr>
            </w:pPr>
            <w:r w:rsidRPr="0075321F">
              <w:rPr>
                <w:rFonts w:eastAsia="標楷體"/>
                <w:b/>
                <w:bCs/>
                <w:sz w:val="26"/>
                <w:szCs w:val="26"/>
              </w:rPr>
              <w:t>情況二：</w:t>
            </w:r>
          </w:p>
          <w:p w:rsidR="00215D41" w:rsidRPr="0075321F" w:rsidRDefault="00215D41" w:rsidP="00215D41">
            <w:pPr>
              <w:widowControl/>
              <w:adjustRightInd w:val="0"/>
              <w:snapToGrid w:val="0"/>
              <w:spacing w:line="320" w:lineRule="atLeast"/>
              <w:jc w:val="both"/>
              <w:rPr>
                <w:rFonts w:eastAsia="標楷體"/>
                <w:sz w:val="26"/>
                <w:szCs w:val="26"/>
              </w:rPr>
            </w:pPr>
            <w:r w:rsidRPr="0075321F">
              <w:rPr>
                <w:rFonts w:eastAsia="標楷體"/>
                <w:sz w:val="26"/>
                <w:szCs w:val="26"/>
              </w:rPr>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w:t>
            </w:r>
            <w:r w:rsidRPr="0075321F">
              <w:rPr>
                <w:rFonts w:eastAsia="標楷體"/>
                <w:sz w:val="26"/>
                <w:szCs w:val="26"/>
              </w:rPr>
              <w:t>109</w:t>
            </w:r>
            <w:r w:rsidRPr="0075321F">
              <w:rPr>
                <w:rFonts w:eastAsia="標楷體"/>
                <w:sz w:val="26"/>
                <w:szCs w:val="26"/>
              </w:rPr>
              <w:t>年</w:t>
            </w:r>
            <w:r w:rsidRPr="0075321F">
              <w:rPr>
                <w:rFonts w:eastAsia="標楷體"/>
                <w:sz w:val="26"/>
                <w:szCs w:val="26"/>
              </w:rPr>
              <w:t>7</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月之租金可無條件延至</w:t>
            </w:r>
            <w:r w:rsidRPr="0075321F">
              <w:rPr>
                <w:rFonts w:eastAsia="標楷體"/>
                <w:sz w:val="26"/>
                <w:szCs w:val="26"/>
              </w:rPr>
              <w:t>110</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~6</w:t>
            </w:r>
            <w:r w:rsidRPr="0075321F">
              <w:rPr>
                <w:rFonts w:eastAsia="標楷體"/>
                <w:sz w:val="26"/>
                <w:szCs w:val="26"/>
              </w:rPr>
              <w:t>月支付。承租人是否須於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日將支付時點變動後之租賃給付按</w:t>
            </w:r>
            <w:proofErr w:type="gramStart"/>
            <w:r w:rsidRPr="0075321F">
              <w:rPr>
                <w:rFonts w:eastAsia="標楷體"/>
                <w:sz w:val="26"/>
                <w:szCs w:val="26"/>
              </w:rPr>
              <w:t>原折現率折</w:t>
            </w:r>
            <w:proofErr w:type="gramEnd"/>
            <w:r w:rsidRPr="0075321F">
              <w:rPr>
                <w:rFonts w:eastAsia="標楷體"/>
                <w:sz w:val="26"/>
                <w:szCs w:val="26"/>
              </w:rPr>
              <w:t>現以進行租賃負債之再衡量，並重新計算各期之利息費用</w:t>
            </w:r>
            <w:r w:rsidRPr="0075321F">
              <w:rPr>
                <w:rFonts w:eastAsia="標楷體"/>
                <w:sz w:val="26"/>
                <w:szCs w:val="26"/>
              </w:rPr>
              <w:t xml:space="preserve">? </w:t>
            </w:r>
            <w:r w:rsidRPr="0075321F">
              <w:rPr>
                <w:rFonts w:eastAsia="標楷體"/>
                <w:sz w:val="26"/>
                <w:szCs w:val="26"/>
              </w:rPr>
              <w:t>若是，再衡量所產生之差額是否應認列於損益</w:t>
            </w:r>
            <w:r w:rsidRPr="0075321F">
              <w:rPr>
                <w:rFonts w:eastAsia="標楷體"/>
                <w:sz w:val="26"/>
                <w:szCs w:val="26"/>
              </w:rPr>
              <w:t xml:space="preserve">? </w:t>
            </w:r>
          </w:p>
          <w:p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w:t>
            </w:r>
            <w:proofErr w:type="gramStart"/>
            <w:r w:rsidRPr="0075321F">
              <w:rPr>
                <w:rFonts w:eastAsia="標楷體"/>
                <w:b/>
                <w:bCs/>
                <w:sz w:val="26"/>
                <w:szCs w:val="26"/>
              </w:rPr>
              <w:t>三</w:t>
            </w:r>
            <w:proofErr w:type="gramEnd"/>
            <w:r w:rsidRPr="0075321F">
              <w:rPr>
                <w:rFonts w:eastAsia="標楷體"/>
                <w:b/>
                <w:bCs/>
                <w:sz w:val="26"/>
                <w:szCs w:val="26"/>
              </w:rPr>
              <w:t>：</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若承租人適用</w:t>
            </w:r>
            <w:r w:rsidRPr="0075321F">
              <w:rPr>
                <w:rFonts w:eastAsia="標楷體"/>
                <w:kern w:val="0"/>
                <w:sz w:val="26"/>
                <w:szCs w:val="26"/>
              </w:rPr>
              <w:t>短期租賃或</w:t>
            </w:r>
            <w:r w:rsidRPr="0075321F">
              <w:rPr>
                <w:rFonts w:eastAsia="標楷體"/>
                <w:sz w:val="26"/>
                <w:szCs w:val="26"/>
              </w:rPr>
              <w:t>低價值資產租賃之認列豁免，並於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月之租金，承租人應如何進行會計處理</w:t>
            </w:r>
            <w:r w:rsidRPr="0075321F">
              <w:rPr>
                <w:rFonts w:eastAsia="標楷體"/>
                <w:sz w:val="26"/>
                <w:szCs w:val="26"/>
              </w:rPr>
              <w:t>?</w:t>
            </w:r>
            <w:r w:rsidRPr="0075321F">
              <w:rPr>
                <w:rFonts w:eastAsia="標楷體"/>
                <w:sz w:val="26"/>
                <w:szCs w:val="26"/>
              </w:rPr>
              <w:t>是否可適用</w:t>
            </w:r>
            <w:r w:rsidRPr="0075321F">
              <w:rPr>
                <w:rFonts w:eastAsia="標楷體"/>
                <w:sz w:val="26"/>
                <w:szCs w:val="26"/>
              </w:rPr>
              <w:t>IFRS 16</w:t>
            </w:r>
            <w:r w:rsidRPr="0075321F">
              <w:rPr>
                <w:rFonts w:eastAsia="標楷體"/>
                <w:sz w:val="26"/>
                <w:szCs w:val="26"/>
              </w:rPr>
              <w:t>之修正所提供之實務權宜作法</w:t>
            </w:r>
            <w:r w:rsidRPr="0075321F">
              <w:rPr>
                <w:rFonts w:eastAsia="標楷體"/>
                <w:sz w:val="26"/>
                <w:szCs w:val="26"/>
              </w:rPr>
              <w:t>?</w:t>
            </w:r>
          </w:p>
          <w:p w:rsidR="00F41973" w:rsidRPr="0075321F" w:rsidRDefault="00F41973" w:rsidP="00215D41">
            <w:pPr>
              <w:spacing w:line="320" w:lineRule="atLeast"/>
              <w:jc w:val="both"/>
              <w:rPr>
                <w:rFonts w:eastAsia="標楷體"/>
                <w:kern w:val="0"/>
                <w:sz w:val="26"/>
                <w:szCs w:val="26"/>
              </w:rPr>
            </w:pPr>
          </w:p>
        </w:tc>
        <w:tc>
          <w:tcPr>
            <w:tcW w:w="5245" w:type="dxa"/>
            <w:shd w:val="clear" w:color="auto" w:fill="auto"/>
          </w:tcPr>
          <w:p w:rsidR="00551DF0" w:rsidRPr="0075321F" w:rsidRDefault="00215D41" w:rsidP="0073558C">
            <w:pPr>
              <w:pStyle w:val="af1"/>
              <w:widowControl/>
              <w:numPr>
                <w:ilvl w:val="0"/>
                <w:numId w:val="9"/>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w:t>
            </w:r>
            <w:proofErr w:type="gramStart"/>
            <w:r w:rsidRPr="0075321F">
              <w:rPr>
                <w:rFonts w:eastAsia="標楷體"/>
                <w:kern w:val="0"/>
                <w:sz w:val="26"/>
                <w:szCs w:val="26"/>
              </w:rPr>
              <w:t>一</w:t>
            </w:r>
            <w:proofErr w:type="gramEnd"/>
            <w:r w:rsidRPr="0075321F">
              <w:rPr>
                <w:rFonts w:eastAsia="標楷體"/>
                <w:kern w:val="0"/>
                <w:sz w:val="26"/>
                <w:szCs w:val="26"/>
              </w:rPr>
              <w:t>中，</w:t>
            </w:r>
            <w:proofErr w:type="gramStart"/>
            <w:r w:rsidRPr="0075321F">
              <w:rPr>
                <w:rFonts w:eastAsia="標楷體"/>
                <w:kern w:val="0"/>
                <w:sz w:val="26"/>
                <w:szCs w:val="26"/>
              </w:rPr>
              <w:t>因降租並未</w:t>
            </w:r>
            <w:proofErr w:type="gramEnd"/>
            <w:r w:rsidRPr="0075321F">
              <w:rPr>
                <w:rFonts w:eastAsia="標楷體"/>
                <w:kern w:val="0"/>
                <w:sz w:val="26"/>
                <w:szCs w:val="26"/>
              </w:rPr>
              <w:t>綁定其它條件，承租人應於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日將調降之總租金按</w:t>
            </w:r>
            <w:proofErr w:type="gramStart"/>
            <w:r w:rsidRPr="0075321F">
              <w:rPr>
                <w:rFonts w:eastAsia="標楷體"/>
                <w:kern w:val="0"/>
                <w:sz w:val="26"/>
                <w:szCs w:val="26"/>
              </w:rPr>
              <w:t>原折現率折</w:t>
            </w:r>
            <w:proofErr w:type="gramEnd"/>
            <w:r w:rsidRPr="0075321F">
              <w:rPr>
                <w:rFonts w:eastAsia="標楷體"/>
                <w:kern w:val="0"/>
                <w:sz w:val="26"/>
                <w:szCs w:val="26"/>
              </w:rPr>
              <w:t>現以進行租賃負債之再衡量，並重新計算各期之利息費用，並將再衡量所產生之差額一次認列於損益。</w:t>
            </w:r>
            <w:proofErr w:type="gramStart"/>
            <w:r w:rsidRPr="0075321F">
              <w:rPr>
                <w:rFonts w:eastAsia="標楷體"/>
                <w:kern w:val="0"/>
                <w:sz w:val="26"/>
                <w:szCs w:val="26"/>
              </w:rPr>
              <w:t>惟若折現</w:t>
            </w:r>
            <w:proofErr w:type="gramEnd"/>
            <w:r w:rsidRPr="0075321F">
              <w:rPr>
                <w:rFonts w:eastAsia="標楷體"/>
                <w:kern w:val="0"/>
                <w:sz w:val="26"/>
                <w:szCs w:val="26"/>
              </w:rPr>
              <w:t>效果影響不重大，實務得選擇不折現處理。企業可選擇於綜合損益表中將前述再衡量之損益影響數表達為租金費用減項、使用權資產折舊費用減項、其他收益或其他收入，並於財務報告附註揭露說明。</w:t>
            </w:r>
          </w:p>
          <w:p w:rsidR="00551DF0" w:rsidRPr="0075321F" w:rsidRDefault="00215D41" w:rsidP="0073558C">
            <w:pPr>
              <w:pStyle w:val="af1"/>
              <w:widowControl/>
              <w:numPr>
                <w:ilvl w:val="0"/>
                <w:numId w:val="9"/>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於情況二中，承租人須於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日將支付時點變動後之租賃給付按</w:t>
            </w:r>
            <w:proofErr w:type="gramStart"/>
            <w:r w:rsidRPr="0075321F">
              <w:rPr>
                <w:rFonts w:eastAsia="標楷體"/>
                <w:kern w:val="0"/>
                <w:sz w:val="26"/>
                <w:szCs w:val="26"/>
              </w:rPr>
              <w:t>原折現率折</w:t>
            </w:r>
            <w:proofErr w:type="gramEnd"/>
            <w:r w:rsidRPr="0075321F">
              <w:rPr>
                <w:rFonts w:eastAsia="標楷體"/>
                <w:kern w:val="0"/>
                <w:sz w:val="26"/>
                <w:szCs w:val="26"/>
              </w:rPr>
              <w:t>現以進行租賃負債之再衡量，並重新計算各期之利息費用，並將再衡量所產生之差額認列於損益。</w:t>
            </w:r>
            <w:proofErr w:type="gramStart"/>
            <w:r w:rsidRPr="0075321F">
              <w:rPr>
                <w:rFonts w:eastAsia="標楷體"/>
                <w:kern w:val="0"/>
                <w:sz w:val="26"/>
                <w:szCs w:val="26"/>
              </w:rPr>
              <w:t>惟若折現</w:t>
            </w:r>
            <w:proofErr w:type="gramEnd"/>
            <w:r w:rsidRPr="0075321F">
              <w:rPr>
                <w:rFonts w:eastAsia="標楷體"/>
                <w:kern w:val="0"/>
                <w:sz w:val="26"/>
                <w:szCs w:val="26"/>
              </w:rPr>
              <w:t>效果影響不重大，實務處理得選擇不進行租賃負債之再衡量且不重新計算利息費用。企業可選擇於綜合損益表中將前述再衡量之損益影響數表達為租金費用減項、使用權資產折舊費用減項、其他收益或其他收入，並財務報告附註揭露說明。</w:t>
            </w:r>
          </w:p>
          <w:p w:rsidR="00215D41" w:rsidRPr="0075321F" w:rsidRDefault="00215D41" w:rsidP="0073558C">
            <w:pPr>
              <w:pStyle w:val="af1"/>
              <w:widowControl/>
              <w:numPr>
                <w:ilvl w:val="0"/>
                <w:numId w:val="9"/>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於情況三中，</w:t>
            </w:r>
            <w:proofErr w:type="gramStart"/>
            <w:r w:rsidRPr="0075321F">
              <w:rPr>
                <w:rFonts w:eastAsia="標楷體"/>
                <w:kern w:val="0"/>
                <w:sz w:val="26"/>
                <w:szCs w:val="26"/>
              </w:rPr>
              <w:t>採</w:t>
            </w:r>
            <w:proofErr w:type="gramEnd"/>
            <w:r w:rsidRPr="0075321F">
              <w:rPr>
                <w:rFonts w:eastAsia="標楷體"/>
                <w:kern w:val="0"/>
                <w:sz w:val="26"/>
                <w:szCs w:val="26"/>
              </w:rPr>
              <w:t>短期租賃或低價值租賃簡化作法之承租人亦可於租金減讓之</w:t>
            </w:r>
            <w:proofErr w:type="gramStart"/>
            <w:r w:rsidRPr="0075321F">
              <w:rPr>
                <w:rFonts w:eastAsia="標楷體"/>
                <w:kern w:val="0"/>
                <w:sz w:val="26"/>
                <w:szCs w:val="26"/>
              </w:rPr>
              <w:t>期間</w:t>
            </w:r>
            <w:r w:rsidRPr="0075321F">
              <w:rPr>
                <w:rFonts w:eastAsia="標楷體"/>
                <w:kern w:val="0"/>
                <w:sz w:val="26"/>
                <w:szCs w:val="26"/>
              </w:rPr>
              <w:t>(</w:t>
            </w:r>
            <w:proofErr w:type="gramEnd"/>
            <w:r w:rsidRPr="0075321F">
              <w:rPr>
                <w:rFonts w:eastAsia="標楷體"/>
                <w:kern w:val="0"/>
                <w:sz w:val="26"/>
                <w:szCs w:val="26"/>
              </w:rPr>
              <w:t>即</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~12</w:t>
            </w:r>
            <w:r w:rsidRPr="0075321F">
              <w:rPr>
                <w:rFonts w:eastAsia="標楷體"/>
                <w:kern w:val="0"/>
                <w:sz w:val="26"/>
                <w:szCs w:val="26"/>
              </w:rPr>
              <w:t>月</w:t>
            </w:r>
            <w:r w:rsidRPr="0075321F">
              <w:rPr>
                <w:rFonts w:eastAsia="標楷體"/>
                <w:kern w:val="0"/>
                <w:sz w:val="26"/>
                <w:szCs w:val="26"/>
              </w:rPr>
              <w:t>)</w:t>
            </w:r>
            <w:r w:rsidRPr="0075321F">
              <w:rPr>
                <w:rFonts w:eastAsia="標楷體"/>
                <w:kern w:val="0"/>
                <w:sz w:val="26"/>
                <w:szCs w:val="26"/>
              </w:rPr>
              <w:t>依減免後之租金金額認列租金費用。</w:t>
            </w:r>
          </w:p>
        </w:tc>
        <w:tc>
          <w:tcPr>
            <w:tcW w:w="1418" w:type="dxa"/>
          </w:tcPr>
          <w:p w:rsidR="00215D41" w:rsidRPr="0075321F" w:rsidRDefault="00215D41" w:rsidP="00215D41">
            <w:pPr>
              <w:snapToGrid w:val="0"/>
              <w:rPr>
                <w:rFonts w:eastAsia="標楷體"/>
                <w:kern w:val="0"/>
                <w:sz w:val="26"/>
                <w:szCs w:val="26"/>
              </w:rPr>
            </w:pPr>
            <w:r w:rsidRPr="0075321F">
              <w:rPr>
                <w:rFonts w:eastAsia="標楷體"/>
                <w:kern w:val="0"/>
                <w:sz w:val="26"/>
                <w:szCs w:val="26"/>
                <w:lang w:eastAsia="zh-HK"/>
              </w:rPr>
              <w:t>IFRS 16</w:t>
            </w:r>
            <w:r w:rsidRPr="0075321F">
              <w:rPr>
                <w:rFonts w:eastAsia="標楷體"/>
                <w:kern w:val="0"/>
                <w:sz w:val="26"/>
                <w:szCs w:val="26"/>
                <w:lang w:eastAsia="zh-HK"/>
              </w:rPr>
              <w:t>之修正「</w:t>
            </w:r>
            <w:proofErr w:type="gramStart"/>
            <w:r w:rsidRPr="0075321F">
              <w:rPr>
                <w:rFonts w:eastAsia="標楷體"/>
                <w:kern w:val="0"/>
                <w:sz w:val="26"/>
                <w:szCs w:val="26"/>
                <w:lang w:eastAsia="zh-HK"/>
              </w:rPr>
              <w:t>新型冠</w:t>
            </w:r>
            <w:proofErr w:type="gramEnd"/>
            <w:r w:rsidRPr="0075321F">
              <w:rPr>
                <w:rFonts w:eastAsia="標楷體"/>
                <w:kern w:val="0"/>
                <w:sz w:val="26"/>
                <w:szCs w:val="26"/>
                <w:lang w:eastAsia="zh-HK"/>
              </w:rPr>
              <w:t>狀病毒肺炎相關租金減讓」</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551DF0" w:rsidRPr="00066C56"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73</w:t>
            </w:r>
          </w:p>
        </w:tc>
        <w:tc>
          <w:tcPr>
            <w:tcW w:w="5953"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t>一</w:t>
            </w:r>
            <w:r w:rsidRPr="0075321F">
              <w:rPr>
                <w:sz w:val="26"/>
                <w:szCs w:val="26"/>
              </w:rPr>
              <w:t>、</w:t>
            </w:r>
            <w:r w:rsidRPr="0075321F">
              <w:rPr>
                <w:rFonts w:eastAsia="標楷體"/>
                <w:sz w:val="26"/>
                <w:szCs w:val="26"/>
              </w:rPr>
              <w:t>考量嚴重特殊傳染性肺炎</w:t>
            </w:r>
            <w:proofErr w:type="gramStart"/>
            <w:r w:rsidRPr="0075321F">
              <w:rPr>
                <w:rFonts w:eastAsia="標楷體"/>
                <w:sz w:val="26"/>
                <w:szCs w:val="26"/>
              </w:rPr>
              <w:t>疫</w:t>
            </w:r>
            <w:proofErr w:type="gramEnd"/>
            <w:r w:rsidRPr="0075321F">
              <w:rPr>
                <w:rFonts w:eastAsia="標楷體"/>
                <w:sz w:val="26"/>
                <w:szCs w:val="26"/>
              </w:rPr>
              <w:t>情蔓延，經濟部提供之紓困措施包括向工業局承租其所轄管工業區之土地及公有建築物租金之承租人，得申請租金減收</w:t>
            </w:r>
            <w:proofErr w:type="gramStart"/>
            <w:r w:rsidRPr="0075321F">
              <w:rPr>
                <w:rFonts w:eastAsia="標楷體"/>
                <w:sz w:val="26"/>
                <w:szCs w:val="26"/>
              </w:rPr>
              <w:t>2</w:t>
            </w:r>
            <w:r w:rsidRPr="0075321F">
              <w:rPr>
                <w:rFonts w:eastAsia="標楷體"/>
                <w:sz w:val="26"/>
                <w:szCs w:val="26"/>
              </w:rPr>
              <w:t>成</w:t>
            </w:r>
            <w:proofErr w:type="gramEnd"/>
            <w:r w:rsidRPr="0075321F">
              <w:rPr>
                <w:rFonts w:eastAsia="標楷體"/>
                <w:sz w:val="26"/>
                <w:szCs w:val="26"/>
              </w:rPr>
              <w:t>，為期</w:t>
            </w:r>
            <w:r w:rsidRPr="0075321F">
              <w:rPr>
                <w:rFonts w:eastAsia="標楷體"/>
                <w:sz w:val="26"/>
                <w:szCs w:val="26"/>
              </w:rPr>
              <w:t>6</w:t>
            </w:r>
            <w:r w:rsidRPr="0075321F">
              <w:rPr>
                <w:rFonts w:eastAsia="標楷體"/>
                <w:sz w:val="26"/>
                <w:szCs w:val="26"/>
              </w:rPr>
              <w:t>個月，經雙方簽訂租賃契約書補充協議書</w:t>
            </w:r>
            <w:r w:rsidRPr="0075321F">
              <w:rPr>
                <w:rFonts w:eastAsia="標楷體"/>
                <w:sz w:val="26"/>
                <w:szCs w:val="26"/>
              </w:rPr>
              <w:t>(</w:t>
            </w:r>
            <w:r w:rsidRPr="0075321F">
              <w:rPr>
                <w:rFonts w:eastAsia="標楷體"/>
                <w:sz w:val="26"/>
                <w:szCs w:val="26"/>
              </w:rPr>
              <w:t>增列租金減收</w:t>
            </w:r>
            <w:proofErr w:type="gramStart"/>
            <w:r w:rsidRPr="0075321F">
              <w:rPr>
                <w:rFonts w:eastAsia="標楷體"/>
                <w:sz w:val="26"/>
                <w:szCs w:val="26"/>
              </w:rPr>
              <w:t>2</w:t>
            </w:r>
            <w:r w:rsidRPr="0075321F">
              <w:rPr>
                <w:rFonts w:eastAsia="標楷體"/>
                <w:sz w:val="26"/>
                <w:szCs w:val="26"/>
              </w:rPr>
              <w:t>成</w:t>
            </w:r>
            <w:proofErr w:type="gramEnd"/>
            <w:r w:rsidRPr="0075321F">
              <w:rPr>
                <w:rFonts w:eastAsia="標楷體"/>
                <w:sz w:val="26"/>
                <w:szCs w:val="26"/>
              </w:rPr>
              <w:t>)</w:t>
            </w:r>
            <w:r w:rsidRPr="0075321F">
              <w:rPr>
                <w:rFonts w:eastAsia="標楷體"/>
                <w:sz w:val="26"/>
                <w:szCs w:val="26"/>
              </w:rPr>
              <w:t>，施行期限自</w:t>
            </w:r>
            <w:r w:rsidRPr="0075321F">
              <w:rPr>
                <w:rFonts w:eastAsia="標楷體"/>
                <w:sz w:val="26"/>
                <w:szCs w:val="26"/>
              </w:rPr>
              <w:t>109</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15</w:t>
            </w:r>
            <w:r w:rsidRPr="0075321F">
              <w:rPr>
                <w:rFonts w:eastAsia="標楷體"/>
                <w:sz w:val="26"/>
                <w:szCs w:val="26"/>
              </w:rPr>
              <w:t>日至</w:t>
            </w:r>
            <w:r w:rsidRPr="0075321F">
              <w:rPr>
                <w:rFonts w:eastAsia="標楷體"/>
                <w:sz w:val="26"/>
                <w:szCs w:val="26"/>
              </w:rPr>
              <w:t>110</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30</w:t>
            </w:r>
            <w:r w:rsidRPr="0075321F">
              <w:rPr>
                <w:rFonts w:eastAsia="標楷體"/>
                <w:sz w:val="26"/>
                <w:szCs w:val="26"/>
              </w:rPr>
              <w:t>日止。</w:t>
            </w:r>
          </w:p>
          <w:p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t>二</w:t>
            </w:r>
            <w:r w:rsidRPr="0075321F">
              <w:rPr>
                <w:sz w:val="26"/>
                <w:szCs w:val="26"/>
              </w:rPr>
              <w:t>、</w:t>
            </w:r>
            <w:r w:rsidRPr="0075321F">
              <w:rPr>
                <w:rFonts w:eastAsia="標楷體"/>
                <w:sz w:val="26"/>
                <w:szCs w:val="26"/>
              </w:rPr>
              <w:t>財政部因應本次</w:t>
            </w:r>
            <w:proofErr w:type="gramStart"/>
            <w:r w:rsidRPr="0075321F">
              <w:rPr>
                <w:rFonts w:eastAsia="標楷體"/>
                <w:sz w:val="26"/>
                <w:szCs w:val="26"/>
              </w:rPr>
              <w:t>疫</w:t>
            </w:r>
            <w:proofErr w:type="gramEnd"/>
            <w:r w:rsidRPr="0075321F">
              <w:rPr>
                <w:rFonts w:eastAsia="標楷體"/>
                <w:sz w:val="26"/>
                <w:szCs w:val="26"/>
              </w:rPr>
              <w:t>情，給予國有非公用不動產承租人</w:t>
            </w:r>
            <w:r w:rsidRPr="0075321F">
              <w:rPr>
                <w:rFonts w:eastAsia="標楷體"/>
                <w:sz w:val="26"/>
                <w:szCs w:val="26"/>
              </w:rPr>
              <w:t>109</w:t>
            </w:r>
            <w:r w:rsidRPr="0075321F">
              <w:rPr>
                <w:rFonts w:eastAsia="標楷體"/>
                <w:sz w:val="26"/>
                <w:szCs w:val="26"/>
              </w:rPr>
              <w:t>年減收租金</w:t>
            </w:r>
            <w:proofErr w:type="gramStart"/>
            <w:r w:rsidRPr="0075321F">
              <w:rPr>
                <w:rFonts w:eastAsia="標楷體"/>
                <w:sz w:val="26"/>
                <w:szCs w:val="26"/>
              </w:rPr>
              <w:t>2</w:t>
            </w:r>
            <w:r w:rsidRPr="0075321F">
              <w:rPr>
                <w:rFonts w:eastAsia="標楷體"/>
                <w:sz w:val="26"/>
                <w:szCs w:val="26"/>
              </w:rPr>
              <w:t>成</w:t>
            </w:r>
            <w:proofErr w:type="gramEnd"/>
            <w:r w:rsidRPr="0075321F">
              <w:rPr>
                <w:rFonts w:eastAsia="標楷體"/>
                <w:sz w:val="26"/>
                <w:szCs w:val="26"/>
              </w:rPr>
              <w:t>措施，由國有財產署主動辦理，無須地上權人提出申請；依規定，地上權</w:t>
            </w:r>
            <w:proofErr w:type="gramStart"/>
            <w:r w:rsidRPr="0075321F">
              <w:rPr>
                <w:rFonts w:eastAsia="標楷體"/>
                <w:sz w:val="26"/>
                <w:szCs w:val="26"/>
              </w:rPr>
              <w:t>人倘非</w:t>
            </w:r>
            <w:proofErr w:type="gramEnd"/>
            <w:r w:rsidRPr="0075321F">
              <w:rPr>
                <w:rFonts w:eastAsia="標楷體"/>
                <w:sz w:val="26"/>
                <w:szCs w:val="26"/>
              </w:rPr>
              <w:t>自行使用者，應將</w:t>
            </w:r>
            <w:proofErr w:type="gramStart"/>
            <w:r w:rsidRPr="0075321F">
              <w:rPr>
                <w:rFonts w:eastAsia="標楷體"/>
                <w:sz w:val="26"/>
                <w:szCs w:val="26"/>
              </w:rPr>
              <w:t>本次減收</w:t>
            </w:r>
            <w:proofErr w:type="gramEnd"/>
            <w:r w:rsidRPr="0075321F">
              <w:rPr>
                <w:rFonts w:eastAsia="標楷體"/>
                <w:sz w:val="26"/>
                <w:szCs w:val="26"/>
              </w:rPr>
              <w:t>之地租</w:t>
            </w:r>
            <w:r w:rsidRPr="0075321F">
              <w:rPr>
                <w:rFonts w:eastAsia="標楷體"/>
                <w:bCs/>
                <w:sz w:val="26"/>
                <w:szCs w:val="26"/>
              </w:rPr>
              <w:t>確實落實</w:t>
            </w:r>
            <w:r w:rsidRPr="0075321F">
              <w:rPr>
                <w:rFonts w:eastAsia="標楷體"/>
                <w:sz w:val="26"/>
                <w:szCs w:val="26"/>
              </w:rPr>
              <w:t>於使用人，否則須繳回該減收租金。</w:t>
            </w:r>
          </w:p>
          <w:p w:rsidR="00215D41" w:rsidRPr="0075321F" w:rsidRDefault="00215D41" w:rsidP="00215D41">
            <w:pPr>
              <w:spacing w:line="320" w:lineRule="atLeast"/>
              <w:rPr>
                <w:rFonts w:eastAsia="標楷體"/>
                <w:b/>
                <w:sz w:val="26"/>
                <w:szCs w:val="26"/>
              </w:rPr>
            </w:pPr>
            <w:r w:rsidRPr="0075321F">
              <w:rPr>
                <w:rFonts w:eastAsia="標楷體"/>
                <w:b/>
                <w:sz w:val="26"/>
                <w:szCs w:val="26"/>
              </w:rPr>
              <w:t>會計問題：</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企業承租經濟部工業區土地或國有不動產，因適用上述紓困措施而減收之租金，應依</w:t>
            </w:r>
            <w:r w:rsidRPr="0075321F">
              <w:rPr>
                <w:rFonts w:eastAsia="標楷體"/>
                <w:sz w:val="26"/>
                <w:szCs w:val="26"/>
              </w:rPr>
              <w:t>IFRS 16</w:t>
            </w:r>
            <w:r w:rsidRPr="0075321F">
              <w:rPr>
                <w:rFonts w:eastAsia="標楷體"/>
                <w:sz w:val="26"/>
                <w:szCs w:val="26"/>
              </w:rPr>
              <w:t>或</w:t>
            </w:r>
            <w:r w:rsidRPr="0075321F">
              <w:rPr>
                <w:rFonts w:eastAsia="標楷體"/>
                <w:sz w:val="26"/>
                <w:szCs w:val="26"/>
              </w:rPr>
              <w:t>IAS 20</w:t>
            </w:r>
            <w:r w:rsidRPr="0075321F">
              <w:rPr>
                <w:rFonts w:eastAsia="標楷體"/>
                <w:sz w:val="26"/>
                <w:szCs w:val="26"/>
              </w:rPr>
              <w:t>處理？</w:t>
            </w:r>
          </w:p>
          <w:p w:rsidR="00215D41" w:rsidRPr="0075321F" w:rsidRDefault="00215D41" w:rsidP="00F41973">
            <w:pPr>
              <w:widowControl/>
              <w:adjustRightInd w:val="0"/>
              <w:snapToGrid w:val="0"/>
              <w:jc w:val="both"/>
              <w:rPr>
                <w:rFonts w:eastAsia="標楷體"/>
                <w:kern w:val="0"/>
                <w:sz w:val="26"/>
                <w:szCs w:val="26"/>
              </w:rPr>
            </w:pPr>
          </w:p>
        </w:tc>
        <w:tc>
          <w:tcPr>
            <w:tcW w:w="5245"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widowControl/>
              <w:adjustRightInd w:val="0"/>
              <w:snapToGrid w:val="0"/>
              <w:spacing w:line="320" w:lineRule="atLeast"/>
              <w:jc w:val="both"/>
              <w:rPr>
                <w:rFonts w:eastAsia="標楷體"/>
                <w:kern w:val="0"/>
                <w:sz w:val="26"/>
                <w:szCs w:val="26"/>
              </w:rPr>
            </w:pPr>
            <w:r w:rsidRPr="0075321F">
              <w:rPr>
                <w:rFonts w:eastAsia="標楷體"/>
                <w:kern w:val="0"/>
                <w:sz w:val="26"/>
                <w:szCs w:val="26"/>
              </w:rPr>
              <w:t>因問題所述兩種租金減讓</w:t>
            </w:r>
            <w:proofErr w:type="gramStart"/>
            <w:r w:rsidRPr="0075321F">
              <w:rPr>
                <w:rFonts w:eastAsia="標楷體"/>
                <w:kern w:val="0"/>
                <w:sz w:val="26"/>
                <w:szCs w:val="26"/>
              </w:rPr>
              <w:t>情況均與</w:t>
            </w:r>
            <w:proofErr w:type="gramEnd"/>
            <w:r w:rsidRPr="0075321F">
              <w:rPr>
                <w:rFonts w:eastAsia="標楷體"/>
                <w:kern w:val="0"/>
                <w:sz w:val="26"/>
                <w:szCs w:val="26"/>
              </w:rPr>
              <w:t>Covid-19</w:t>
            </w:r>
            <w:r w:rsidRPr="0075321F">
              <w:rPr>
                <w:rFonts w:eastAsia="標楷體"/>
                <w:kern w:val="0"/>
                <w:sz w:val="26"/>
                <w:szCs w:val="26"/>
              </w:rPr>
              <w:t>直接相關，且符合</w:t>
            </w:r>
            <w:r w:rsidRPr="0075321F">
              <w:rPr>
                <w:rFonts w:eastAsia="標楷體"/>
                <w:kern w:val="0"/>
                <w:sz w:val="26"/>
                <w:szCs w:val="26"/>
              </w:rPr>
              <w:t>IFRS 16</w:t>
            </w:r>
            <w:r w:rsidRPr="0075321F">
              <w:rPr>
                <w:rFonts w:eastAsia="標楷體"/>
                <w:kern w:val="0"/>
                <w:sz w:val="26"/>
                <w:szCs w:val="26"/>
              </w:rPr>
              <w:t>之修正「</w:t>
            </w:r>
            <w:proofErr w:type="gramStart"/>
            <w:r w:rsidRPr="0075321F">
              <w:rPr>
                <w:rFonts w:eastAsia="標楷體"/>
                <w:kern w:val="0"/>
                <w:sz w:val="26"/>
                <w:szCs w:val="26"/>
              </w:rPr>
              <w:t>新型冠</w:t>
            </w:r>
            <w:proofErr w:type="gramEnd"/>
            <w:r w:rsidRPr="0075321F">
              <w:rPr>
                <w:rFonts w:eastAsia="標楷體"/>
                <w:kern w:val="0"/>
                <w:sz w:val="26"/>
                <w:szCs w:val="26"/>
              </w:rPr>
              <w:t>狀病毒肺炎相關租金減讓」實務權宜作法適用條件，企業應依</w:t>
            </w:r>
            <w:r w:rsidRPr="0075321F">
              <w:rPr>
                <w:rFonts w:eastAsia="標楷體"/>
                <w:kern w:val="0"/>
                <w:sz w:val="26"/>
                <w:szCs w:val="26"/>
              </w:rPr>
              <w:t>IFRS 16</w:t>
            </w:r>
            <w:r w:rsidRPr="0075321F">
              <w:rPr>
                <w:rFonts w:eastAsia="標楷體"/>
                <w:kern w:val="0"/>
                <w:sz w:val="26"/>
                <w:szCs w:val="26"/>
                <w:lang w:eastAsia="zh-HK"/>
              </w:rPr>
              <w:t>處理</w:t>
            </w:r>
            <w:r w:rsidRPr="0075321F">
              <w:rPr>
                <w:rFonts w:eastAsia="標楷體"/>
                <w:kern w:val="0"/>
                <w:sz w:val="26"/>
                <w:szCs w:val="26"/>
              </w:rPr>
              <w:t>得選擇適用該權宜作法。</w:t>
            </w:r>
            <w:proofErr w:type="gramStart"/>
            <w:r w:rsidRPr="0075321F">
              <w:rPr>
                <w:rFonts w:eastAsia="標楷體"/>
                <w:kern w:val="0"/>
                <w:sz w:val="26"/>
                <w:szCs w:val="26"/>
              </w:rPr>
              <w:t>惟</w:t>
            </w:r>
            <w:proofErr w:type="gramEnd"/>
            <w:r w:rsidRPr="0075321F">
              <w:rPr>
                <w:rFonts w:eastAsia="標楷體"/>
                <w:kern w:val="0"/>
                <w:sz w:val="26"/>
                <w:szCs w:val="26"/>
              </w:rPr>
              <w:t>出租人（政府）若要求承租人須履行特定條件方可取得租金減讓（如約定減收地租應落實於使用人），承租人亦應適用</w:t>
            </w:r>
            <w:r w:rsidRPr="0075321F">
              <w:rPr>
                <w:rFonts w:eastAsia="標楷體"/>
                <w:kern w:val="0"/>
                <w:sz w:val="26"/>
                <w:szCs w:val="26"/>
              </w:rPr>
              <w:t>IFRS16</w:t>
            </w:r>
            <w:r w:rsidRPr="0075321F">
              <w:rPr>
                <w:rFonts w:eastAsia="標楷體"/>
                <w:kern w:val="0"/>
                <w:sz w:val="26"/>
                <w:szCs w:val="26"/>
              </w:rPr>
              <w:t>第</w:t>
            </w:r>
            <w:r w:rsidRPr="0075321F">
              <w:rPr>
                <w:rFonts w:eastAsia="標楷體"/>
                <w:kern w:val="0"/>
                <w:sz w:val="26"/>
                <w:szCs w:val="26"/>
              </w:rPr>
              <w:t>38</w:t>
            </w:r>
            <w:r w:rsidRPr="0075321F">
              <w:rPr>
                <w:rFonts w:eastAsia="標楷體"/>
                <w:kern w:val="0"/>
                <w:sz w:val="26"/>
                <w:szCs w:val="26"/>
              </w:rPr>
              <w:t>段之規定，將不計入租賃負債衡量中之變動租賃給付於啟動該等給付之事件或情況發生之</w:t>
            </w:r>
            <w:proofErr w:type="gramStart"/>
            <w:r w:rsidRPr="0075321F">
              <w:rPr>
                <w:rFonts w:eastAsia="標楷體"/>
                <w:kern w:val="0"/>
                <w:sz w:val="26"/>
                <w:szCs w:val="26"/>
              </w:rPr>
              <w:t>期間認</w:t>
            </w:r>
            <w:proofErr w:type="gramEnd"/>
            <w:r w:rsidRPr="0075321F">
              <w:rPr>
                <w:rFonts w:eastAsia="標楷體"/>
                <w:kern w:val="0"/>
                <w:sz w:val="26"/>
                <w:szCs w:val="26"/>
              </w:rPr>
              <w:t>列於損益。因此，於政府要求承租人須履行特定條件方可取得租金減讓之情況下，承租人尚未取得無條件之減租權利，故應於啟動時（即履行特定義務後），將租金減讓之影響認列相關損益並相對調整租賃負債。</w:t>
            </w:r>
          </w:p>
        </w:tc>
        <w:tc>
          <w:tcPr>
            <w:tcW w:w="1418" w:type="dxa"/>
          </w:tcPr>
          <w:p w:rsidR="00215D41" w:rsidRPr="0075321F" w:rsidRDefault="00215D41" w:rsidP="00215D41">
            <w:pPr>
              <w:snapToGrid w:val="0"/>
              <w:rPr>
                <w:rFonts w:eastAsia="標楷體"/>
                <w:kern w:val="0"/>
                <w:sz w:val="26"/>
                <w:szCs w:val="26"/>
                <w:lang w:eastAsia="zh-HK"/>
              </w:rPr>
            </w:pPr>
            <w:r w:rsidRPr="0075321F">
              <w:rPr>
                <w:rFonts w:eastAsia="標楷體"/>
                <w:sz w:val="26"/>
                <w:szCs w:val="26"/>
              </w:rPr>
              <w:t>IFRS 16</w:t>
            </w:r>
            <w:r w:rsidRPr="0075321F">
              <w:rPr>
                <w:rFonts w:eastAsia="標楷體"/>
                <w:sz w:val="26"/>
                <w:szCs w:val="26"/>
              </w:rPr>
              <w:t>之修正「</w:t>
            </w:r>
            <w:proofErr w:type="gramStart"/>
            <w:r w:rsidRPr="0075321F">
              <w:rPr>
                <w:rFonts w:eastAsia="標楷體"/>
                <w:sz w:val="26"/>
                <w:szCs w:val="26"/>
              </w:rPr>
              <w:t>新型冠</w:t>
            </w:r>
            <w:proofErr w:type="gramEnd"/>
            <w:r w:rsidRPr="0075321F">
              <w:rPr>
                <w:rFonts w:eastAsia="標楷體"/>
                <w:sz w:val="26"/>
                <w:szCs w:val="26"/>
              </w:rPr>
              <w:t>狀病毒肺炎相關租金減讓」</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551DF0" w:rsidRPr="00066C56"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74</w:t>
            </w:r>
          </w:p>
        </w:tc>
        <w:tc>
          <w:tcPr>
            <w:tcW w:w="5953"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pacing w:line="320" w:lineRule="atLeast"/>
              <w:jc w:val="both"/>
              <w:rPr>
                <w:rFonts w:eastAsia="標楷體"/>
                <w:sz w:val="26"/>
                <w:szCs w:val="26"/>
                <w:lang w:eastAsia="zh-HK"/>
              </w:rPr>
            </w:pPr>
            <w:r w:rsidRPr="0075321F">
              <w:rPr>
                <w:rFonts w:eastAsia="標楷體"/>
                <w:sz w:val="26"/>
                <w:szCs w:val="26"/>
                <w:lang w:eastAsia="zh-HK"/>
              </w:rPr>
              <w:t>行政院於</w:t>
            </w:r>
            <w:r w:rsidRPr="0075321F">
              <w:rPr>
                <w:rFonts w:eastAsia="標楷體"/>
                <w:sz w:val="26"/>
                <w:szCs w:val="26"/>
              </w:rPr>
              <w:t>109</w:t>
            </w:r>
            <w:r w:rsidRPr="0075321F">
              <w:rPr>
                <w:rFonts w:eastAsia="標楷體"/>
                <w:sz w:val="26"/>
                <w:szCs w:val="26"/>
                <w:lang w:eastAsia="zh-HK"/>
              </w:rPr>
              <w:t>年</w:t>
            </w:r>
            <w:r w:rsidRPr="0075321F">
              <w:rPr>
                <w:rFonts w:eastAsia="標楷體"/>
                <w:sz w:val="26"/>
                <w:szCs w:val="26"/>
                <w:lang w:eastAsia="zh-HK"/>
              </w:rPr>
              <w:t>6</w:t>
            </w:r>
            <w:r w:rsidRPr="0075321F">
              <w:rPr>
                <w:rFonts w:eastAsia="標楷體"/>
                <w:sz w:val="26"/>
                <w:szCs w:val="26"/>
                <w:lang w:eastAsia="zh-HK"/>
              </w:rPr>
              <w:t>月宣布於</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w:t>
            </w:r>
            <w:r w:rsidRPr="0075321F">
              <w:rPr>
                <w:rFonts w:eastAsia="標楷體"/>
                <w:sz w:val="26"/>
                <w:szCs w:val="26"/>
                <w:lang w:eastAsia="zh-HK"/>
              </w:rPr>
              <w:t>日起進行振興三倍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之預購申請，並自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15</w:t>
            </w:r>
            <w:r w:rsidRPr="0075321F">
              <w:rPr>
                <w:rFonts w:eastAsia="標楷體"/>
                <w:sz w:val="26"/>
                <w:szCs w:val="26"/>
                <w:lang w:eastAsia="zh-HK"/>
              </w:rPr>
              <w:t>日開始使用，企業（商家）自</w:t>
            </w:r>
            <w:r w:rsidRPr="0075321F">
              <w:rPr>
                <w:rFonts w:eastAsia="標楷體"/>
                <w:sz w:val="26"/>
                <w:szCs w:val="26"/>
              </w:rPr>
              <w:t>7</w:t>
            </w:r>
            <w:r w:rsidRPr="0075321F">
              <w:rPr>
                <w:rFonts w:eastAsia="標楷體"/>
                <w:sz w:val="26"/>
                <w:szCs w:val="26"/>
                <w:lang w:eastAsia="zh-HK"/>
              </w:rPr>
              <w:t>月</w:t>
            </w:r>
            <w:r w:rsidRPr="0075321F">
              <w:rPr>
                <w:rFonts w:eastAsia="標楷體"/>
                <w:sz w:val="26"/>
                <w:szCs w:val="26"/>
              </w:rPr>
              <w:t>23</w:t>
            </w:r>
            <w:r w:rsidRPr="0075321F">
              <w:rPr>
                <w:rFonts w:eastAsia="標楷體"/>
                <w:sz w:val="26"/>
                <w:szCs w:val="26"/>
                <w:lang w:eastAsia="zh-HK"/>
              </w:rPr>
              <w:t>日後</w:t>
            </w:r>
            <w:proofErr w:type="gramStart"/>
            <w:r w:rsidRPr="0075321F">
              <w:rPr>
                <w:rFonts w:eastAsia="標楷體"/>
                <w:sz w:val="26"/>
                <w:szCs w:val="26"/>
                <w:lang w:eastAsia="zh-HK"/>
              </w:rPr>
              <w:t>即可自</w:t>
            </w:r>
            <w:proofErr w:type="gramEnd"/>
            <w:r w:rsidRPr="0075321F">
              <w:rPr>
                <w:rFonts w:eastAsia="標楷體"/>
                <w:sz w:val="26"/>
                <w:szCs w:val="26"/>
                <w:lang w:eastAsia="zh-HK"/>
              </w:rPr>
              <w:t>金融機構兌</w:t>
            </w:r>
            <w:proofErr w:type="gramStart"/>
            <w:r w:rsidRPr="0075321F">
              <w:rPr>
                <w:rFonts w:eastAsia="標楷體"/>
                <w:sz w:val="26"/>
                <w:szCs w:val="26"/>
                <w:lang w:eastAsia="zh-HK"/>
              </w:rPr>
              <w:t>領換現</w:t>
            </w:r>
            <w:proofErr w:type="gramEnd"/>
            <w:r w:rsidRPr="0075321F">
              <w:rPr>
                <w:rFonts w:eastAsia="標楷體"/>
                <w:sz w:val="26"/>
                <w:szCs w:val="26"/>
                <w:lang w:eastAsia="zh-HK"/>
              </w:rPr>
              <w:t>。根據</w:t>
            </w:r>
            <w:r w:rsidRPr="0075321F">
              <w:rPr>
                <w:rFonts w:eastAsia="標楷體"/>
                <w:sz w:val="26"/>
                <w:szCs w:val="26"/>
                <w:lang w:eastAsia="zh-HK"/>
              </w:rPr>
              <w:t>IAS 7</w:t>
            </w:r>
            <w:r w:rsidRPr="0075321F">
              <w:rPr>
                <w:rFonts w:eastAsia="標楷體"/>
                <w:sz w:val="26"/>
                <w:szCs w:val="26"/>
                <w:lang w:eastAsia="zh-HK"/>
              </w:rPr>
              <w:t>第</w:t>
            </w:r>
            <w:r w:rsidRPr="0075321F">
              <w:rPr>
                <w:rFonts w:eastAsia="標楷體"/>
                <w:sz w:val="26"/>
                <w:szCs w:val="26"/>
                <w:lang w:eastAsia="zh-HK"/>
              </w:rPr>
              <w:t>6</w:t>
            </w:r>
            <w:r w:rsidRPr="0075321F">
              <w:rPr>
                <w:rFonts w:eastAsia="標楷體"/>
                <w:sz w:val="26"/>
                <w:szCs w:val="26"/>
                <w:lang w:eastAsia="zh-HK"/>
              </w:rPr>
              <w:t>段約當現金之定義，約當現金係指短期（通常為三個月內）並具高度流動性之投資，該投資可隨時轉換成定額現金且價值變動之風險甚小，試問企業所收到之振興三倍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是否符合約當現金之定義？</w:t>
            </w:r>
          </w:p>
          <w:p w:rsidR="00215D41" w:rsidRPr="0075321F" w:rsidRDefault="00215D41" w:rsidP="00215D41">
            <w:pPr>
              <w:widowControl/>
              <w:adjustRightInd w:val="0"/>
              <w:snapToGrid w:val="0"/>
              <w:jc w:val="both"/>
              <w:rPr>
                <w:rFonts w:eastAsia="標楷體"/>
                <w:kern w:val="0"/>
                <w:sz w:val="26"/>
                <w:szCs w:val="26"/>
                <w:lang w:eastAsia="zh-HK"/>
              </w:rPr>
            </w:pPr>
          </w:p>
        </w:tc>
        <w:tc>
          <w:tcPr>
            <w:tcW w:w="5245"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widowControl/>
              <w:adjustRightInd w:val="0"/>
              <w:snapToGrid w:val="0"/>
              <w:jc w:val="both"/>
              <w:rPr>
                <w:rFonts w:eastAsia="標楷體"/>
                <w:kern w:val="0"/>
                <w:sz w:val="26"/>
                <w:szCs w:val="26"/>
                <w:lang w:eastAsia="zh-HK"/>
              </w:rPr>
            </w:pPr>
            <w:r w:rsidRPr="0075321F">
              <w:rPr>
                <w:rFonts w:eastAsia="標楷體"/>
                <w:kern w:val="0"/>
                <w:sz w:val="26"/>
                <w:szCs w:val="26"/>
              </w:rPr>
              <w:t>企業（商家）收到的</w:t>
            </w:r>
            <w:r w:rsidRPr="0075321F">
              <w:rPr>
                <w:rFonts w:eastAsia="標楷體"/>
                <w:sz w:val="26"/>
                <w:szCs w:val="26"/>
                <w:lang w:eastAsia="zh-HK"/>
              </w:rPr>
              <w:t>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符合短期且具高度流動性之條件，自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23</w:t>
            </w:r>
            <w:r w:rsidRPr="0075321F">
              <w:rPr>
                <w:rFonts w:eastAsia="標楷體"/>
                <w:sz w:val="26"/>
                <w:szCs w:val="26"/>
                <w:lang w:eastAsia="zh-HK"/>
              </w:rPr>
              <w:t>日後可隨時轉換成定額現金，且價值變動之風險甚小，故企業收到之振興三倍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符合約當現金之定義</w:t>
            </w:r>
            <w:r w:rsidRPr="0075321F">
              <w:rPr>
                <w:rFonts w:eastAsia="標楷體"/>
                <w:kern w:val="0"/>
                <w:sz w:val="26"/>
                <w:szCs w:val="26"/>
              </w:rPr>
              <w:t>。</w:t>
            </w:r>
          </w:p>
        </w:tc>
        <w:tc>
          <w:tcPr>
            <w:tcW w:w="1418" w:type="dxa"/>
          </w:tcPr>
          <w:p w:rsidR="00215D41" w:rsidRPr="0075321F" w:rsidRDefault="00215D41" w:rsidP="00215D41">
            <w:pPr>
              <w:snapToGrid w:val="0"/>
              <w:rPr>
                <w:rFonts w:eastAsia="標楷體"/>
                <w:kern w:val="0"/>
                <w:sz w:val="26"/>
                <w:szCs w:val="26"/>
                <w:lang w:eastAsia="zh-HK"/>
              </w:rPr>
            </w:pPr>
            <w:r w:rsidRPr="0075321F">
              <w:rPr>
                <w:rFonts w:eastAsia="標楷體"/>
                <w:kern w:val="0"/>
                <w:sz w:val="26"/>
                <w:szCs w:val="26"/>
                <w:lang w:eastAsia="zh-HK"/>
              </w:rPr>
              <w:t>約當現金</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CE7507" w:rsidRPr="00066C56" w:rsidTr="007D3D7A">
        <w:trPr>
          <w:trHeight w:val="302"/>
        </w:trPr>
        <w:tc>
          <w:tcPr>
            <w:tcW w:w="710" w:type="dxa"/>
            <w:tcBorders>
              <w:top w:val="single" w:sz="4" w:space="0" w:color="auto"/>
              <w:left w:val="single" w:sz="4" w:space="0" w:color="auto"/>
              <w:bottom w:val="single" w:sz="4" w:space="0" w:color="auto"/>
              <w:right w:val="single" w:sz="4" w:space="0" w:color="auto"/>
            </w:tcBorders>
          </w:tcPr>
          <w:p w:rsidR="00CE7507" w:rsidRPr="00DC32EB" w:rsidRDefault="00CE7507" w:rsidP="00CE7507">
            <w:pPr>
              <w:snapToGrid w:val="0"/>
              <w:jc w:val="center"/>
              <w:rPr>
                <w:rFonts w:eastAsia="標楷體"/>
                <w:color w:val="000000" w:themeColor="text1"/>
              </w:rPr>
            </w:pPr>
            <w:r w:rsidRPr="00DC32EB">
              <w:rPr>
                <w:rFonts w:eastAsia="標楷體" w:hint="eastAsia"/>
                <w:color w:val="000000" w:themeColor="text1"/>
              </w:rPr>
              <w:t>75</w:t>
            </w:r>
          </w:p>
        </w:tc>
        <w:tc>
          <w:tcPr>
            <w:tcW w:w="5953" w:type="dxa"/>
            <w:shd w:val="clear" w:color="auto" w:fill="auto"/>
          </w:tcPr>
          <w:p w:rsidR="00CE7507" w:rsidRPr="00DC32EB" w:rsidRDefault="00CE7507" w:rsidP="00CE7507">
            <w:pPr>
              <w:spacing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金融工具之分類與衡量之修正（</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 xml:space="preserve">FRS </w:t>
            </w:r>
            <w:r w:rsidRPr="00DC32EB">
              <w:rPr>
                <w:rFonts w:eastAsia="標楷體" w:hint="eastAsia"/>
                <w:color w:val="000000" w:themeColor="text1"/>
                <w:kern w:val="0"/>
                <w:sz w:val="26"/>
                <w:szCs w:val="26"/>
              </w:rPr>
              <w:t>9</w:t>
            </w:r>
            <w:r w:rsidRPr="00DC32EB">
              <w:rPr>
                <w:rFonts w:eastAsia="標楷體" w:hint="eastAsia"/>
                <w:color w:val="000000" w:themeColor="text1"/>
                <w:kern w:val="0"/>
                <w:sz w:val="26"/>
                <w:szCs w:val="26"/>
              </w:rPr>
              <w:t>及</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 xml:space="preserve">FRS </w:t>
            </w:r>
            <w:r w:rsidRPr="00DC32EB">
              <w:rPr>
                <w:rFonts w:eastAsia="標楷體" w:hint="eastAsia"/>
                <w:color w:val="000000" w:themeColor="text1"/>
                <w:kern w:val="0"/>
                <w:sz w:val="26"/>
                <w:szCs w:val="26"/>
              </w:rPr>
              <w:t>7</w:t>
            </w:r>
            <w:r w:rsidRPr="00DC32EB">
              <w:rPr>
                <w:rFonts w:eastAsia="標楷體" w:hint="eastAsia"/>
                <w:color w:val="000000" w:themeColor="text1"/>
                <w:kern w:val="0"/>
                <w:sz w:val="26"/>
                <w:szCs w:val="26"/>
              </w:rPr>
              <w:t>之修正）於</w:t>
            </w:r>
            <w:r w:rsidRPr="00DC32EB">
              <w:rPr>
                <w:rFonts w:eastAsia="標楷體" w:hint="eastAsia"/>
                <w:color w:val="000000" w:themeColor="text1"/>
                <w:kern w:val="0"/>
                <w:sz w:val="26"/>
                <w:szCs w:val="26"/>
              </w:rPr>
              <w:t>2024</w:t>
            </w:r>
            <w:r w:rsidRPr="00DC32EB">
              <w:rPr>
                <w:rFonts w:eastAsia="標楷體" w:hint="eastAsia"/>
                <w:color w:val="000000" w:themeColor="text1"/>
                <w:kern w:val="0"/>
                <w:sz w:val="26"/>
                <w:szCs w:val="26"/>
              </w:rPr>
              <w:t>年</w:t>
            </w:r>
            <w:r w:rsidRPr="00DC32EB">
              <w:rPr>
                <w:rFonts w:eastAsia="標楷體" w:hint="eastAsia"/>
                <w:color w:val="000000" w:themeColor="text1"/>
                <w:kern w:val="0"/>
                <w:sz w:val="26"/>
                <w:szCs w:val="26"/>
              </w:rPr>
              <w:t>5</w:t>
            </w:r>
            <w:r w:rsidRPr="00DC32EB">
              <w:rPr>
                <w:rFonts w:eastAsia="標楷體" w:hint="eastAsia"/>
                <w:color w:val="000000" w:themeColor="text1"/>
                <w:kern w:val="0"/>
                <w:sz w:val="26"/>
                <w:szCs w:val="26"/>
              </w:rPr>
              <w:t>月發布，自</w:t>
            </w:r>
            <w:r w:rsidRPr="00DC32EB">
              <w:rPr>
                <w:rFonts w:eastAsia="標楷體" w:hint="eastAsia"/>
                <w:color w:val="000000" w:themeColor="text1"/>
                <w:kern w:val="0"/>
                <w:sz w:val="26"/>
                <w:szCs w:val="26"/>
              </w:rPr>
              <w:t>2026</w:t>
            </w:r>
            <w:r w:rsidRPr="00DC32EB">
              <w:rPr>
                <w:rFonts w:eastAsia="標楷體" w:hint="eastAsia"/>
                <w:color w:val="000000" w:themeColor="text1"/>
                <w:kern w:val="0"/>
                <w:sz w:val="26"/>
                <w:szCs w:val="26"/>
              </w:rPr>
              <w:t>年</w:t>
            </w:r>
            <w:r w:rsidRPr="00DC32EB">
              <w:rPr>
                <w:rFonts w:eastAsia="標楷體" w:hint="eastAsia"/>
                <w:color w:val="000000" w:themeColor="text1"/>
                <w:kern w:val="0"/>
                <w:sz w:val="26"/>
                <w:szCs w:val="26"/>
              </w:rPr>
              <w:t>1</w:t>
            </w:r>
            <w:r w:rsidRPr="00DC32EB">
              <w:rPr>
                <w:rFonts w:eastAsia="標楷體" w:hint="eastAsia"/>
                <w:color w:val="000000" w:themeColor="text1"/>
                <w:kern w:val="0"/>
                <w:sz w:val="26"/>
                <w:szCs w:val="26"/>
              </w:rPr>
              <w:t>月</w:t>
            </w:r>
            <w:r w:rsidRPr="00DC32EB">
              <w:rPr>
                <w:rFonts w:eastAsia="標楷體" w:hint="eastAsia"/>
                <w:color w:val="000000" w:themeColor="text1"/>
                <w:kern w:val="0"/>
                <w:sz w:val="26"/>
                <w:szCs w:val="26"/>
              </w:rPr>
              <w:t>1</w:t>
            </w:r>
            <w:r w:rsidRPr="00DC32EB">
              <w:rPr>
                <w:rFonts w:eastAsia="標楷體" w:hint="eastAsia"/>
                <w:color w:val="000000" w:themeColor="text1"/>
                <w:kern w:val="0"/>
                <w:sz w:val="26"/>
                <w:szCs w:val="26"/>
              </w:rPr>
              <w:t>日或以後開始之年度期間生效。</w:t>
            </w:r>
          </w:p>
          <w:p w:rsidR="00CE7507" w:rsidRPr="00DC32EB" w:rsidRDefault="00CE7507" w:rsidP="00CE7507">
            <w:pPr>
              <w:spacing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儘管該修正並未改變金融資產除列規定，惟於結論基礎</w:t>
            </w:r>
            <w:r w:rsidRPr="00DC32EB">
              <w:rPr>
                <w:rFonts w:eastAsia="標楷體" w:hint="eastAsia"/>
                <w:color w:val="000000" w:themeColor="text1"/>
                <w:kern w:val="0"/>
                <w:sz w:val="26"/>
                <w:szCs w:val="26"/>
              </w:rPr>
              <w:t>(BC3.38~ BC3.60)</w:t>
            </w:r>
            <w:r w:rsidRPr="00DC32EB">
              <w:rPr>
                <w:rFonts w:eastAsia="標楷體" w:hint="eastAsia"/>
                <w:color w:val="000000" w:themeColor="text1"/>
                <w:kern w:val="0"/>
                <w:sz w:val="26"/>
                <w:szCs w:val="26"/>
              </w:rPr>
              <w:t>闡明「僅於該現金被收取時，此一權利（即收取現金之權利）始失效」，因此，依現行</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 9.3.2.3</w:t>
            </w:r>
            <w:r w:rsidRPr="00DC32EB">
              <w:rPr>
                <w:rFonts w:eastAsia="標楷體" w:hint="eastAsia"/>
                <w:color w:val="000000" w:themeColor="text1"/>
                <w:kern w:val="0"/>
                <w:sz w:val="26"/>
                <w:szCs w:val="26"/>
              </w:rPr>
              <w:t>規定，僅於收取現金時始應除列金融資產，惟該作法與現行實務可能不一致。例如，企業已交銀行託收之應收票據，若於資產</w:t>
            </w:r>
            <w:proofErr w:type="gramStart"/>
            <w:r w:rsidRPr="00DC32EB">
              <w:rPr>
                <w:rFonts w:eastAsia="標楷體" w:hint="eastAsia"/>
                <w:color w:val="000000" w:themeColor="text1"/>
                <w:kern w:val="0"/>
                <w:sz w:val="26"/>
                <w:szCs w:val="26"/>
              </w:rPr>
              <w:t>負債表日尚未</w:t>
            </w:r>
            <w:proofErr w:type="gramEnd"/>
            <w:r w:rsidRPr="00DC32EB">
              <w:rPr>
                <w:rFonts w:eastAsia="標楷體" w:hint="eastAsia"/>
                <w:color w:val="000000" w:themeColor="text1"/>
                <w:kern w:val="0"/>
                <w:sz w:val="26"/>
                <w:szCs w:val="26"/>
              </w:rPr>
              <w:t>兌現，依現行實務係於交付託收時即除列應收帳款，並認列在途存款；然而，依結論基礎之闡明，僅於企業已收取現金時，始應除列應收票據。</w:t>
            </w:r>
          </w:p>
          <w:p w:rsidR="009C49FF" w:rsidRPr="00DC32EB" w:rsidRDefault="009C49FF" w:rsidP="005D5782">
            <w:pPr>
              <w:spacing w:before="240"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延續上題，修正條文闡明應用現行</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 9.3.3.1</w:t>
            </w:r>
            <w:r w:rsidRPr="00DC32EB">
              <w:rPr>
                <w:rFonts w:eastAsia="標楷體" w:hint="eastAsia"/>
                <w:color w:val="000000" w:themeColor="text1"/>
                <w:kern w:val="0"/>
                <w:sz w:val="26"/>
                <w:szCs w:val="26"/>
              </w:rPr>
              <w:t>規定時，清償金融負債係於交割日予以除列（符合修正條文</w:t>
            </w:r>
            <w:r w:rsidRPr="00DC32EB">
              <w:rPr>
                <w:rFonts w:eastAsia="標楷體" w:hint="eastAsia"/>
                <w:color w:val="000000" w:themeColor="text1"/>
                <w:kern w:val="0"/>
                <w:sz w:val="26"/>
                <w:szCs w:val="26"/>
              </w:rPr>
              <w:t>B3.3.8</w:t>
            </w:r>
            <w:r w:rsidRPr="00DC32EB">
              <w:rPr>
                <w:rFonts w:eastAsia="標楷體" w:hint="eastAsia"/>
                <w:color w:val="000000" w:themeColor="text1"/>
                <w:kern w:val="0"/>
                <w:sz w:val="26"/>
                <w:szCs w:val="26"/>
              </w:rPr>
              <w:t>例外條件之金融負債除外）。儘管該修正並未改變某些類型清償金融負債之除列規定，但該作法與現行實務可能不一致。例如，企業開立之支票已於資產</w:t>
            </w:r>
            <w:proofErr w:type="gramStart"/>
            <w:r w:rsidRPr="00DC32EB">
              <w:rPr>
                <w:rFonts w:eastAsia="標楷體" w:hint="eastAsia"/>
                <w:color w:val="000000" w:themeColor="text1"/>
                <w:kern w:val="0"/>
                <w:sz w:val="26"/>
                <w:szCs w:val="26"/>
              </w:rPr>
              <w:t>負債表日到期</w:t>
            </w:r>
            <w:proofErr w:type="gramEnd"/>
            <w:r w:rsidRPr="00DC32EB">
              <w:rPr>
                <w:rFonts w:eastAsia="標楷體" w:hint="eastAsia"/>
                <w:color w:val="000000" w:themeColor="text1"/>
                <w:kern w:val="0"/>
                <w:sz w:val="26"/>
                <w:szCs w:val="26"/>
              </w:rPr>
              <w:t>，若持票人尚未至銀行兌現，現行實務下企業係於票據到期時除列應付票據及銀行存款；惟依結論基礎之闡明，僅於企業已付現時始符合除列應付票據。</w:t>
            </w:r>
          </w:p>
          <w:p w:rsidR="009C49FF" w:rsidRPr="00DC32EB" w:rsidRDefault="009C49FF" w:rsidP="005D5782">
            <w:pPr>
              <w:spacing w:before="240"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請問：</w:t>
            </w:r>
          </w:p>
          <w:p w:rsidR="009C49FF" w:rsidRPr="00DC32EB" w:rsidRDefault="009C49FF" w:rsidP="009C49FF">
            <w:pPr>
              <w:spacing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1</w:t>
            </w:r>
            <w:r w:rsidRPr="00DC32EB">
              <w:rPr>
                <w:rFonts w:eastAsia="標楷體"/>
                <w:color w:val="000000" w:themeColor="text1"/>
                <w:kern w:val="0"/>
                <w:sz w:val="26"/>
                <w:szCs w:val="26"/>
              </w:rPr>
              <w:t>.</w:t>
            </w:r>
            <w:r w:rsidRPr="00DC32EB">
              <w:rPr>
                <w:rFonts w:eastAsia="標楷體" w:hint="eastAsia"/>
                <w:color w:val="000000" w:themeColor="text1"/>
                <w:kern w:val="0"/>
                <w:sz w:val="26"/>
                <w:szCs w:val="26"/>
              </w:rPr>
              <w:t>企業是否於上開修正條文生效時，一併處理此實務差異？可否提前調整？</w:t>
            </w:r>
          </w:p>
          <w:p w:rsidR="00B47263" w:rsidRDefault="009C49FF" w:rsidP="009C49FF">
            <w:pPr>
              <w:spacing w:line="320" w:lineRule="atLeast"/>
              <w:jc w:val="both"/>
              <w:rPr>
                <w:rFonts w:eastAsia="標楷體"/>
                <w:color w:val="000000" w:themeColor="text1"/>
                <w:kern w:val="0"/>
                <w:sz w:val="26"/>
                <w:szCs w:val="26"/>
              </w:rPr>
            </w:pPr>
            <w:r w:rsidRPr="00DC32EB">
              <w:rPr>
                <w:rFonts w:eastAsia="標楷體"/>
                <w:color w:val="000000" w:themeColor="text1"/>
                <w:kern w:val="0"/>
                <w:sz w:val="26"/>
                <w:szCs w:val="26"/>
              </w:rPr>
              <w:t>2.</w:t>
            </w:r>
            <w:r w:rsidRPr="00DC32EB">
              <w:rPr>
                <w:rFonts w:eastAsia="標楷體" w:hint="eastAsia"/>
                <w:color w:val="000000" w:themeColor="text1"/>
                <w:kern w:val="0"/>
                <w:sz w:val="26"/>
                <w:szCs w:val="26"/>
              </w:rPr>
              <w:t>相關差異調整是否適用此修正條文之過渡處理規定？</w:t>
            </w:r>
          </w:p>
          <w:p w:rsidR="00A37FA2" w:rsidRPr="00DC32EB" w:rsidRDefault="00A37FA2" w:rsidP="009C49FF">
            <w:pPr>
              <w:spacing w:line="320" w:lineRule="atLeast"/>
              <w:jc w:val="both"/>
              <w:rPr>
                <w:rFonts w:eastAsia="標楷體"/>
                <w:color w:val="000000" w:themeColor="text1"/>
                <w:kern w:val="0"/>
                <w:sz w:val="26"/>
                <w:szCs w:val="26"/>
              </w:rPr>
            </w:pPr>
          </w:p>
        </w:tc>
        <w:tc>
          <w:tcPr>
            <w:tcW w:w="5245" w:type="dxa"/>
            <w:shd w:val="clear" w:color="auto" w:fill="auto"/>
          </w:tcPr>
          <w:p w:rsidR="009C49FF" w:rsidRPr="00DC32EB" w:rsidRDefault="009C49FF" w:rsidP="0073558C">
            <w:pPr>
              <w:pStyle w:val="af1"/>
              <w:widowControl/>
              <w:numPr>
                <w:ilvl w:val="0"/>
                <w:numId w:val="10"/>
              </w:numPr>
              <w:spacing w:line="320" w:lineRule="atLeast"/>
              <w:ind w:leftChars="0"/>
              <w:jc w:val="both"/>
              <w:rPr>
                <w:rFonts w:eastAsia="標楷體" w:cstheme="minorHAnsi"/>
                <w:color w:val="000000" w:themeColor="text1"/>
                <w:sz w:val="26"/>
                <w:szCs w:val="26"/>
              </w:rPr>
            </w:pPr>
            <w:r w:rsidRPr="00DC32EB">
              <w:rPr>
                <w:rFonts w:eastAsia="標楷體" w:cstheme="minorHAnsi" w:hint="eastAsia"/>
                <w:color w:val="000000" w:themeColor="text1"/>
                <w:sz w:val="26"/>
                <w:szCs w:val="26"/>
              </w:rPr>
              <w:t>因修正前</w:t>
            </w:r>
            <w:r w:rsidRPr="00DC32EB">
              <w:rPr>
                <w:rFonts w:eastAsia="標楷體" w:cstheme="minorHAnsi" w:hint="eastAsia"/>
                <w:color w:val="000000" w:themeColor="text1"/>
                <w:sz w:val="26"/>
                <w:szCs w:val="26"/>
              </w:rPr>
              <w:t>I</w:t>
            </w:r>
            <w:r w:rsidRPr="00DC32EB">
              <w:rPr>
                <w:rFonts w:eastAsia="標楷體" w:cstheme="minorHAnsi"/>
                <w:color w:val="000000" w:themeColor="text1"/>
                <w:sz w:val="26"/>
                <w:szCs w:val="26"/>
              </w:rPr>
              <w:t>FRS 9</w:t>
            </w:r>
            <w:r w:rsidRPr="00DC32EB">
              <w:rPr>
                <w:rFonts w:eastAsia="標楷體" w:cstheme="minorHAnsi" w:hint="eastAsia"/>
                <w:color w:val="000000" w:themeColor="text1"/>
                <w:sz w:val="26"/>
                <w:szCs w:val="26"/>
              </w:rPr>
              <w:t>對於企業須認</w:t>
            </w:r>
            <w:proofErr w:type="gramStart"/>
            <w:r w:rsidRPr="00DC32EB">
              <w:rPr>
                <w:rFonts w:eastAsia="標楷體" w:cstheme="minorHAnsi" w:hint="eastAsia"/>
                <w:color w:val="000000" w:themeColor="text1"/>
                <w:sz w:val="26"/>
                <w:szCs w:val="26"/>
              </w:rPr>
              <w:t>列或除列</w:t>
            </w:r>
            <w:proofErr w:type="gramEnd"/>
            <w:r w:rsidRPr="00DC32EB">
              <w:rPr>
                <w:rFonts w:eastAsia="標楷體" w:cstheme="minorHAnsi" w:hint="eastAsia"/>
                <w:color w:val="000000" w:themeColor="text1"/>
                <w:sz w:val="26"/>
                <w:szCs w:val="26"/>
              </w:rPr>
              <w:t>金融資產及金融負債之日期規定不甚明確，故</w:t>
            </w:r>
            <w:r w:rsidRPr="00DC32EB">
              <w:rPr>
                <w:rFonts w:eastAsia="標楷體" w:cstheme="minorHAnsi" w:hint="eastAsia"/>
                <w:color w:val="000000" w:themeColor="text1"/>
                <w:sz w:val="26"/>
                <w:szCs w:val="26"/>
              </w:rPr>
              <w:t>IASB</w:t>
            </w:r>
            <w:r w:rsidRPr="00DC32EB">
              <w:rPr>
                <w:rFonts w:eastAsia="標楷體" w:cstheme="minorHAnsi" w:hint="eastAsia"/>
                <w:color w:val="000000" w:themeColor="text1"/>
                <w:sz w:val="26"/>
                <w:szCs w:val="26"/>
              </w:rPr>
              <w:t>決定修正</w:t>
            </w:r>
            <w:r w:rsidRPr="00DC32EB">
              <w:rPr>
                <w:rFonts w:eastAsia="標楷體" w:cstheme="minorHAnsi" w:hint="eastAsia"/>
                <w:color w:val="000000" w:themeColor="text1"/>
                <w:sz w:val="26"/>
                <w:szCs w:val="26"/>
              </w:rPr>
              <w:t>IFRS</w:t>
            </w:r>
            <w:r w:rsidRPr="00DC32EB">
              <w:rPr>
                <w:rFonts w:eastAsia="標楷體" w:cstheme="minorHAnsi"/>
                <w:color w:val="000000" w:themeColor="text1"/>
                <w:sz w:val="26"/>
                <w:szCs w:val="26"/>
              </w:rPr>
              <w:t xml:space="preserve"> 9</w:t>
            </w:r>
            <w:r w:rsidRPr="00DC32EB">
              <w:rPr>
                <w:rFonts w:eastAsia="標楷體" w:cstheme="minorHAnsi" w:hint="eastAsia"/>
                <w:color w:val="000000" w:themeColor="text1"/>
                <w:sz w:val="26"/>
                <w:szCs w:val="26"/>
              </w:rPr>
              <w:t>予以闡明</w:t>
            </w:r>
            <w:proofErr w:type="gramStart"/>
            <w:r w:rsidRPr="00DC32EB">
              <w:rPr>
                <w:rFonts w:eastAsia="標楷體" w:cstheme="minorHAnsi" w:hint="eastAsia"/>
                <w:color w:val="000000" w:themeColor="text1"/>
                <w:sz w:val="26"/>
                <w:szCs w:val="26"/>
              </w:rPr>
              <w:t>（</w:t>
            </w:r>
            <w:proofErr w:type="gramEnd"/>
            <w:r w:rsidRPr="00DC32EB">
              <w:rPr>
                <w:rFonts w:eastAsia="標楷體" w:cstheme="minorHAnsi" w:hint="eastAsia"/>
                <w:color w:val="000000" w:themeColor="text1"/>
                <w:sz w:val="26"/>
                <w:szCs w:val="26"/>
              </w:rPr>
              <w:t>I</w:t>
            </w:r>
            <w:r w:rsidRPr="00DC32EB">
              <w:rPr>
                <w:rFonts w:eastAsia="標楷體" w:cstheme="minorHAnsi"/>
                <w:color w:val="000000" w:themeColor="text1"/>
                <w:sz w:val="26"/>
                <w:szCs w:val="26"/>
              </w:rPr>
              <w:t>FRS 9.BC3.41</w:t>
            </w:r>
            <w:proofErr w:type="gramStart"/>
            <w:r w:rsidRPr="00DC32EB">
              <w:rPr>
                <w:rFonts w:eastAsia="標楷體" w:cstheme="minorHAnsi" w:hint="eastAsia"/>
                <w:color w:val="000000" w:themeColor="text1"/>
                <w:sz w:val="26"/>
                <w:szCs w:val="26"/>
              </w:rPr>
              <w:t>）</w:t>
            </w:r>
            <w:proofErr w:type="gramEnd"/>
            <w:r w:rsidRPr="00DC32EB">
              <w:rPr>
                <w:rFonts w:eastAsia="標楷體" w:cstheme="minorHAnsi" w:hint="eastAsia"/>
                <w:color w:val="000000" w:themeColor="text1"/>
                <w:sz w:val="26"/>
                <w:szCs w:val="26"/>
              </w:rPr>
              <w:t>。當適用</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修正條文時，企業需評估此類交易下金融資產及金融負債除列時點是否受影響，若受影響則應適用</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修正條文之過渡規定處理。</w:t>
            </w:r>
          </w:p>
          <w:p w:rsidR="00CE7507" w:rsidRPr="00DC32EB" w:rsidRDefault="009C49FF" w:rsidP="0073558C">
            <w:pPr>
              <w:pStyle w:val="af1"/>
              <w:widowControl/>
              <w:numPr>
                <w:ilvl w:val="0"/>
                <w:numId w:val="10"/>
              </w:numPr>
              <w:spacing w:line="320" w:lineRule="atLeast"/>
              <w:ind w:leftChars="0"/>
              <w:jc w:val="both"/>
              <w:rPr>
                <w:rFonts w:eastAsia="標楷體" w:cstheme="minorHAnsi"/>
                <w:color w:val="000000" w:themeColor="text1"/>
                <w:sz w:val="26"/>
                <w:szCs w:val="26"/>
              </w:rPr>
            </w:pPr>
            <w:r w:rsidRPr="00DC32EB">
              <w:rPr>
                <w:rFonts w:eastAsia="標楷體" w:cstheme="minorHAnsi" w:hint="eastAsia"/>
                <w:color w:val="000000" w:themeColor="text1"/>
                <w:sz w:val="26"/>
                <w:szCs w:val="26"/>
              </w:rPr>
              <w:t>若企業在適用</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修正條文之前已提前調整金融資產及金融負債之除列時點，實務權宜上亦可參照</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修正條文之過渡規定處理，並適用於本問答集發布日後公告申報之財務報告，無須依</w:t>
            </w:r>
            <w:r w:rsidRPr="00DC32EB">
              <w:rPr>
                <w:rFonts w:eastAsia="標楷體" w:cstheme="minorHAnsi" w:hint="eastAsia"/>
                <w:color w:val="000000" w:themeColor="text1"/>
                <w:sz w:val="26"/>
                <w:szCs w:val="26"/>
              </w:rPr>
              <w:t>IAS 8</w:t>
            </w:r>
            <w:r w:rsidRPr="00DC32EB">
              <w:rPr>
                <w:rFonts w:eastAsia="標楷體" w:cstheme="minorHAnsi" w:hint="eastAsia"/>
                <w:color w:val="000000" w:themeColor="text1"/>
                <w:sz w:val="26"/>
                <w:szCs w:val="26"/>
              </w:rPr>
              <w:t>規定追溯適用。</w:t>
            </w:r>
          </w:p>
        </w:tc>
        <w:tc>
          <w:tcPr>
            <w:tcW w:w="1418" w:type="dxa"/>
          </w:tcPr>
          <w:p w:rsidR="00CE7507" w:rsidRPr="00DC32EB" w:rsidRDefault="00CE7507" w:rsidP="00A666A8">
            <w:pPr>
              <w:snapToGrid w:val="0"/>
              <w:jc w:val="both"/>
              <w:rPr>
                <w:rFonts w:eastAsia="標楷體"/>
                <w:color w:val="000000" w:themeColor="text1"/>
                <w:kern w:val="0"/>
                <w:sz w:val="26"/>
                <w:szCs w:val="26"/>
              </w:rPr>
            </w:pPr>
            <w:r w:rsidRPr="00DC32EB">
              <w:rPr>
                <w:rFonts w:eastAsia="標楷體" w:hint="eastAsia"/>
                <w:color w:val="000000" w:themeColor="text1"/>
                <w:kern w:val="0"/>
                <w:sz w:val="26"/>
                <w:szCs w:val="26"/>
              </w:rPr>
              <w:t>I</w:t>
            </w:r>
            <w:r w:rsidR="002A34B9" w:rsidRPr="00DC32EB">
              <w:rPr>
                <w:rFonts w:eastAsia="標楷體"/>
                <w:color w:val="000000" w:themeColor="text1"/>
                <w:kern w:val="0"/>
                <w:sz w:val="26"/>
                <w:szCs w:val="26"/>
              </w:rPr>
              <w:t>F</w:t>
            </w:r>
            <w:r w:rsidRPr="00DC32EB">
              <w:rPr>
                <w:rFonts w:eastAsia="標楷體"/>
                <w:color w:val="000000" w:themeColor="text1"/>
                <w:kern w:val="0"/>
                <w:sz w:val="26"/>
                <w:szCs w:val="26"/>
              </w:rPr>
              <w:t>R</w:t>
            </w:r>
            <w:r w:rsidR="002A34B9" w:rsidRPr="00DC32EB">
              <w:rPr>
                <w:rFonts w:eastAsia="標楷體"/>
                <w:color w:val="000000" w:themeColor="text1"/>
                <w:kern w:val="0"/>
                <w:sz w:val="26"/>
                <w:szCs w:val="26"/>
              </w:rPr>
              <w:t>S</w:t>
            </w:r>
            <w:r w:rsidR="00C14156" w:rsidRPr="00DC32EB">
              <w:rPr>
                <w:rFonts w:eastAsia="標楷體" w:hint="eastAsia"/>
                <w:color w:val="000000" w:themeColor="text1"/>
                <w:kern w:val="0"/>
                <w:sz w:val="26"/>
                <w:szCs w:val="26"/>
              </w:rPr>
              <w:t xml:space="preserve"> </w:t>
            </w:r>
            <w:r w:rsidRPr="00DC32EB">
              <w:rPr>
                <w:rFonts w:eastAsia="標楷體"/>
                <w:color w:val="000000" w:themeColor="text1"/>
                <w:kern w:val="0"/>
                <w:sz w:val="26"/>
                <w:szCs w:val="26"/>
              </w:rPr>
              <w:t>9</w:t>
            </w:r>
            <w:r w:rsidRPr="00DC32EB">
              <w:rPr>
                <w:rFonts w:eastAsia="標楷體" w:hint="eastAsia"/>
                <w:color w:val="000000" w:themeColor="text1"/>
                <w:kern w:val="0"/>
                <w:sz w:val="26"/>
                <w:szCs w:val="26"/>
              </w:rPr>
              <w:t>之修正</w:t>
            </w:r>
          </w:p>
        </w:tc>
        <w:tc>
          <w:tcPr>
            <w:tcW w:w="1417" w:type="dxa"/>
            <w:tcBorders>
              <w:top w:val="single" w:sz="4" w:space="0" w:color="auto"/>
              <w:left w:val="single" w:sz="4" w:space="0" w:color="auto"/>
              <w:bottom w:val="single" w:sz="4" w:space="0" w:color="auto"/>
              <w:right w:val="single" w:sz="4" w:space="0" w:color="auto"/>
            </w:tcBorders>
          </w:tcPr>
          <w:p w:rsidR="00CE7507" w:rsidRPr="00DC32EB" w:rsidRDefault="00CE7507" w:rsidP="001A29A7">
            <w:pPr>
              <w:snapToGrid w:val="0"/>
              <w:jc w:val="center"/>
              <w:rPr>
                <w:rFonts w:eastAsia="標楷體"/>
                <w:color w:val="000000" w:themeColor="text1"/>
              </w:rPr>
            </w:pPr>
            <w:r w:rsidRPr="00DC32EB">
              <w:rPr>
                <w:rFonts w:eastAsia="標楷體" w:hint="eastAsia"/>
                <w:color w:val="000000" w:themeColor="text1"/>
              </w:rPr>
              <w:t>113.12.06</w:t>
            </w:r>
          </w:p>
        </w:tc>
      </w:tr>
      <w:tr w:rsidR="00F8727F" w:rsidRPr="00066C56" w:rsidTr="007D3D7A">
        <w:trPr>
          <w:trHeight w:val="302"/>
        </w:trPr>
        <w:tc>
          <w:tcPr>
            <w:tcW w:w="710" w:type="dxa"/>
            <w:tcBorders>
              <w:top w:val="single" w:sz="4" w:space="0" w:color="auto"/>
              <w:left w:val="single" w:sz="4" w:space="0" w:color="auto"/>
              <w:bottom w:val="single" w:sz="4" w:space="0" w:color="auto"/>
              <w:right w:val="single" w:sz="4" w:space="0" w:color="auto"/>
            </w:tcBorders>
          </w:tcPr>
          <w:p w:rsidR="00F8727F" w:rsidRPr="00DC32EB" w:rsidRDefault="00F8727F" w:rsidP="00F8727F">
            <w:pPr>
              <w:snapToGrid w:val="0"/>
              <w:jc w:val="center"/>
              <w:rPr>
                <w:rFonts w:eastAsia="標楷體"/>
                <w:color w:val="000000" w:themeColor="text1"/>
              </w:rPr>
            </w:pPr>
            <w:r>
              <w:rPr>
                <w:rFonts w:eastAsia="標楷體" w:hint="eastAsia"/>
                <w:color w:val="000000" w:themeColor="text1"/>
              </w:rPr>
              <w:t>76</w:t>
            </w:r>
          </w:p>
        </w:tc>
        <w:tc>
          <w:tcPr>
            <w:tcW w:w="5953" w:type="dxa"/>
            <w:shd w:val="clear" w:color="auto" w:fill="auto"/>
          </w:tcPr>
          <w:p w:rsidR="00072928" w:rsidRDefault="00072928" w:rsidP="003D418A">
            <w:pPr>
              <w:widowControl/>
              <w:spacing w:line="320" w:lineRule="atLeast"/>
              <w:jc w:val="both"/>
              <w:rPr>
                <w:rFonts w:eastAsia="標楷體" w:cs="標楷體"/>
                <w:sz w:val="26"/>
                <w:szCs w:val="26"/>
              </w:rPr>
            </w:pPr>
            <w:r w:rsidRPr="00072928">
              <w:rPr>
                <w:rFonts w:eastAsia="標楷體" w:cs="標楷體" w:hint="eastAsia"/>
                <w:sz w:val="26"/>
                <w:szCs w:val="26"/>
              </w:rPr>
              <w:t>依據「</w:t>
            </w:r>
            <w:proofErr w:type="gramStart"/>
            <w:r w:rsidRPr="00072928">
              <w:rPr>
                <w:rFonts w:eastAsia="標楷體" w:cs="標楷體" w:hint="eastAsia"/>
                <w:sz w:val="26"/>
                <w:szCs w:val="26"/>
              </w:rPr>
              <w:t>碳費收費</w:t>
            </w:r>
            <w:proofErr w:type="gramEnd"/>
            <w:r w:rsidRPr="00072928">
              <w:rPr>
                <w:rFonts w:eastAsia="標楷體" w:cs="標楷體" w:hint="eastAsia"/>
                <w:sz w:val="26"/>
                <w:szCs w:val="26"/>
              </w:rPr>
              <w:t>辦法」，企業所須繳納</w:t>
            </w:r>
            <w:proofErr w:type="gramStart"/>
            <w:r w:rsidRPr="00072928">
              <w:rPr>
                <w:rFonts w:eastAsia="標楷體" w:cs="標楷體" w:hint="eastAsia"/>
                <w:sz w:val="26"/>
                <w:szCs w:val="26"/>
              </w:rPr>
              <w:t>之碳費</w:t>
            </w:r>
            <w:proofErr w:type="gramEnd"/>
            <w:r w:rsidRPr="00072928">
              <w:rPr>
                <w:rFonts w:eastAsia="標楷體" w:cs="標楷體" w:hint="eastAsia"/>
                <w:sz w:val="26"/>
                <w:szCs w:val="26"/>
              </w:rPr>
              <w:t>，其相關之會計處理為何</w:t>
            </w:r>
            <w:r w:rsidRPr="00072928">
              <w:rPr>
                <w:rFonts w:eastAsia="標楷體" w:cs="標楷體" w:hint="eastAsia"/>
                <w:sz w:val="26"/>
                <w:szCs w:val="26"/>
              </w:rPr>
              <w:t xml:space="preserve">? </w:t>
            </w:r>
            <w:r w:rsidRPr="00072928">
              <w:rPr>
                <w:rFonts w:eastAsia="標楷體" w:cs="標楷體" w:hint="eastAsia"/>
                <w:sz w:val="26"/>
                <w:szCs w:val="26"/>
              </w:rPr>
              <w:t>於財務報表</w:t>
            </w:r>
            <w:r w:rsidRPr="00072928">
              <w:rPr>
                <w:rFonts w:eastAsia="標楷體" w:cs="標楷體" w:hint="eastAsia"/>
                <w:sz w:val="26"/>
                <w:szCs w:val="26"/>
              </w:rPr>
              <w:t>(</w:t>
            </w:r>
            <w:r w:rsidRPr="00072928">
              <w:rPr>
                <w:rFonts w:eastAsia="標楷體" w:cs="標楷體" w:hint="eastAsia"/>
                <w:sz w:val="26"/>
                <w:szCs w:val="26"/>
              </w:rPr>
              <w:t>含期中財務報表</w:t>
            </w:r>
            <w:r w:rsidRPr="00072928">
              <w:rPr>
                <w:rFonts w:eastAsia="標楷體" w:cs="標楷體" w:hint="eastAsia"/>
                <w:sz w:val="26"/>
                <w:szCs w:val="26"/>
              </w:rPr>
              <w:t>)</w:t>
            </w:r>
            <w:r w:rsidRPr="00072928">
              <w:rPr>
                <w:rFonts w:eastAsia="標楷體" w:cs="標楷體" w:hint="eastAsia"/>
                <w:sz w:val="26"/>
                <w:szCs w:val="26"/>
              </w:rPr>
              <w:t>中，企業應如何認列與衡量</w:t>
            </w:r>
            <w:r w:rsidRPr="00072928">
              <w:rPr>
                <w:rFonts w:eastAsia="標楷體" w:cs="標楷體" w:hint="eastAsia"/>
                <w:sz w:val="26"/>
                <w:szCs w:val="26"/>
              </w:rPr>
              <w:t>(</w:t>
            </w:r>
            <w:r w:rsidRPr="00072928">
              <w:rPr>
                <w:rFonts w:eastAsia="標楷體" w:cs="標楷體" w:hint="eastAsia"/>
                <w:sz w:val="26"/>
                <w:szCs w:val="26"/>
              </w:rPr>
              <w:t>含表達與揭露</w:t>
            </w:r>
            <w:r w:rsidRPr="00072928">
              <w:rPr>
                <w:rFonts w:eastAsia="標楷體" w:cs="標楷體" w:hint="eastAsia"/>
                <w:sz w:val="26"/>
                <w:szCs w:val="26"/>
              </w:rPr>
              <w:t xml:space="preserve">) </w:t>
            </w:r>
            <w:r w:rsidRPr="00072928">
              <w:rPr>
                <w:rFonts w:eastAsia="標楷體" w:cs="標楷體" w:hint="eastAsia"/>
                <w:sz w:val="26"/>
                <w:szCs w:val="26"/>
              </w:rPr>
              <w:t>「</w:t>
            </w:r>
            <w:proofErr w:type="gramStart"/>
            <w:r w:rsidRPr="00072928">
              <w:rPr>
                <w:rFonts w:eastAsia="標楷體" w:cs="標楷體" w:hint="eastAsia"/>
                <w:sz w:val="26"/>
                <w:szCs w:val="26"/>
              </w:rPr>
              <w:t>與碳費相關</w:t>
            </w:r>
            <w:proofErr w:type="gramEnd"/>
            <w:r w:rsidRPr="00072928">
              <w:rPr>
                <w:rFonts w:eastAsia="標楷體" w:cs="標楷體" w:hint="eastAsia"/>
                <w:sz w:val="26"/>
                <w:szCs w:val="26"/>
              </w:rPr>
              <w:t>之負債與費用」？</w:t>
            </w:r>
          </w:p>
          <w:p w:rsidR="00072928" w:rsidRDefault="00072928" w:rsidP="003D418A">
            <w:pPr>
              <w:widowControl/>
              <w:spacing w:line="320" w:lineRule="atLeast"/>
              <w:jc w:val="both"/>
              <w:rPr>
                <w:rFonts w:eastAsia="標楷體" w:cs="標楷體"/>
                <w:sz w:val="26"/>
                <w:szCs w:val="26"/>
              </w:rPr>
            </w:pPr>
            <w:r w:rsidRPr="00072928">
              <w:rPr>
                <w:rFonts w:eastAsia="標楷體" w:cs="標楷體" w:hint="eastAsia"/>
                <w:sz w:val="26"/>
                <w:szCs w:val="26"/>
              </w:rPr>
              <w:t>例如：</w:t>
            </w:r>
          </w:p>
          <w:p w:rsidR="00072928" w:rsidRP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公司若有意願</w:t>
            </w:r>
            <w:proofErr w:type="gramStart"/>
            <w:r w:rsidRPr="00072928">
              <w:rPr>
                <w:rFonts w:eastAsia="標楷體" w:cs="標楷體" w:hint="eastAsia"/>
                <w:sz w:val="26"/>
                <w:szCs w:val="26"/>
              </w:rPr>
              <w:t>惟</w:t>
            </w:r>
            <w:proofErr w:type="gramEnd"/>
            <w:r w:rsidRPr="00072928">
              <w:rPr>
                <w:rFonts w:eastAsia="標楷體" w:cs="標楷體" w:hint="eastAsia"/>
                <w:sz w:val="26"/>
                <w:szCs w:val="26"/>
              </w:rPr>
              <w:t>尚未提出自主減量計畫之申請，或是否需已提出自主減量計畫或提出申請認定屬高碳洩漏風險行業，並取得主管機關核</w:t>
            </w:r>
            <w:r w:rsidRPr="00072928">
              <w:rPr>
                <w:rFonts w:eastAsia="標楷體" w:cs="標楷體" w:hint="eastAsia"/>
                <w:sz w:val="26"/>
                <w:szCs w:val="26"/>
              </w:rPr>
              <w:t>(</w:t>
            </w:r>
            <w:r w:rsidRPr="00072928">
              <w:rPr>
                <w:rFonts w:eastAsia="標楷體" w:cs="標楷體" w:hint="eastAsia"/>
                <w:sz w:val="26"/>
                <w:szCs w:val="26"/>
              </w:rPr>
              <w:t>認</w:t>
            </w:r>
            <w:r w:rsidRPr="00072928">
              <w:rPr>
                <w:rFonts w:eastAsia="標楷體" w:cs="標楷體" w:hint="eastAsia"/>
                <w:sz w:val="26"/>
                <w:szCs w:val="26"/>
              </w:rPr>
              <w:t>)</w:t>
            </w:r>
            <w:r w:rsidRPr="00072928">
              <w:rPr>
                <w:rFonts w:eastAsia="標楷體" w:cs="標楷體" w:hint="eastAsia"/>
                <w:sz w:val="26"/>
                <w:szCs w:val="26"/>
              </w:rPr>
              <w:t>定，始得採用優惠費率或採用排放量調整係數值估</w:t>
            </w:r>
            <w:proofErr w:type="gramStart"/>
            <w:r w:rsidRPr="00072928">
              <w:rPr>
                <w:rFonts w:eastAsia="標楷體" w:cs="標楷體" w:hint="eastAsia"/>
                <w:sz w:val="26"/>
                <w:szCs w:val="26"/>
              </w:rPr>
              <w:t>列碳費</w:t>
            </w:r>
            <w:proofErr w:type="gramEnd"/>
            <w:r w:rsidRPr="00072928">
              <w:rPr>
                <w:rFonts w:eastAsia="標楷體" w:cs="標楷體" w:hint="eastAsia"/>
                <w:sz w:val="26"/>
                <w:szCs w:val="26"/>
              </w:rPr>
              <w:t>，又若所提自主減量計畫之執行經主管機關審查結果未達年度指定目標，是否仍可用優惠費率</w:t>
            </w:r>
            <w:proofErr w:type="gramStart"/>
            <w:r w:rsidRPr="00072928">
              <w:rPr>
                <w:rFonts w:eastAsia="標楷體" w:cs="標楷體" w:hint="eastAsia"/>
                <w:sz w:val="26"/>
                <w:szCs w:val="26"/>
              </w:rPr>
              <w:t>估計碳費</w:t>
            </w:r>
            <w:proofErr w:type="gramEnd"/>
            <w:r w:rsidRPr="00072928">
              <w:rPr>
                <w:rFonts w:eastAsia="標楷體" w:cs="標楷體" w:hint="eastAsia"/>
                <w:sz w:val="26"/>
                <w:szCs w:val="26"/>
              </w:rPr>
              <w:t>？</w:t>
            </w:r>
          </w:p>
          <w:p w:rsid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又若期中報導期間排放量</w:t>
            </w:r>
            <w:proofErr w:type="gramStart"/>
            <w:r w:rsidRPr="00072928">
              <w:rPr>
                <w:rFonts w:eastAsia="標楷體" w:cs="標楷體" w:hint="eastAsia"/>
                <w:sz w:val="26"/>
                <w:szCs w:val="26"/>
              </w:rPr>
              <w:t>尚未達起徵</w:t>
            </w:r>
            <w:proofErr w:type="gramEnd"/>
            <w:r w:rsidRPr="00072928">
              <w:rPr>
                <w:rFonts w:eastAsia="標楷體" w:cs="標楷體" w:hint="eastAsia"/>
                <w:sz w:val="26"/>
                <w:szCs w:val="26"/>
              </w:rPr>
              <w:t>門檻，惟預期全年度排放量很有</w:t>
            </w:r>
            <w:proofErr w:type="gramStart"/>
            <w:r w:rsidRPr="00072928">
              <w:rPr>
                <w:rFonts w:eastAsia="標楷體" w:cs="標楷體" w:hint="eastAsia"/>
                <w:sz w:val="26"/>
                <w:szCs w:val="26"/>
              </w:rPr>
              <w:t>可能達課徵</w:t>
            </w:r>
            <w:proofErr w:type="gramEnd"/>
            <w:r w:rsidRPr="00072928">
              <w:rPr>
                <w:rFonts w:eastAsia="標楷體" w:cs="標楷體" w:hint="eastAsia"/>
                <w:sz w:val="26"/>
                <w:szCs w:val="26"/>
              </w:rPr>
              <w:t>標準時，企業應</w:t>
            </w:r>
            <w:proofErr w:type="gramStart"/>
            <w:r w:rsidRPr="00072928">
              <w:rPr>
                <w:rFonts w:eastAsia="標楷體" w:cs="標楷體" w:hint="eastAsia"/>
                <w:sz w:val="26"/>
                <w:szCs w:val="26"/>
              </w:rPr>
              <w:t>如何估</w:t>
            </w:r>
            <w:proofErr w:type="gramEnd"/>
            <w:r w:rsidRPr="00072928">
              <w:rPr>
                <w:rFonts w:eastAsia="標楷體" w:cs="標楷體" w:hint="eastAsia"/>
                <w:sz w:val="26"/>
                <w:szCs w:val="26"/>
              </w:rPr>
              <w:t>列相關負債準備？</w:t>
            </w:r>
          </w:p>
          <w:p w:rsid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企業所應支付</w:t>
            </w:r>
            <w:proofErr w:type="gramStart"/>
            <w:r w:rsidRPr="00072928">
              <w:rPr>
                <w:rFonts w:eastAsia="標楷體" w:cs="標楷體" w:hint="eastAsia"/>
                <w:sz w:val="26"/>
                <w:szCs w:val="26"/>
              </w:rPr>
              <w:t>之碳費</w:t>
            </w:r>
            <w:proofErr w:type="gramEnd"/>
            <w:r w:rsidRPr="00072928">
              <w:rPr>
                <w:rFonts w:eastAsia="標楷體" w:cs="標楷體" w:hint="eastAsia"/>
                <w:sz w:val="26"/>
                <w:szCs w:val="26"/>
              </w:rPr>
              <w:t>是否屬</w:t>
            </w:r>
            <w:r w:rsidRPr="00072928">
              <w:rPr>
                <w:rFonts w:eastAsia="標楷體" w:cs="標楷體" w:hint="eastAsia"/>
                <w:sz w:val="26"/>
                <w:szCs w:val="26"/>
              </w:rPr>
              <w:t xml:space="preserve">IAS </w:t>
            </w:r>
            <w:proofErr w:type="gramStart"/>
            <w:r w:rsidRPr="00072928">
              <w:rPr>
                <w:rFonts w:eastAsia="標楷體" w:cs="標楷體" w:hint="eastAsia"/>
                <w:sz w:val="26"/>
                <w:szCs w:val="26"/>
              </w:rPr>
              <w:t>2.12</w:t>
            </w:r>
            <w:r w:rsidRPr="00072928">
              <w:rPr>
                <w:rFonts w:eastAsia="標楷體" w:cs="標楷體" w:hint="eastAsia"/>
                <w:sz w:val="26"/>
                <w:szCs w:val="26"/>
              </w:rPr>
              <w:t>所述</w:t>
            </w:r>
            <w:proofErr w:type="gramEnd"/>
            <w:r w:rsidRPr="00072928">
              <w:rPr>
                <w:rFonts w:eastAsia="標楷體" w:cs="標楷體" w:hint="eastAsia"/>
                <w:sz w:val="26"/>
                <w:szCs w:val="26"/>
              </w:rPr>
              <w:t>存貨加工之直接相關成本，而應依</w:t>
            </w:r>
            <w:r w:rsidRPr="00072928">
              <w:rPr>
                <w:rFonts w:eastAsia="標楷體" w:cs="標楷體" w:hint="eastAsia"/>
                <w:sz w:val="26"/>
                <w:szCs w:val="26"/>
              </w:rPr>
              <w:t>IAS 2.10</w:t>
            </w:r>
            <w:r w:rsidRPr="00072928">
              <w:rPr>
                <w:rFonts w:eastAsia="標楷體" w:cs="標楷體" w:hint="eastAsia"/>
                <w:sz w:val="26"/>
                <w:szCs w:val="26"/>
              </w:rPr>
              <w:t>認列為存貨成本</w:t>
            </w:r>
            <w:r w:rsidRPr="00072928">
              <w:rPr>
                <w:rFonts w:eastAsia="標楷體" w:cs="標楷體" w:hint="eastAsia"/>
                <w:sz w:val="26"/>
                <w:szCs w:val="26"/>
              </w:rPr>
              <w:t>?</w:t>
            </w:r>
            <w:r w:rsidRPr="00072928">
              <w:rPr>
                <w:rFonts w:eastAsia="標楷體" w:cs="標楷體" w:hint="eastAsia"/>
                <w:sz w:val="26"/>
                <w:szCs w:val="26"/>
              </w:rPr>
              <w:t>後續若有重大估計差異，如何調整較為適當？</w:t>
            </w:r>
          </w:p>
          <w:p w:rsidR="00F8727F" w:rsidRP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如果使用過去減量專案下取得的減量額度，但是當時以名目金額</w:t>
            </w:r>
            <w:proofErr w:type="gramStart"/>
            <w:r w:rsidRPr="00072928">
              <w:rPr>
                <w:rFonts w:eastAsia="標楷體" w:cs="標楷體" w:hint="eastAsia"/>
                <w:sz w:val="26"/>
                <w:szCs w:val="26"/>
              </w:rPr>
              <w:t>入帳</w:t>
            </w:r>
            <w:proofErr w:type="gramEnd"/>
            <w:r w:rsidRPr="00072928">
              <w:rPr>
                <w:rFonts w:eastAsia="標楷體" w:cs="標楷體" w:hint="eastAsia"/>
                <w:sz w:val="26"/>
                <w:szCs w:val="26"/>
              </w:rPr>
              <w:t>，</w:t>
            </w:r>
            <w:proofErr w:type="gramStart"/>
            <w:r w:rsidRPr="00072928">
              <w:rPr>
                <w:rFonts w:eastAsia="標楷體" w:cs="標楷體" w:hint="eastAsia"/>
                <w:sz w:val="26"/>
                <w:szCs w:val="26"/>
              </w:rPr>
              <w:t>估計碳費負債</w:t>
            </w:r>
            <w:proofErr w:type="gramEnd"/>
            <w:r w:rsidRPr="00072928">
              <w:rPr>
                <w:rFonts w:eastAsia="標楷體" w:cs="標楷體" w:hint="eastAsia"/>
                <w:sz w:val="26"/>
                <w:szCs w:val="26"/>
              </w:rPr>
              <w:t>時如何納入考量？</w:t>
            </w:r>
          </w:p>
        </w:tc>
        <w:tc>
          <w:tcPr>
            <w:tcW w:w="5245" w:type="dxa"/>
            <w:shd w:val="clear" w:color="auto" w:fill="auto"/>
          </w:tcPr>
          <w:p w:rsidR="00072928" w:rsidRDefault="00072928" w:rsidP="00072928">
            <w:pPr>
              <w:pStyle w:val="af1"/>
              <w:widowControl/>
              <w:numPr>
                <w:ilvl w:val="0"/>
                <w:numId w:val="19"/>
              </w:numPr>
              <w:spacing w:line="320" w:lineRule="atLeast"/>
              <w:ind w:leftChars="0"/>
              <w:jc w:val="both"/>
              <w:rPr>
                <w:rFonts w:eastAsia="標楷體" w:cs="標楷體"/>
                <w:sz w:val="26"/>
                <w:szCs w:val="26"/>
              </w:rPr>
            </w:pPr>
            <w:r w:rsidRPr="00072928">
              <w:rPr>
                <w:rFonts w:eastAsia="標楷體" w:cs="標楷體"/>
                <w:sz w:val="26"/>
                <w:szCs w:val="26"/>
              </w:rPr>
              <w:t>企業於報導期間結束日</w:t>
            </w:r>
            <w:proofErr w:type="gramStart"/>
            <w:r w:rsidRPr="00072928">
              <w:rPr>
                <w:rFonts w:eastAsia="標楷體" w:cs="標楷體"/>
                <w:sz w:val="26"/>
                <w:szCs w:val="26"/>
              </w:rPr>
              <w:t>對碳費</w:t>
            </w:r>
            <w:proofErr w:type="gramEnd"/>
            <w:r w:rsidRPr="00072928">
              <w:rPr>
                <w:rFonts w:eastAsia="標楷體" w:cs="標楷體"/>
                <w:sz w:val="26"/>
                <w:szCs w:val="26"/>
              </w:rPr>
              <w:t>負債準備作會計處理時，應依</w:t>
            </w:r>
            <w:r w:rsidRPr="00072928">
              <w:rPr>
                <w:rFonts w:eastAsia="標楷體" w:cs="標楷體"/>
                <w:sz w:val="26"/>
                <w:szCs w:val="26"/>
              </w:rPr>
              <w:t>IAS 37</w:t>
            </w:r>
            <w:r w:rsidRPr="00072928">
              <w:rPr>
                <w:rFonts w:eastAsia="標楷體" w:cs="標楷體"/>
                <w:sz w:val="26"/>
                <w:szCs w:val="26"/>
              </w:rPr>
              <w:t>之相關規定，由管理階層綜合各項因素予以判斷，以</w:t>
            </w:r>
            <w:r w:rsidRPr="00072928">
              <w:rPr>
                <w:rFonts w:eastAsia="標楷體" w:cs="標楷體" w:hint="eastAsia"/>
                <w:sz w:val="26"/>
                <w:szCs w:val="26"/>
              </w:rPr>
              <w:t>作</w:t>
            </w:r>
            <w:r w:rsidRPr="00072928">
              <w:rPr>
                <w:rFonts w:eastAsia="標楷體" w:cs="標楷體"/>
                <w:sz w:val="26"/>
                <w:szCs w:val="26"/>
              </w:rPr>
              <w:t>出報導期間結束日清償現時義務所需支出之最佳估計值，並據以認</w:t>
            </w:r>
            <w:proofErr w:type="gramStart"/>
            <w:r w:rsidRPr="00072928">
              <w:rPr>
                <w:rFonts w:eastAsia="標楷體" w:cs="標楷體"/>
                <w:sz w:val="26"/>
                <w:szCs w:val="26"/>
              </w:rPr>
              <w:t>列碳費</w:t>
            </w:r>
            <w:proofErr w:type="gramEnd"/>
            <w:r w:rsidRPr="00072928">
              <w:rPr>
                <w:rFonts w:eastAsia="標楷體" w:cs="標楷體"/>
                <w:sz w:val="26"/>
                <w:szCs w:val="26"/>
              </w:rPr>
              <w:t>負債準備：</w:t>
            </w:r>
          </w:p>
          <w:p w:rsidR="00072928" w:rsidRDefault="00072928" w:rsidP="00072928">
            <w:pPr>
              <w:pStyle w:val="af1"/>
              <w:widowControl/>
              <w:numPr>
                <w:ilvl w:val="0"/>
                <w:numId w:val="20"/>
              </w:numPr>
              <w:spacing w:line="320" w:lineRule="atLeast"/>
              <w:ind w:leftChars="0"/>
              <w:jc w:val="both"/>
              <w:rPr>
                <w:rFonts w:eastAsia="標楷體" w:cs="標楷體"/>
                <w:sz w:val="26"/>
                <w:szCs w:val="26"/>
              </w:rPr>
            </w:pPr>
            <w:r w:rsidRPr="00072928">
              <w:rPr>
                <w:rFonts w:eastAsia="標楷體" w:cs="標楷體"/>
                <w:sz w:val="26"/>
                <w:szCs w:val="26"/>
              </w:rPr>
              <w:t>依</w:t>
            </w:r>
            <w:r w:rsidRPr="00072928">
              <w:rPr>
                <w:rFonts w:eastAsia="標楷體" w:cs="標楷體"/>
                <w:sz w:val="26"/>
                <w:szCs w:val="26"/>
              </w:rPr>
              <w:t>IAS 37</w:t>
            </w:r>
            <w:r w:rsidRPr="00072928">
              <w:rPr>
                <w:rFonts w:eastAsia="標楷體" w:cs="標楷體"/>
                <w:sz w:val="26"/>
                <w:szCs w:val="26"/>
              </w:rPr>
              <w:t>第</w:t>
            </w:r>
            <w:r w:rsidRPr="00072928">
              <w:rPr>
                <w:rFonts w:eastAsia="標楷體" w:cs="標楷體"/>
                <w:sz w:val="26"/>
                <w:szCs w:val="26"/>
              </w:rPr>
              <w:t>36</w:t>
            </w:r>
            <w:r w:rsidRPr="00072928">
              <w:rPr>
                <w:rFonts w:eastAsia="標楷體" w:cs="標楷體"/>
                <w:sz w:val="26"/>
                <w:szCs w:val="26"/>
              </w:rPr>
              <w:t>段之規定，認列為負債準備之金額應為報導期間結束日清償現時義務所需支出之最佳估計值。依</w:t>
            </w:r>
            <w:r w:rsidRPr="00072928">
              <w:rPr>
                <w:rFonts w:eastAsia="標楷體" w:cs="標楷體"/>
                <w:sz w:val="26"/>
                <w:szCs w:val="26"/>
              </w:rPr>
              <w:t>IAS37</w:t>
            </w:r>
            <w:r w:rsidRPr="00072928">
              <w:rPr>
                <w:rFonts w:eastAsia="標楷體" w:cs="標楷體"/>
                <w:sz w:val="26"/>
                <w:szCs w:val="26"/>
              </w:rPr>
              <w:t>第</w:t>
            </w:r>
            <w:r w:rsidRPr="00072928">
              <w:rPr>
                <w:rFonts w:eastAsia="標楷體" w:cs="標楷體"/>
                <w:sz w:val="26"/>
                <w:szCs w:val="26"/>
              </w:rPr>
              <w:t>37</w:t>
            </w:r>
            <w:r w:rsidRPr="00072928">
              <w:rPr>
                <w:rFonts w:eastAsia="標楷體" w:cs="標楷體"/>
                <w:sz w:val="26"/>
                <w:szCs w:val="26"/>
              </w:rPr>
              <w:t>段之規定，該負債準備之金額應為企業於報導期間結束日清償該義務，或於此時將該義務移轉予第三方而須合理支付之金額。依</w:t>
            </w:r>
            <w:r w:rsidRPr="00072928">
              <w:rPr>
                <w:rFonts w:eastAsia="標楷體" w:cs="標楷體"/>
                <w:sz w:val="26"/>
                <w:szCs w:val="26"/>
              </w:rPr>
              <w:t>IAS37</w:t>
            </w:r>
            <w:r w:rsidRPr="00072928">
              <w:rPr>
                <w:rFonts w:eastAsia="標楷體" w:cs="標楷體"/>
                <w:sz w:val="26"/>
                <w:szCs w:val="26"/>
              </w:rPr>
              <w:t>第</w:t>
            </w:r>
            <w:r w:rsidRPr="00072928">
              <w:rPr>
                <w:rFonts w:eastAsia="標楷體" w:cs="標楷體"/>
                <w:sz w:val="26"/>
                <w:szCs w:val="26"/>
              </w:rPr>
              <w:t>38</w:t>
            </w:r>
            <w:r w:rsidRPr="00072928">
              <w:rPr>
                <w:rFonts w:eastAsia="標楷體" w:cs="標楷體"/>
                <w:sz w:val="26"/>
                <w:szCs w:val="26"/>
              </w:rPr>
              <w:t>段之規定，（交易之）結果及財務影響之估計值，取決於企業</w:t>
            </w:r>
            <w:bookmarkStart w:id="1" w:name="_Hlk194068042"/>
            <w:r w:rsidRPr="00072928">
              <w:rPr>
                <w:rFonts w:eastAsia="標楷體" w:cs="標楷體"/>
                <w:sz w:val="26"/>
                <w:szCs w:val="26"/>
              </w:rPr>
              <w:t>管理階層之</w:t>
            </w:r>
            <w:bookmarkEnd w:id="1"/>
            <w:r w:rsidRPr="00072928">
              <w:rPr>
                <w:rFonts w:eastAsia="標楷體" w:cs="標楷體"/>
                <w:sz w:val="26"/>
                <w:szCs w:val="26"/>
              </w:rPr>
              <w:t>判斷，佐以相似交易之經驗，以及（於某些情況下）獨立專家之報告。應考慮之證據包括任何報導期間後事項所提供之額外證據。</w:t>
            </w:r>
          </w:p>
          <w:p w:rsidR="00072928" w:rsidRPr="00072928" w:rsidRDefault="00072928" w:rsidP="00072928">
            <w:pPr>
              <w:pStyle w:val="af1"/>
              <w:widowControl/>
              <w:numPr>
                <w:ilvl w:val="0"/>
                <w:numId w:val="20"/>
              </w:numPr>
              <w:spacing w:line="320" w:lineRule="atLeast"/>
              <w:ind w:leftChars="0"/>
              <w:jc w:val="both"/>
              <w:rPr>
                <w:rFonts w:eastAsia="標楷體" w:cs="標楷體"/>
                <w:sz w:val="26"/>
                <w:szCs w:val="26"/>
              </w:rPr>
            </w:pPr>
            <w:r w:rsidRPr="00072928">
              <w:rPr>
                <w:rFonts w:eastAsia="標楷體"/>
                <w:color w:val="000000"/>
                <w:kern w:val="0"/>
                <w:sz w:val="26"/>
                <w:szCs w:val="26"/>
                <w:lang w:val="zh-TW"/>
              </w:rPr>
              <w:t>企業</w:t>
            </w:r>
            <w:r w:rsidRPr="00072928">
              <w:rPr>
                <w:rFonts w:eastAsia="標楷體" w:hint="eastAsia"/>
                <w:color w:val="000000"/>
                <w:kern w:val="0"/>
                <w:sz w:val="26"/>
                <w:szCs w:val="26"/>
                <w:lang w:val="zh-TW"/>
              </w:rPr>
              <w:t>於報導期間結束日前若有意願</w:t>
            </w:r>
            <w:proofErr w:type="gramStart"/>
            <w:r w:rsidRPr="00072928">
              <w:rPr>
                <w:rFonts w:eastAsia="標楷體" w:hint="eastAsia"/>
                <w:color w:val="000000"/>
                <w:kern w:val="0"/>
                <w:sz w:val="26"/>
                <w:szCs w:val="26"/>
                <w:lang w:val="zh-TW"/>
              </w:rPr>
              <w:t>惟</w:t>
            </w:r>
            <w:proofErr w:type="gramEnd"/>
            <w:r w:rsidRPr="00072928">
              <w:rPr>
                <w:rFonts w:eastAsia="標楷體" w:hint="eastAsia"/>
                <w:color w:val="000000"/>
                <w:kern w:val="0"/>
                <w:sz w:val="26"/>
                <w:szCs w:val="26"/>
                <w:lang w:val="zh-TW"/>
              </w:rPr>
              <w:t>尚未提出自主減量計畫或認定屬高碳洩漏風險行業之申請，或已向主管機關提出自主減量計畫或認定屬高碳洩漏風險行業之申請，</w:t>
            </w:r>
            <w:r w:rsidRPr="00072928">
              <w:rPr>
                <w:rFonts w:eastAsia="標楷體"/>
                <w:color w:val="000000"/>
                <w:kern w:val="0"/>
                <w:sz w:val="26"/>
                <w:szCs w:val="26"/>
                <w:lang w:val="zh-TW"/>
              </w:rPr>
              <w:t>應依</w:t>
            </w:r>
            <w:r w:rsidRPr="00072928">
              <w:rPr>
                <w:rFonts w:eastAsia="標楷體"/>
                <w:color w:val="000000"/>
                <w:kern w:val="0"/>
                <w:sz w:val="26"/>
                <w:szCs w:val="26"/>
                <w:lang w:val="zh-TW"/>
              </w:rPr>
              <w:t>IAS 37</w:t>
            </w:r>
            <w:r w:rsidRPr="00072928">
              <w:rPr>
                <w:rFonts w:eastAsia="標楷體"/>
                <w:color w:val="000000"/>
                <w:kern w:val="0"/>
                <w:sz w:val="26"/>
                <w:szCs w:val="26"/>
                <w:lang w:val="zh-TW"/>
              </w:rPr>
              <w:t>相關規定，</w:t>
            </w:r>
            <w:r w:rsidRPr="00072928">
              <w:rPr>
                <w:rFonts w:eastAsia="標楷體" w:hint="eastAsia"/>
                <w:color w:val="000000"/>
                <w:kern w:val="0"/>
                <w:sz w:val="26"/>
                <w:szCs w:val="26"/>
                <w:lang w:val="zh-TW"/>
              </w:rPr>
              <w:t>綜合考量可取得之內部及外部資訊，作為最佳估計值之依據，以</w:t>
            </w:r>
            <w:r w:rsidRPr="00072928">
              <w:rPr>
                <w:rFonts w:eastAsia="標楷體"/>
                <w:color w:val="000000"/>
                <w:kern w:val="0"/>
                <w:sz w:val="26"/>
                <w:szCs w:val="26"/>
                <w:lang w:val="zh-TW"/>
              </w:rPr>
              <w:t>決定應適用優惠費率或一般費率</w:t>
            </w:r>
            <w:r w:rsidRPr="00072928">
              <w:rPr>
                <w:rFonts w:eastAsia="標楷體" w:hint="eastAsia"/>
                <w:color w:val="000000"/>
                <w:kern w:val="0"/>
                <w:sz w:val="26"/>
                <w:szCs w:val="26"/>
                <w:lang w:val="zh-TW"/>
              </w:rPr>
              <w:t>，或</w:t>
            </w:r>
            <w:r w:rsidRPr="00072928">
              <w:rPr>
                <w:rFonts w:eastAsia="標楷體"/>
                <w:color w:val="000000"/>
                <w:kern w:val="0"/>
                <w:sz w:val="26"/>
                <w:szCs w:val="26"/>
                <w:lang w:val="zh-TW"/>
              </w:rPr>
              <w:t>是否使用排放量調整係數值等</w:t>
            </w:r>
            <w:proofErr w:type="gramStart"/>
            <w:r w:rsidRPr="00072928">
              <w:rPr>
                <w:rFonts w:eastAsia="標楷體"/>
                <w:color w:val="000000"/>
                <w:kern w:val="0"/>
                <w:sz w:val="26"/>
                <w:szCs w:val="26"/>
                <w:lang w:val="zh-TW"/>
              </w:rPr>
              <w:t>估計碳費負債</w:t>
            </w:r>
            <w:proofErr w:type="gramEnd"/>
            <w:r w:rsidRPr="00072928">
              <w:rPr>
                <w:rFonts w:eastAsia="標楷體"/>
                <w:color w:val="000000"/>
                <w:kern w:val="0"/>
                <w:sz w:val="26"/>
                <w:szCs w:val="26"/>
                <w:lang w:val="zh-TW"/>
              </w:rPr>
              <w:t>準備</w:t>
            </w:r>
            <w:r w:rsidRPr="00072928">
              <w:rPr>
                <w:rFonts w:eastAsia="標楷體" w:hint="eastAsia"/>
                <w:color w:val="000000"/>
                <w:kern w:val="0"/>
                <w:sz w:val="26"/>
                <w:szCs w:val="26"/>
                <w:lang w:val="zh-TW"/>
              </w:rPr>
              <w:t>，其考量因素應包括（但不限於）公司過去執行</w:t>
            </w:r>
            <w:proofErr w:type="gramStart"/>
            <w:r w:rsidRPr="00072928">
              <w:rPr>
                <w:rFonts w:eastAsia="標楷體" w:hint="eastAsia"/>
                <w:color w:val="000000"/>
                <w:kern w:val="0"/>
                <w:sz w:val="26"/>
                <w:szCs w:val="26"/>
                <w:lang w:val="zh-TW"/>
              </w:rPr>
              <w:t>減碳之</w:t>
            </w:r>
            <w:proofErr w:type="gramEnd"/>
            <w:r w:rsidRPr="00072928">
              <w:rPr>
                <w:rFonts w:eastAsia="標楷體" w:hint="eastAsia"/>
                <w:color w:val="000000"/>
                <w:kern w:val="0"/>
                <w:sz w:val="26"/>
                <w:szCs w:val="26"/>
                <w:lang w:val="zh-TW"/>
              </w:rPr>
              <w:t>經驗或取得</w:t>
            </w:r>
            <w:proofErr w:type="gramStart"/>
            <w:r w:rsidRPr="00072928">
              <w:rPr>
                <w:rFonts w:eastAsia="標楷體" w:hint="eastAsia"/>
                <w:color w:val="000000"/>
                <w:kern w:val="0"/>
                <w:sz w:val="26"/>
                <w:szCs w:val="26"/>
                <w:lang w:val="zh-TW"/>
              </w:rPr>
              <w:t>之減碳結果</w:t>
            </w:r>
            <w:proofErr w:type="gramEnd"/>
            <w:r w:rsidRPr="00072928">
              <w:rPr>
                <w:rFonts w:eastAsia="標楷體" w:hint="eastAsia"/>
                <w:color w:val="000000"/>
                <w:kern w:val="0"/>
                <w:sz w:val="26"/>
                <w:szCs w:val="26"/>
                <w:lang w:val="zh-TW"/>
              </w:rPr>
              <w:t>、自主減量計畫或高碳洩漏風險行業申請之情形、主管機關核定其自主減量計畫或認定為屬高碳洩漏風險行業之可能性或期後取得核定情形、預估達成年度指定目標之情形等。</w:t>
            </w:r>
            <w:proofErr w:type="gramStart"/>
            <w:r w:rsidRPr="00072928">
              <w:rPr>
                <w:rFonts w:eastAsia="標楷體" w:hint="eastAsia"/>
                <w:color w:val="000000"/>
                <w:kern w:val="0"/>
                <w:sz w:val="26"/>
                <w:szCs w:val="26"/>
                <w:lang w:val="zh-TW"/>
              </w:rPr>
              <w:t>此外，</w:t>
            </w:r>
            <w:proofErr w:type="gramEnd"/>
            <w:r w:rsidRPr="00072928">
              <w:rPr>
                <w:rFonts w:eastAsia="標楷體" w:hint="eastAsia"/>
                <w:color w:val="000000"/>
                <w:kern w:val="0"/>
                <w:sz w:val="26"/>
                <w:szCs w:val="26"/>
                <w:lang w:val="zh-TW"/>
              </w:rPr>
              <w:t>企業</w:t>
            </w:r>
            <w:r w:rsidRPr="00072928">
              <w:rPr>
                <w:rFonts w:eastAsia="標楷體"/>
                <w:color w:val="000000"/>
                <w:kern w:val="0"/>
                <w:sz w:val="26"/>
                <w:szCs w:val="26"/>
                <w:lang w:val="zh-TW"/>
              </w:rPr>
              <w:t>應依</w:t>
            </w:r>
            <w:r w:rsidRPr="00072928">
              <w:rPr>
                <w:rFonts w:eastAsia="標楷體"/>
                <w:color w:val="000000"/>
                <w:kern w:val="0"/>
                <w:sz w:val="26"/>
                <w:szCs w:val="26"/>
              </w:rPr>
              <w:t>IAS37</w:t>
            </w:r>
            <w:r w:rsidRPr="00072928">
              <w:rPr>
                <w:rFonts w:eastAsia="標楷體"/>
                <w:color w:val="000000"/>
                <w:kern w:val="0"/>
                <w:sz w:val="26"/>
                <w:szCs w:val="26"/>
                <w:lang w:val="zh-TW"/>
              </w:rPr>
              <w:t>第</w:t>
            </w:r>
            <w:r w:rsidRPr="00072928">
              <w:rPr>
                <w:rFonts w:eastAsia="標楷體" w:hint="eastAsia"/>
                <w:color w:val="000000"/>
                <w:kern w:val="0"/>
                <w:sz w:val="26"/>
                <w:szCs w:val="26"/>
                <w:lang w:val="zh-TW"/>
              </w:rPr>
              <w:t>48</w:t>
            </w:r>
            <w:r w:rsidRPr="00072928">
              <w:rPr>
                <w:rFonts w:eastAsia="標楷體" w:hint="eastAsia"/>
                <w:color w:val="000000"/>
                <w:kern w:val="0"/>
                <w:sz w:val="26"/>
                <w:szCs w:val="26"/>
                <w:lang w:val="zh-TW"/>
              </w:rPr>
              <w:t>、</w:t>
            </w:r>
            <w:r w:rsidRPr="00072928">
              <w:rPr>
                <w:rFonts w:eastAsia="標楷體"/>
                <w:color w:val="000000"/>
                <w:kern w:val="0"/>
                <w:sz w:val="26"/>
                <w:szCs w:val="26"/>
              </w:rPr>
              <w:t>84</w:t>
            </w:r>
            <w:r w:rsidRPr="00072928">
              <w:rPr>
                <w:rFonts w:eastAsia="標楷體"/>
                <w:color w:val="000000"/>
                <w:kern w:val="0"/>
                <w:sz w:val="26"/>
                <w:szCs w:val="26"/>
                <w:lang w:val="zh-TW"/>
              </w:rPr>
              <w:t>及</w:t>
            </w:r>
            <w:r w:rsidRPr="00072928">
              <w:rPr>
                <w:rFonts w:eastAsia="標楷體"/>
                <w:color w:val="000000"/>
                <w:kern w:val="0"/>
                <w:sz w:val="26"/>
                <w:szCs w:val="26"/>
              </w:rPr>
              <w:t>85</w:t>
            </w:r>
            <w:r w:rsidRPr="00072928">
              <w:rPr>
                <w:rFonts w:eastAsia="標楷體"/>
                <w:color w:val="000000"/>
                <w:kern w:val="0"/>
                <w:sz w:val="26"/>
                <w:szCs w:val="26"/>
                <w:lang w:val="zh-TW"/>
              </w:rPr>
              <w:t>段規定揭露相關資訊</w:t>
            </w:r>
            <w:r w:rsidRPr="00072928">
              <w:rPr>
                <w:rFonts w:eastAsia="標楷體" w:hint="eastAsia"/>
                <w:color w:val="000000"/>
                <w:kern w:val="0"/>
                <w:sz w:val="26"/>
                <w:szCs w:val="26"/>
                <w:lang w:val="zh-TW"/>
              </w:rPr>
              <w:t>，包括對可能影響清償義務所需支付金額之</w:t>
            </w:r>
            <w:r w:rsidRPr="00072928">
              <w:rPr>
                <w:rFonts w:eastAsia="標楷體"/>
                <w:color w:val="000000"/>
                <w:kern w:val="0"/>
                <w:sz w:val="26"/>
                <w:szCs w:val="26"/>
                <w:lang w:val="zh-TW"/>
              </w:rPr>
              <w:t>未來事項所作之重大假設</w:t>
            </w:r>
            <w:r w:rsidRPr="00072928">
              <w:rPr>
                <w:rFonts w:eastAsia="標楷體" w:hint="eastAsia"/>
                <w:color w:val="000000"/>
                <w:kern w:val="0"/>
                <w:sz w:val="26"/>
                <w:szCs w:val="26"/>
                <w:lang w:val="zh-TW"/>
              </w:rPr>
              <w:t>、</w:t>
            </w:r>
            <w:r w:rsidRPr="00072928">
              <w:rPr>
                <w:rFonts w:eastAsia="標楷體"/>
                <w:color w:val="000000"/>
                <w:kern w:val="0"/>
                <w:sz w:val="26"/>
                <w:szCs w:val="26"/>
                <w:lang w:val="zh-TW"/>
              </w:rPr>
              <w:t>該義務性質之概要描述及其所導致任何經濟效益流出之預期時點，以及有關該等流出之金額或時點不確定性之說明。</w:t>
            </w:r>
          </w:p>
          <w:p w:rsidR="00072928" w:rsidRPr="00072928" w:rsidRDefault="00072928" w:rsidP="00072928">
            <w:pPr>
              <w:pStyle w:val="af1"/>
              <w:widowControl/>
              <w:numPr>
                <w:ilvl w:val="0"/>
                <w:numId w:val="20"/>
              </w:numPr>
              <w:spacing w:line="320" w:lineRule="atLeast"/>
              <w:ind w:leftChars="0"/>
              <w:jc w:val="both"/>
              <w:rPr>
                <w:rFonts w:eastAsia="標楷體" w:cs="標楷體"/>
                <w:sz w:val="26"/>
                <w:szCs w:val="26"/>
              </w:rPr>
            </w:pPr>
            <w:r w:rsidRPr="00072928">
              <w:rPr>
                <w:rFonts w:eastAsia="標楷體"/>
                <w:color w:val="000000"/>
                <w:kern w:val="0"/>
                <w:sz w:val="26"/>
                <w:szCs w:val="26"/>
                <w:lang w:val="zh-TW"/>
              </w:rPr>
              <w:t>若</w:t>
            </w:r>
            <w:r w:rsidRPr="00072928">
              <w:rPr>
                <w:rFonts w:eastAsia="標楷體" w:hint="eastAsia"/>
                <w:color w:val="000000"/>
                <w:kern w:val="0"/>
                <w:sz w:val="26"/>
                <w:szCs w:val="26"/>
                <w:lang w:val="zh-TW"/>
              </w:rPr>
              <w:t>企業所提之自主減量計畫執行進度報告經</w:t>
            </w:r>
            <w:r w:rsidRPr="00072928">
              <w:rPr>
                <w:rFonts w:eastAsia="標楷體"/>
                <w:color w:val="000000"/>
                <w:kern w:val="0"/>
                <w:sz w:val="26"/>
                <w:szCs w:val="26"/>
                <w:lang w:val="zh-TW"/>
              </w:rPr>
              <w:t>主管機關審查結果為前一年度未達年度指定目標，企業於報導期間結束日尚應評估其是否將能於指定期限內完成改善並持續符合適用優惠費率之其他條件，以決定應適用優惠費率或一般費率</w:t>
            </w:r>
            <w:proofErr w:type="gramStart"/>
            <w:r w:rsidRPr="00072928">
              <w:rPr>
                <w:rFonts w:eastAsia="標楷體"/>
                <w:color w:val="000000"/>
                <w:kern w:val="0"/>
                <w:sz w:val="26"/>
                <w:szCs w:val="26"/>
                <w:lang w:val="zh-TW"/>
              </w:rPr>
              <w:t>估計碳費負債</w:t>
            </w:r>
            <w:proofErr w:type="gramEnd"/>
            <w:r w:rsidRPr="00072928">
              <w:rPr>
                <w:rFonts w:eastAsia="標楷體"/>
                <w:color w:val="000000"/>
                <w:kern w:val="0"/>
                <w:sz w:val="26"/>
                <w:szCs w:val="26"/>
                <w:lang w:val="zh-TW"/>
              </w:rPr>
              <w:t>準備。若企業評估能於指定期限內完成改善並持續符合適用優惠費率之其他條件，仍可適用優惠費率，若後續情況與先前之估計不同時，應依</w:t>
            </w:r>
            <w:r w:rsidRPr="00072928">
              <w:rPr>
                <w:rFonts w:eastAsia="標楷體"/>
                <w:color w:val="000000"/>
                <w:kern w:val="0"/>
                <w:sz w:val="26"/>
                <w:szCs w:val="26"/>
                <w:lang w:val="zh-TW"/>
              </w:rPr>
              <w:t>IAS 8</w:t>
            </w:r>
            <w:r w:rsidRPr="00072928">
              <w:rPr>
                <w:rFonts w:eastAsia="標楷體"/>
                <w:color w:val="000000"/>
                <w:kern w:val="0"/>
                <w:sz w:val="26"/>
                <w:szCs w:val="26"/>
                <w:lang w:val="zh-TW"/>
              </w:rPr>
              <w:t>會計估計值變動處理。</w:t>
            </w:r>
          </w:p>
          <w:p w:rsidR="00072928" w:rsidRPr="00072928" w:rsidRDefault="00072928" w:rsidP="00072928">
            <w:pPr>
              <w:pStyle w:val="af1"/>
              <w:widowControl/>
              <w:numPr>
                <w:ilvl w:val="0"/>
                <w:numId w:val="19"/>
              </w:numPr>
              <w:spacing w:line="320" w:lineRule="atLeast"/>
              <w:ind w:leftChars="0"/>
              <w:jc w:val="both"/>
              <w:rPr>
                <w:rFonts w:eastAsia="標楷體" w:cs="標楷體"/>
                <w:sz w:val="26"/>
                <w:szCs w:val="26"/>
              </w:rPr>
            </w:pPr>
            <w:r w:rsidRPr="00072928">
              <w:rPr>
                <w:rFonts w:eastAsia="標楷體" w:cs="標楷體" w:hint="eastAsia"/>
                <w:sz w:val="26"/>
                <w:szCs w:val="26"/>
              </w:rPr>
              <w:t>另依我國氣候變遷因應法及其子法課徵</w:t>
            </w:r>
            <w:proofErr w:type="gramStart"/>
            <w:r w:rsidRPr="00072928">
              <w:rPr>
                <w:rFonts w:eastAsia="標楷體" w:cs="標楷體" w:hint="eastAsia"/>
                <w:sz w:val="26"/>
                <w:szCs w:val="26"/>
              </w:rPr>
              <w:t>之碳費</w:t>
            </w:r>
            <w:proofErr w:type="gramEnd"/>
            <w:r w:rsidRPr="00072928">
              <w:rPr>
                <w:rFonts w:eastAsia="標楷體" w:cs="標楷體" w:hint="eastAsia"/>
                <w:sz w:val="26"/>
                <w:szCs w:val="26"/>
              </w:rPr>
              <w:t>不適用</w:t>
            </w:r>
            <w:r w:rsidRPr="00072928">
              <w:rPr>
                <w:rFonts w:eastAsia="標楷體" w:cs="標楷體" w:hint="eastAsia"/>
                <w:sz w:val="26"/>
                <w:szCs w:val="26"/>
              </w:rPr>
              <w:t xml:space="preserve"> IF</w:t>
            </w:r>
            <w:bookmarkStart w:id="2" w:name="_GoBack"/>
            <w:bookmarkEnd w:id="2"/>
            <w:r w:rsidRPr="00072928">
              <w:rPr>
                <w:rFonts w:eastAsia="標楷體" w:cs="標楷體" w:hint="eastAsia"/>
                <w:sz w:val="26"/>
                <w:szCs w:val="26"/>
              </w:rPr>
              <w:t>RIC 21</w:t>
            </w:r>
            <w:r w:rsidRPr="00072928">
              <w:rPr>
                <w:rFonts w:eastAsia="標楷體" w:cs="標楷體" w:hint="eastAsia"/>
                <w:sz w:val="26"/>
                <w:szCs w:val="26"/>
              </w:rPr>
              <w:t>，應依照</w:t>
            </w:r>
            <w:r w:rsidRPr="00072928">
              <w:rPr>
                <w:rFonts w:eastAsia="標楷體" w:cs="標楷體" w:hint="eastAsia"/>
                <w:sz w:val="26"/>
                <w:szCs w:val="26"/>
              </w:rPr>
              <w:t>IAS 37</w:t>
            </w:r>
            <w:r w:rsidRPr="00072928">
              <w:rPr>
                <w:rFonts w:eastAsia="標楷體" w:cs="標楷體" w:hint="eastAsia"/>
                <w:sz w:val="26"/>
                <w:szCs w:val="26"/>
              </w:rPr>
              <w:t>第</w:t>
            </w:r>
            <w:r w:rsidRPr="00072928">
              <w:rPr>
                <w:rFonts w:eastAsia="標楷體" w:cs="標楷體" w:hint="eastAsia"/>
                <w:sz w:val="26"/>
                <w:szCs w:val="26"/>
              </w:rPr>
              <w:t>36</w:t>
            </w:r>
            <w:r w:rsidRPr="00072928">
              <w:rPr>
                <w:rFonts w:eastAsia="標楷體" w:cs="標楷體" w:hint="eastAsia"/>
                <w:sz w:val="26"/>
                <w:szCs w:val="26"/>
              </w:rPr>
              <w:t>及</w:t>
            </w:r>
            <w:r w:rsidRPr="00072928">
              <w:rPr>
                <w:rFonts w:eastAsia="標楷體" w:cs="標楷體" w:hint="eastAsia"/>
                <w:sz w:val="26"/>
                <w:szCs w:val="26"/>
              </w:rPr>
              <w:t>37</w:t>
            </w:r>
            <w:r w:rsidRPr="00072928">
              <w:rPr>
                <w:rFonts w:eastAsia="標楷體" w:cs="標楷體" w:hint="eastAsia"/>
                <w:sz w:val="26"/>
                <w:szCs w:val="26"/>
              </w:rPr>
              <w:t>段規定認列及衡量。</w:t>
            </w:r>
            <w:r w:rsidRPr="00072928">
              <w:rPr>
                <w:rFonts w:eastAsia="標楷體" w:cs="標楷體"/>
                <w:sz w:val="26"/>
                <w:szCs w:val="26"/>
              </w:rPr>
              <w:t>企業於期中報導期間結束日，累積之溫室氣體排放量雖尚未</w:t>
            </w:r>
            <w:proofErr w:type="gramStart"/>
            <w:r w:rsidRPr="00072928">
              <w:rPr>
                <w:rFonts w:eastAsia="標楷體" w:cs="標楷體"/>
                <w:sz w:val="26"/>
                <w:szCs w:val="26"/>
              </w:rPr>
              <w:t>超過碳費起</w:t>
            </w:r>
            <w:proofErr w:type="gramEnd"/>
            <w:r w:rsidRPr="00072928">
              <w:rPr>
                <w:rFonts w:eastAsia="標楷體" w:cs="標楷體"/>
                <w:sz w:val="26"/>
                <w:szCs w:val="26"/>
              </w:rPr>
              <w:t>徵門檻，但預期當年度溫室氣體排放量很有可能</w:t>
            </w:r>
            <w:proofErr w:type="gramStart"/>
            <w:r w:rsidRPr="00072928">
              <w:rPr>
                <w:rFonts w:eastAsia="標楷體" w:cs="標楷體"/>
                <w:sz w:val="26"/>
                <w:szCs w:val="26"/>
              </w:rPr>
              <w:t>超過碳費起</w:t>
            </w:r>
            <w:proofErr w:type="gramEnd"/>
            <w:r w:rsidRPr="00072928">
              <w:rPr>
                <w:rFonts w:eastAsia="標楷體" w:cs="標楷體"/>
                <w:sz w:val="26"/>
                <w:szCs w:val="26"/>
              </w:rPr>
              <w:t>徵門檻時，企業應於期中財務報告</w:t>
            </w:r>
            <w:r w:rsidRPr="00072928">
              <w:rPr>
                <w:rFonts w:eastAsia="標楷體" w:cs="標楷體" w:hint="eastAsia"/>
                <w:sz w:val="26"/>
                <w:szCs w:val="26"/>
              </w:rPr>
              <w:t>以</w:t>
            </w:r>
            <w:r w:rsidRPr="00072928">
              <w:rPr>
                <w:rFonts w:eastAsia="標楷體" w:cs="標楷體"/>
                <w:sz w:val="26"/>
                <w:szCs w:val="26"/>
              </w:rPr>
              <w:t>已發生之排放量</w:t>
            </w:r>
            <w:proofErr w:type="gramStart"/>
            <w:r w:rsidRPr="00072928">
              <w:rPr>
                <w:rFonts w:eastAsia="標楷體" w:cs="標楷體"/>
                <w:sz w:val="26"/>
                <w:szCs w:val="26"/>
              </w:rPr>
              <w:t>佔</w:t>
            </w:r>
            <w:proofErr w:type="gramEnd"/>
            <w:r w:rsidRPr="00072928">
              <w:rPr>
                <w:rFonts w:eastAsia="標楷體" w:cs="標楷體"/>
                <w:sz w:val="26"/>
                <w:szCs w:val="26"/>
              </w:rPr>
              <w:t>估計全年排放量之比例為基礎估</w:t>
            </w:r>
            <w:proofErr w:type="gramStart"/>
            <w:r w:rsidRPr="00072928">
              <w:rPr>
                <w:rFonts w:eastAsia="標楷體" w:cs="標楷體"/>
                <w:sz w:val="26"/>
                <w:szCs w:val="26"/>
              </w:rPr>
              <w:t>列碳費</w:t>
            </w:r>
            <w:proofErr w:type="gramEnd"/>
            <w:r w:rsidRPr="00072928">
              <w:rPr>
                <w:rFonts w:eastAsia="標楷體" w:cs="標楷體"/>
                <w:sz w:val="26"/>
                <w:szCs w:val="26"/>
              </w:rPr>
              <w:t>相關負債。</w:t>
            </w:r>
          </w:p>
          <w:p w:rsidR="00072928" w:rsidRPr="00072928" w:rsidRDefault="00072928" w:rsidP="00072928">
            <w:pPr>
              <w:pStyle w:val="af1"/>
              <w:widowControl/>
              <w:numPr>
                <w:ilvl w:val="0"/>
                <w:numId w:val="19"/>
              </w:numPr>
              <w:spacing w:line="320" w:lineRule="atLeast"/>
              <w:ind w:leftChars="0"/>
              <w:jc w:val="both"/>
              <w:rPr>
                <w:rFonts w:eastAsia="標楷體" w:cs="標楷體"/>
                <w:sz w:val="26"/>
                <w:szCs w:val="26"/>
              </w:rPr>
            </w:pPr>
            <w:r w:rsidRPr="00072928">
              <w:rPr>
                <w:rFonts w:eastAsia="標楷體" w:cs="標楷體"/>
                <w:sz w:val="26"/>
                <w:szCs w:val="26"/>
              </w:rPr>
              <w:t>企業所應支付</w:t>
            </w:r>
            <w:proofErr w:type="gramStart"/>
            <w:r w:rsidRPr="00072928">
              <w:rPr>
                <w:rFonts w:eastAsia="標楷體" w:cs="標楷體"/>
                <w:sz w:val="26"/>
                <w:szCs w:val="26"/>
              </w:rPr>
              <w:t>之碳費若</w:t>
            </w:r>
            <w:proofErr w:type="gramEnd"/>
            <w:r w:rsidRPr="00072928">
              <w:rPr>
                <w:rFonts w:eastAsia="標楷體" w:cs="標楷體"/>
                <w:sz w:val="26"/>
                <w:szCs w:val="26"/>
              </w:rPr>
              <w:t>符合</w:t>
            </w:r>
            <w:r w:rsidRPr="00072928">
              <w:rPr>
                <w:rFonts w:eastAsia="標楷體" w:cs="標楷體"/>
                <w:sz w:val="26"/>
                <w:szCs w:val="26"/>
              </w:rPr>
              <w:t>IAS2</w:t>
            </w:r>
            <w:r w:rsidRPr="00072928">
              <w:rPr>
                <w:rFonts w:eastAsia="標楷體" w:cs="標楷體"/>
                <w:sz w:val="26"/>
                <w:szCs w:val="26"/>
              </w:rPr>
              <w:t>存貨之認列條件，則依</w:t>
            </w:r>
            <w:r w:rsidRPr="00072928">
              <w:rPr>
                <w:rFonts w:eastAsia="標楷體" w:cs="標楷體"/>
                <w:sz w:val="26"/>
                <w:szCs w:val="26"/>
              </w:rPr>
              <w:t>IAS2</w:t>
            </w:r>
            <w:r w:rsidRPr="00072928">
              <w:rPr>
                <w:rFonts w:eastAsia="標楷體" w:cs="標楷體"/>
                <w:sz w:val="26"/>
                <w:szCs w:val="26"/>
              </w:rPr>
              <w:t>之規定處理。若後續有重大估計差異，則依</w:t>
            </w:r>
            <w:r w:rsidRPr="00072928">
              <w:rPr>
                <w:rFonts w:eastAsia="標楷體" w:cs="標楷體"/>
                <w:sz w:val="26"/>
                <w:szCs w:val="26"/>
              </w:rPr>
              <w:t>IAS8</w:t>
            </w:r>
            <w:r w:rsidRPr="00072928">
              <w:rPr>
                <w:rFonts w:eastAsia="標楷體" w:cs="標楷體"/>
                <w:sz w:val="26"/>
                <w:szCs w:val="26"/>
              </w:rPr>
              <w:t>第</w:t>
            </w:r>
            <w:r w:rsidRPr="00072928">
              <w:rPr>
                <w:rFonts w:eastAsia="標楷體" w:cs="標楷體"/>
                <w:sz w:val="26"/>
                <w:szCs w:val="26"/>
              </w:rPr>
              <w:t>36</w:t>
            </w:r>
            <w:r w:rsidRPr="00072928">
              <w:rPr>
                <w:rFonts w:eastAsia="標楷體" w:cs="標楷體"/>
                <w:sz w:val="26"/>
                <w:szCs w:val="26"/>
              </w:rPr>
              <w:t>段會計估計值變動處理，並按合理基礎分攤</w:t>
            </w:r>
            <w:r w:rsidRPr="00072928">
              <w:rPr>
                <w:rFonts w:eastAsia="標楷體" w:cs="標楷體" w:hint="eastAsia"/>
                <w:sz w:val="26"/>
                <w:szCs w:val="26"/>
              </w:rPr>
              <w:t>至</w:t>
            </w:r>
            <w:r w:rsidRPr="00072928">
              <w:rPr>
                <w:rFonts w:eastAsia="標楷體" w:cs="標楷體"/>
                <w:sz w:val="26"/>
                <w:szCs w:val="26"/>
              </w:rPr>
              <w:t>銷貨成本及存貨。</w:t>
            </w:r>
          </w:p>
          <w:p w:rsidR="00F8727F" w:rsidRPr="00072928" w:rsidRDefault="00072928" w:rsidP="00072928">
            <w:pPr>
              <w:pStyle w:val="af1"/>
              <w:widowControl/>
              <w:numPr>
                <w:ilvl w:val="0"/>
                <w:numId w:val="19"/>
              </w:numPr>
              <w:spacing w:line="320" w:lineRule="atLeast"/>
              <w:ind w:leftChars="0"/>
              <w:jc w:val="both"/>
              <w:rPr>
                <w:rFonts w:eastAsia="標楷體"/>
                <w:color w:val="000000"/>
                <w:kern w:val="0"/>
                <w:sz w:val="26"/>
                <w:szCs w:val="26"/>
                <w:lang w:val="zh-TW"/>
              </w:rPr>
            </w:pPr>
            <w:r w:rsidRPr="00072928">
              <w:rPr>
                <w:rFonts w:eastAsia="標楷體" w:cs="標楷體"/>
                <w:sz w:val="26"/>
                <w:szCs w:val="26"/>
              </w:rPr>
              <w:t>個體</w:t>
            </w:r>
            <w:r w:rsidRPr="00072928">
              <w:rPr>
                <w:rFonts w:eastAsia="標楷體" w:cs="標楷體" w:hint="eastAsia"/>
                <w:sz w:val="26"/>
                <w:szCs w:val="26"/>
              </w:rPr>
              <w:t>預計</w:t>
            </w:r>
            <w:r w:rsidRPr="00072928">
              <w:rPr>
                <w:rFonts w:eastAsia="標楷體" w:cs="標楷體"/>
                <w:sz w:val="26"/>
                <w:szCs w:val="26"/>
              </w:rPr>
              <w:t>使用過去減量</w:t>
            </w:r>
            <w:r w:rsidRPr="00072928">
              <w:rPr>
                <w:rFonts w:eastAsia="標楷體" w:cs="標楷體" w:hint="eastAsia"/>
                <w:sz w:val="26"/>
                <w:szCs w:val="26"/>
              </w:rPr>
              <w:t>專案</w:t>
            </w:r>
            <w:r w:rsidRPr="00072928">
              <w:rPr>
                <w:rFonts w:eastAsia="標楷體" w:cs="標楷體"/>
                <w:sz w:val="26"/>
                <w:szCs w:val="26"/>
              </w:rPr>
              <w:t>下所取得，並以名目金額</w:t>
            </w:r>
            <w:proofErr w:type="gramStart"/>
            <w:r w:rsidRPr="00072928">
              <w:rPr>
                <w:rFonts w:eastAsia="標楷體" w:cs="標楷體"/>
                <w:sz w:val="26"/>
                <w:szCs w:val="26"/>
              </w:rPr>
              <w:t>入帳</w:t>
            </w:r>
            <w:proofErr w:type="gramEnd"/>
            <w:r w:rsidRPr="00072928">
              <w:rPr>
                <w:rFonts w:eastAsia="標楷體" w:cs="標楷體"/>
                <w:sz w:val="26"/>
                <w:szCs w:val="26"/>
              </w:rPr>
              <w:t>之</w:t>
            </w:r>
            <w:r w:rsidRPr="00072928">
              <w:rPr>
                <w:rFonts w:eastAsia="標楷體" w:cs="標楷體" w:hint="eastAsia"/>
                <w:sz w:val="26"/>
                <w:szCs w:val="26"/>
              </w:rPr>
              <w:t>減量額度扣除事業收費排放量</w:t>
            </w:r>
            <w:r w:rsidRPr="00072928">
              <w:rPr>
                <w:rFonts w:eastAsia="標楷體" w:cs="標楷體"/>
                <w:sz w:val="26"/>
                <w:szCs w:val="26"/>
              </w:rPr>
              <w:t>時，應</w:t>
            </w:r>
            <w:proofErr w:type="gramStart"/>
            <w:r w:rsidRPr="00072928">
              <w:rPr>
                <w:rFonts w:eastAsia="標楷體" w:cs="標楷體"/>
                <w:sz w:val="26"/>
                <w:szCs w:val="26"/>
              </w:rPr>
              <w:t>參考會基會所</w:t>
            </w:r>
            <w:proofErr w:type="gramEnd"/>
            <w:r w:rsidRPr="00072928">
              <w:rPr>
                <w:rFonts w:eastAsia="標楷體" w:cs="標楷體"/>
                <w:sz w:val="26"/>
                <w:szCs w:val="26"/>
              </w:rPr>
              <w:t>發布「企業</w:t>
            </w:r>
            <w:proofErr w:type="gramStart"/>
            <w:r w:rsidRPr="00072928">
              <w:rPr>
                <w:rFonts w:eastAsia="標楷體" w:cs="標楷體"/>
                <w:sz w:val="26"/>
                <w:szCs w:val="26"/>
              </w:rPr>
              <w:t>持有碳權資產</w:t>
            </w:r>
            <w:proofErr w:type="gramEnd"/>
            <w:r w:rsidRPr="00072928">
              <w:rPr>
                <w:rFonts w:eastAsia="標楷體" w:cs="標楷體"/>
                <w:sz w:val="26"/>
                <w:szCs w:val="26"/>
              </w:rPr>
              <w:t>相關會計處理之指引」案例二之</w:t>
            </w:r>
            <w:proofErr w:type="gramStart"/>
            <w:r w:rsidRPr="00072928">
              <w:rPr>
                <w:rFonts w:eastAsia="標楷體" w:cs="標楷體"/>
                <w:sz w:val="26"/>
                <w:szCs w:val="26"/>
              </w:rPr>
              <w:t>釋例作</w:t>
            </w:r>
            <w:proofErr w:type="gramEnd"/>
            <w:r w:rsidRPr="00072928">
              <w:rPr>
                <w:rFonts w:eastAsia="標楷體" w:cs="標楷體"/>
                <w:sz w:val="26"/>
                <w:szCs w:val="26"/>
              </w:rPr>
              <w:t>會計處理。依</w:t>
            </w:r>
            <w:r w:rsidRPr="00072928">
              <w:rPr>
                <w:rFonts w:eastAsia="標楷體" w:cs="標楷體"/>
                <w:sz w:val="26"/>
                <w:szCs w:val="26"/>
              </w:rPr>
              <w:t>IAS37</w:t>
            </w:r>
            <w:r w:rsidRPr="00072928">
              <w:rPr>
                <w:rFonts w:eastAsia="標楷體" w:cs="標楷體"/>
                <w:sz w:val="26"/>
                <w:szCs w:val="26"/>
              </w:rPr>
              <w:t>第</w:t>
            </w:r>
            <w:r w:rsidRPr="00072928">
              <w:rPr>
                <w:rFonts w:eastAsia="標楷體" w:cs="標楷體"/>
                <w:sz w:val="26"/>
                <w:szCs w:val="26"/>
              </w:rPr>
              <w:t>36</w:t>
            </w:r>
            <w:r w:rsidRPr="00072928">
              <w:rPr>
                <w:rFonts w:eastAsia="標楷體" w:cs="標楷體"/>
                <w:sz w:val="26"/>
                <w:szCs w:val="26"/>
              </w:rPr>
              <w:t>段規定，認列為負債準備之金額應為報導期間結束日清償現時義務所需支出之最佳估計值。因此，個體於報導期間結束</w:t>
            </w:r>
            <w:proofErr w:type="gramStart"/>
            <w:r w:rsidRPr="00072928">
              <w:rPr>
                <w:rFonts w:eastAsia="標楷體" w:cs="標楷體"/>
                <w:sz w:val="26"/>
                <w:szCs w:val="26"/>
              </w:rPr>
              <w:t>日估列碳費時</w:t>
            </w:r>
            <w:proofErr w:type="gramEnd"/>
            <w:r w:rsidRPr="00072928">
              <w:rPr>
                <w:rFonts w:eastAsia="標楷體" w:cs="標楷體"/>
                <w:sz w:val="26"/>
                <w:szCs w:val="26"/>
              </w:rPr>
              <w:t>，應在預計使用之減量額度</w:t>
            </w:r>
            <w:proofErr w:type="gramStart"/>
            <w:r w:rsidRPr="00072928">
              <w:rPr>
                <w:rFonts w:eastAsia="標楷體" w:cs="標楷體"/>
                <w:sz w:val="26"/>
                <w:szCs w:val="26"/>
              </w:rPr>
              <w:t>範圍內按</w:t>
            </w:r>
            <w:r w:rsidRPr="00072928">
              <w:rPr>
                <w:rFonts w:eastAsia="標楷體" w:cs="標楷體" w:hint="eastAsia"/>
                <w:sz w:val="26"/>
                <w:szCs w:val="26"/>
              </w:rPr>
              <w:t>其</w:t>
            </w:r>
            <w:r w:rsidRPr="00072928">
              <w:rPr>
                <w:rFonts w:eastAsia="標楷體" w:cs="標楷體"/>
                <w:sz w:val="26"/>
                <w:szCs w:val="26"/>
              </w:rPr>
              <w:t>帳面</w:t>
            </w:r>
            <w:proofErr w:type="gramEnd"/>
            <w:r w:rsidRPr="00072928">
              <w:rPr>
                <w:rFonts w:eastAsia="標楷體" w:cs="標楷體"/>
                <w:sz w:val="26"/>
                <w:szCs w:val="26"/>
              </w:rPr>
              <w:t>金額（名目金額及直接可歸屬成本）衡量相關負債準備。</w:t>
            </w:r>
          </w:p>
        </w:tc>
        <w:tc>
          <w:tcPr>
            <w:tcW w:w="1418" w:type="dxa"/>
          </w:tcPr>
          <w:p w:rsidR="00F8727F" w:rsidRPr="00DC32EB" w:rsidRDefault="00F8727F" w:rsidP="00F8727F">
            <w:pPr>
              <w:snapToGrid w:val="0"/>
              <w:jc w:val="both"/>
              <w:rPr>
                <w:rFonts w:eastAsia="標楷體"/>
                <w:color w:val="000000" w:themeColor="text1"/>
                <w:kern w:val="0"/>
                <w:sz w:val="26"/>
                <w:szCs w:val="26"/>
              </w:rPr>
            </w:pPr>
            <w:proofErr w:type="gramStart"/>
            <w:r>
              <w:rPr>
                <w:rFonts w:eastAsia="標楷體" w:hint="eastAsia"/>
                <w:color w:val="000000" w:themeColor="text1"/>
                <w:kern w:val="0"/>
                <w:sz w:val="26"/>
                <w:szCs w:val="26"/>
              </w:rPr>
              <w:t>碳費</w:t>
            </w:r>
            <w:proofErr w:type="gramEnd"/>
          </w:p>
        </w:tc>
        <w:tc>
          <w:tcPr>
            <w:tcW w:w="1417" w:type="dxa"/>
            <w:tcBorders>
              <w:top w:val="single" w:sz="4" w:space="0" w:color="auto"/>
              <w:left w:val="single" w:sz="4" w:space="0" w:color="auto"/>
              <w:bottom w:val="single" w:sz="4" w:space="0" w:color="auto"/>
              <w:right w:val="single" w:sz="4" w:space="0" w:color="auto"/>
            </w:tcBorders>
          </w:tcPr>
          <w:p w:rsidR="00F8727F" w:rsidRPr="00DC32EB" w:rsidRDefault="00F8727F" w:rsidP="00F8727F">
            <w:pPr>
              <w:snapToGrid w:val="0"/>
              <w:jc w:val="center"/>
              <w:rPr>
                <w:rFonts w:eastAsia="標楷體"/>
                <w:color w:val="000000" w:themeColor="text1"/>
              </w:rPr>
            </w:pPr>
            <w:r>
              <w:rPr>
                <w:rFonts w:eastAsia="標楷體" w:hint="eastAsia"/>
                <w:color w:val="000000" w:themeColor="text1"/>
              </w:rPr>
              <w:t>114.0</w:t>
            </w:r>
            <w:r w:rsidR="00AB17CE">
              <w:rPr>
                <w:rFonts w:eastAsia="標楷體" w:hint="eastAsia"/>
                <w:color w:val="000000" w:themeColor="text1"/>
              </w:rPr>
              <w:t>4.08</w:t>
            </w:r>
          </w:p>
        </w:tc>
      </w:tr>
    </w:tbl>
    <w:p w:rsidR="00BD1105" w:rsidRDefault="00BD1105" w:rsidP="0077658D">
      <w:pPr>
        <w:spacing w:before="100" w:beforeAutospacing="1" w:after="100" w:afterAutospacing="1" w:line="360" w:lineRule="exact"/>
        <w:ind w:right="62"/>
        <w:rPr>
          <w:rFonts w:ascii="標楷體" w:eastAsia="標楷體" w:hAnsi="標楷體"/>
          <w:sz w:val="28"/>
          <w:szCs w:val="28"/>
        </w:rPr>
      </w:pPr>
    </w:p>
    <w:sectPr w:rsidR="00BD1105" w:rsidSect="003F7463">
      <w:headerReference w:type="default" r:id="rId10"/>
      <w:footerReference w:type="even" r:id="rId11"/>
      <w:footerReference w:type="default" r:id="rId12"/>
      <w:pgSz w:w="16838" w:h="11906" w:orient="landscape" w:code="9"/>
      <w:pgMar w:top="783" w:right="1474" w:bottom="993" w:left="1418" w:header="851" w:footer="510" w:gutter="0"/>
      <w:pgNumType w:fmt="numberInDash"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7A" w:rsidRDefault="007D3D7A">
      <w:r>
        <w:separator/>
      </w:r>
    </w:p>
  </w:endnote>
  <w:endnote w:type="continuationSeparator" w:id="0">
    <w:p w:rsidR="007D3D7A" w:rsidRDefault="007D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7A" w:rsidRDefault="007D3D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D3D7A" w:rsidRDefault="007D3D7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7A" w:rsidRDefault="007D3D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72928">
      <w:rPr>
        <w:rStyle w:val="a4"/>
        <w:noProof/>
      </w:rPr>
      <w:t>- 49 -</w:t>
    </w:r>
    <w:r>
      <w:rPr>
        <w:rStyle w:val="a4"/>
      </w:rPr>
      <w:fldChar w:fldCharType="end"/>
    </w:r>
  </w:p>
  <w:p w:rsidR="007D3D7A" w:rsidRDefault="007D3D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7A" w:rsidRDefault="007D3D7A">
      <w:r>
        <w:separator/>
      </w:r>
    </w:p>
  </w:footnote>
  <w:footnote w:type="continuationSeparator" w:id="0">
    <w:p w:rsidR="007D3D7A" w:rsidRDefault="007D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7A" w:rsidRPr="009D0F2E" w:rsidRDefault="007D3D7A" w:rsidP="009D0F2E">
    <w:pPr>
      <w:pStyle w:val="a7"/>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9E6"/>
    <w:multiLevelType w:val="hybridMultilevel"/>
    <w:tmpl w:val="4F8C17E0"/>
    <w:lvl w:ilvl="0" w:tplc="F9C0DD24">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021A27"/>
    <w:multiLevelType w:val="hybridMultilevel"/>
    <w:tmpl w:val="F10AC31C"/>
    <w:lvl w:ilvl="0" w:tplc="7EFE62A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9D3CEA"/>
    <w:multiLevelType w:val="hybridMultilevel"/>
    <w:tmpl w:val="2A963A86"/>
    <w:lvl w:ilvl="0" w:tplc="E7403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6168C2"/>
    <w:multiLevelType w:val="hybridMultilevel"/>
    <w:tmpl w:val="9DDA4146"/>
    <w:lvl w:ilvl="0" w:tplc="B0DA1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3C6B49"/>
    <w:multiLevelType w:val="hybridMultilevel"/>
    <w:tmpl w:val="CB4CC8E8"/>
    <w:lvl w:ilvl="0" w:tplc="9954A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5A7135"/>
    <w:multiLevelType w:val="hybridMultilevel"/>
    <w:tmpl w:val="B8367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6A4249"/>
    <w:multiLevelType w:val="hybridMultilevel"/>
    <w:tmpl w:val="C138FB9A"/>
    <w:lvl w:ilvl="0" w:tplc="FB9056E6">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F81089"/>
    <w:multiLevelType w:val="hybridMultilevel"/>
    <w:tmpl w:val="B8367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426893"/>
    <w:multiLevelType w:val="hybridMultilevel"/>
    <w:tmpl w:val="4EBE51E0"/>
    <w:lvl w:ilvl="0" w:tplc="8F7C023E">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7367E1C"/>
    <w:multiLevelType w:val="hybridMultilevel"/>
    <w:tmpl w:val="B34861AA"/>
    <w:lvl w:ilvl="0" w:tplc="F5E295D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FF046D5"/>
    <w:multiLevelType w:val="hybridMultilevel"/>
    <w:tmpl w:val="9F46DDA8"/>
    <w:lvl w:ilvl="0" w:tplc="30848A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613AA7"/>
    <w:multiLevelType w:val="hybridMultilevel"/>
    <w:tmpl w:val="8DD82D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9B58E6"/>
    <w:multiLevelType w:val="hybridMultilevel"/>
    <w:tmpl w:val="A3A6C79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CA62A7"/>
    <w:multiLevelType w:val="hybridMultilevel"/>
    <w:tmpl w:val="EB141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21391D"/>
    <w:multiLevelType w:val="hybridMultilevel"/>
    <w:tmpl w:val="63A65DC0"/>
    <w:lvl w:ilvl="0" w:tplc="79AE6A2C">
      <w:start w:val="1"/>
      <w:numFmt w:val="lowerLetter"/>
      <w:lvlText w:val="%1"/>
      <w:lvlJc w:val="left"/>
      <w:pPr>
        <w:ind w:left="1296" w:hanging="480"/>
      </w:pPr>
      <w:rPr>
        <w:rFonts w:ascii="Arial" w:hAnsi="Arial" w:cs="Arial" w:hint="default"/>
      </w:rPr>
    </w:lvl>
    <w:lvl w:ilvl="1" w:tplc="E6A844DE">
      <w:start w:val="1"/>
      <w:numFmt w:val="lowerLetter"/>
      <w:lvlText w:val="%2."/>
      <w:lvlJc w:val="left"/>
      <w:pPr>
        <w:ind w:left="960" w:hanging="480"/>
      </w:pPr>
      <w:rPr>
        <w:rFonts w:ascii="Times New Roman" w:hAnsi="Times New Roman" w:cs="Times New Roman"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D02EE5"/>
    <w:multiLevelType w:val="hybridMultilevel"/>
    <w:tmpl w:val="D388A4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CF43616"/>
    <w:multiLevelType w:val="hybridMultilevel"/>
    <w:tmpl w:val="BAC8454A"/>
    <w:lvl w:ilvl="0" w:tplc="545A98F6">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7" w15:restartNumberingAfterBreak="0">
    <w:nsid w:val="656C3281"/>
    <w:multiLevelType w:val="hybridMultilevel"/>
    <w:tmpl w:val="945E7756"/>
    <w:lvl w:ilvl="0" w:tplc="C11602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381B25"/>
    <w:multiLevelType w:val="hybridMultilevel"/>
    <w:tmpl w:val="09D81F5E"/>
    <w:lvl w:ilvl="0" w:tplc="B4CA5A52">
      <w:start w:val="1"/>
      <w:numFmt w:val="lowerLetter"/>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9E1396A"/>
    <w:multiLevelType w:val="hybridMultilevel"/>
    <w:tmpl w:val="8C10EC20"/>
    <w:lvl w:ilvl="0" w:tplc="ECBA63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5"/>
  </w:num>
  <w:num w:numId="3">
    <w:abstractNumId w:val="0"/>
  </w:num>
  <w:num w:numId="4">
    <w:abstractNumId w:val="16"/>
  </w:num>
  <w:num w:numId="5">
    <w:abstractNumId w:val="2"/>
  </w:num>
  <w:num w:numId="6">
    <w:abstractNumId w:val="3"/>
  </w:num>
  <w:num w:numId="7">
    <w:abstractNumId w:val="19"/>
  </w:num>
  <w:num w:numId="8">
    <w:abstractNumId w:val="10"/>
  </w:num>
  <w:num w:numId="9">
    <w:abstractNumId w:val="13"/>
  </w:num>
  <w:num w:numId="10">
    <w:abstractNumId w:val="11"/>
  </w:num>
  <w:num w:numId="11">
    <w:abstractNumId w:val="1"/>
  </w:num>
  <w:num w:numId="12">
    <w:abstractNumId w:val="6"/>
  </w:num>
  <w:num w:numId="13">
    <w:abstractNumId w:val="7"/>
  </w:num>
  <w:num w:numId="14">
    <w:abstractNumId w:val="14"/>
  </w:num>
  <w:num w:numId="15">
    <w:abstractNumId w:val="5"/>
  </w:num>
  <w:num w:numId="16">
    <w:abstractNumId w:val="18"/>
  </w:num>
  <w:num w:numId="17">
    <w:abstractNumId w:val="8"/>
  </w:num>
  <w:num w:numId="18">
    <w:abstractNumId w:val="4"/>
  </w:num>
  <w:num w:numId="19">
    <w:abstractNumId w:val="12"/>
  </w:num>
  <w:num w:numId="2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92"/>
    <w:rsid w:val="000017C1"/>
    <w:rsid w:val="00001B1E"/>
    <w:rsid w:val="00003C8C"/>
    <w:rsid w:val="00005497"/>
    <w:rsid w:val="0000566B"/>
    <w:rsid w:val="00005A75"/>
    <w:rsid w:val="00005C89"/>
    <w:rsid w:val="00005F08"/>
    <w:rsid w:val="000076C4"/>
    <w:rsid w:val="00010CF1"/>
    <w:rsid w:val="00010E04"/>
    <w:rsid w:val="00011380"/>
    <w:rsid w:val="000149D6"/>
    <w:rsid w:val="00016133"/>
    <w:rsid w:val="0001712B"/>
    <w:rsid w:val="00020050"/>
    <w:rsid w:val="000202E4"/>
    <w:rsid w:val="0002536B"/>
    <w:rsid w:val="00025800"/>
    <w:rsid w:val="00026B9B"/>
    <w:rsid w:val="0002720A"/>
    <w:rsid w:val="00031687"/>
    <w:rsid w:val="000343BF"/>
    <w:rsid w:val="00036BFF"/>
    <w:rsid w:val="00037C0E"/>
    <w:rsid w:val="00037ECC"/>
    <w:rsid w:val="0004004B"/>
    <w:rsid w:val="00043051"/>
    <w:rsid w:val="00044222"/>
    <w:rsid w:val="00044439"/>
    <w:rsid w:val="00044DF0"/>
    <w:rsid w:val="0004607E"/>
    <w:rsid w:val="000504D9"/>
    <w:rsid w:val="00050825"/>
    <w:rsid w:val="0005162F"/>
    <w:rsid w:val="00051C2E"/>
    <w:rsid w:val="000526BC"/>
    <w:rsid w:val="0005454F"/>
    <w:rsid w:val="00054F17"/>
    <w:rsid w:val="00055885"/>
    <w:rsid w:val="0005687E"/>
    <w:rsid w:val="00056F7A"/>
    <w:rsid w:val="0006235E"/>
    <w:rsid w:val="00062B98"/>
    <w:rsid w:val="00064ABE"/>
    <w:rsid w:val="000650A0"/>
    <w:rsid w:val="000650B3"/>
    <w:rsid w:val="00065CB8"/>
    <w:rsid w:val="00066C56"/>
    <w:rsid w:val="00072928"/>
    <w:rsid w:val="00072B1F"/>
    <w:rsid w:val="00072C02"/>
    <w:rsid w:val="00074ABA"/>
    <w:rsid w:val="00074B47"/>
    <w:rsid w:val="00074DDC"/>
    <w:rsid w:val="0007719F"/>
    <w:rsid w:val="000806A0"/>
    <w:rsid w:val="00080DBD"/>
    <w:rsid w:val="0008167D"/>
    <w:rsid w:val="00081BFD"/>
    <w:rsid w:val="00082B0F"/>
    <w:rsid w:val="00082D75"/>
    <w:rsid w:val="00084B08"/>
    <w:rsid w:val="00086A91"/>
    <w:rsid w:val="00086FFB"/>
    <w:rsid w:val="00090116"/>
    <w:rsid w:val="00091662"/>
    <w:rsid w:val="000918D0"/>
    <w:rsid w:val="00093C75"/>
    <w:rsid w:val="00095CAB"/>
    <w:rsid w:val="000967E9"/>
    <w:rsid w:val="00096AF4"/>
    <w:rsid w:val="00097AAA"/>
    <w:rsid w:val="000A2FA3"/>
    <w:rsid w:val="000A4552"/>
    <w:rsid w:val="000A4B0A"/>
    <w:rsid w:val="000A52D1"/>
    <w:rsid w:val="000A5576"/>
    <w:rsid w:val="000A77E1"/>
    <w:rsid w:val="000B257A"/>
    <w:rsid w:val="000B2C34"/>
    <w:rsid w:val="000B3D7C"/>
    <w:rsid w:val="000B4DBB"/>
    <w:rsid w:val="000B5BE1"/>
    <w:rsid w:val="000B6A48"/>
    <w:rsid w:val="000C11D3"/>
    <w:rsid w:val="000C1480"/>
    <w:rsid w:val="000C62CE"/>
    <w:rsid w:val="000C7D69"/>
    <w:rsid w:val="000D116D"/>
    <w:rsid w:val="000D30FE"/>
    <w:rsid w:val="000D3693"/>
    <w:rsid w:val="000D6B61"/>
    <w:rsid w:val="000E269E"/>
    <w:rsid w:val="000E4627"/>
    <w:rsid w:val="000E61D9"/>
    <w:rsid w:val="000E78B6"/>
    <w:rsid w:val="000E7EDD"/>
    <w:rsid w:val="000F3B49"/>
    <w:rsid w:val="000F4A36"/>
    <w:rsid w:val="000F5552"/>
    <w:rsid w:val="000F5BC1"/>
    <w:rsid w:val="001037E8"/>
    <w:rsid w:val="00104DE6"/>
    <w:rsid w:val="00105D1B"/>
    <w:rsid w:val="00110642"/>
    <w:rsid w:val="00110E1D"/>
    <w:rsid w:val="00111DEE"/>
    <w:rsid w:val="00120B51"/>
    <w:rsid w:val="001219D6"/>
    <w:rsid w:val="00126AC0"/>
    <w:rsid w:val="00130E05"/>
    <w:rsid w:val="00130F2E"/>
    <w:rsid w:val="001361A3"/>
    <w:rsid w:val="00137FB1"/>
    <w:rsid w:val="00141050"/>
    <w:rsid w:val="00142ABC"/>
    <w:rsid w:val="00143BD6"/>
    <w:rsid w:val="00145D42"/>
    <w:rsid w:val="00147E8D"/>
    <w:rsid w:val="00151675"/>
    <w:rsid w:val="00153D47"/>
    <w:rsid w:val="0015430D"/>
    <w:rsid w:val="00154E63"/>
    <w:rsid w:val="00155E5F"/>
    <w:rsid w:val="0015622C"/>
    <w:rsid w:val="001563E3"/>
    <w:rsid w:val="00157932"/>
    <w:rsid w:val="00162C0E"/>
    <w:rsid w:val="001636B6"/>
    <w:rsid w:val="00163EB6"/>
    <w:rsid w:val="00165C55"/>
    <w:rsid w:val="00166A0C"/>
    <w:rsid w:val="00166E13"/>
    <w:rsid w:val="001700A9"/>
    <w:rsid w:val="00170F80"/>
    <w:rsid w:val="00173AA2"/>
    <w:rsid w:val="001743DA"/>
    <w:rsid w:val="00174AAD"/>
    <w:rsid w:val="0018239C"/>
    <w:rsid w:val="0019010F"/>
    <w:rsid w:val="00190D9A"/>
    <w:rsid w:val="00191487"/>
    <w:rsid w:val="00194AFE"/>
    <w:rsid w:val="00195DF3"/>
    <w:rsid w:val="00196BE0"/>
    <w:rsid w:val="001A29A7"/>
    <w:rsid w:val="001A3B05"/>
    <w:rsid w:val="001A475A"/>
    <w:rsid w:val="001A4A50"/>
    <w:rsid w:val="001A7BDC"/>
    <w:rsid w:val="001B39A4"/>
    <w:rsid w:val="001B4774"/>
    <w:rsid w:val="001B5EE9"/>
    <w:rsid w:val="001B7DEA"/>
    <w:rsid w:val="001C11BE"/>
    <w:rsid w:val="001C134B"/>
    <w:rsid w:val="001C27A1"/>
    <w:rsid w:val="001C3349"/>
    <w:rsid w:val="001C4E7A"/>
    <w:rsid w:val="001C5FC3"/>
    <w:rsid w:val="001C608E"/>
    <w:rsid w:val="001C64CD"/>
    <w:rsid w:val="001C72E5"/>
    <w:rsid w:val="001D2785"/>
    <w:rsid w:val="001D37D3"/>
    <w:rsid w:val="001D73DF"/>
    <w:rsid w:val="001D76B2"/>
    <w:rsid w:val="001D7BCE"/>
    <w:rsid w:val="001E001F"/>
    <w:rsid w:val="001E005D"/>
    <w:rsid w:val="001E05CD"/>
    <w:rsid w:val="001E0D98"/>
    <w:rsid w:val="001E11AE"/>
    <w:rsid w:val="001E4515"/>
    <w:rsid w:val="001E6B92"/>
    <w:rsid w:val="001E7205"/>
    <w:rsid w:val="001E7B02"/>
    <w:rsid w:val="001F2673"/>
    <w:rsid w:val="001F3D4B"/>
    <w:rsid w:val="001F48BD"/>
    <w:rsid w:val="001F6799"/>
    <w:rsid w:val="001F714C"/>
    <w:rsid w:val="002049F4"/>
    <w:rsid w:val="00204C18"/>
    <w:rsid w:val="00205409"/>
    <w:rsid w:val="00205432"/>
    <w:rsid w:val="00210BD3"/>
    <w:rsid w:val="002115DD"/>
    <w:rsid w:val="00211B84"/>
    <w:rsid w:val="00213DE8"/>
    <w:rsid w:val="002143A8"/>
    <w:rsid w:val="0021450D"/>
    <w:rsid w:val="00214E47"/>
    <w:rsid w:val="002159C2"/>
    <w:rsid w:val="00215D41"/>
    <w:rsid w:val="00216305"/>
    <w:rsid w:val="00220928"/>
    <w:rsid w:val="0022132B"/>
    <w:rsid w:val="002217BF"/>
    <w:rsid w:val="0022273B"/>
    <w:rsid w:val="00223564"/>
    <w:rsid w:val="002243A9"/>
    <w:rsid w:val="00224ACF"/>
    <w:rsid w:val="00225F6F"/>
    <w:rsid w:val="002325FA"/>
    <w:rsid w:val="00236264"/>
    <w:rsid w:val="00240BA5"/>
    <w:rsid w:val="00241776"/>
    <w:rsid w:val="0024283A"/>
    <w:rsid w:val="0024595C"/>
    <w:rsid w:val="00247B1C"/>
    <w:rsid w:val="002511FA"/>
    <w:rsid w:val="00252740"/>
    <w:rsid w:val="00253A8B"/>
    <w:rsid w:val="00253B09"/>
    <w:rsid w:val="0025518B"/>
    <w:rsid w:val="00255DFB"/>
    <w:rsid w:val="00256668"/>
    <w:rsid w:val="00256EF5"/>
    <w:rsid w:val="00257727"/>
    <w:rsid w:val="0026064D"/>
    <w:rsid w:val="002648D4"/>
    <w:rsid w:val="002668ED"/>
    <w:rsid w:val="00266931"/>
    <w:rsid w:val="00266ED3"/>
    <w:rsid w:val="00270930"/>
    <w:rsid w:val="002718FD"/>
    <w:rsid w:val="00271B78"/>
    <w:rsid w:val="00274C95"/>
    <w:rsid w:val="0027506D"/>
    <w:rsid w:val="002753CF"/>
    <w:rsid w:val="002774DE"/>
    <w:rsid w:val="00282C22"/>
    <w:rsid w:val="002836FF"/>
    <w:rsid w:val="0028715B"/>
    <w:rsid w:val="00287B93"/>
    <w:rsid w:val="00290359"/>
    <w:rsid w:val="00291128"/>
    <w:rsid w:val="0029123D"/>
    <w:rsid w:val="002923AE"/>
    <w:rsid w:val="002948D9"/>
    <w:rsid w:val="002A0F6E"/>
    <w:rsid w:val="002A1A69"/>
    <w:rsid w:val="002A2BC6"/>
    <w:rsid w:val="002A34B9"/>
    <w:rsid w:val="002A5350"/>
    <w:rsid w:val="002A5A97"/>
    <w:rsid w:val="002A63A6"/>
    <w:rsid w:val="002B045F"/>
    <w:rsid w:val="002B3E7E"/>
    <w:rsid w:val="002B44B9"/>
    <w:rsid w:val="002B5B3F"/>
    <w:rsid w:val="002B5E6F"/>
    <w:rsid w:val="002B76A9"/>
    <w:rsid w:val="002B7B8A"/>
    <w:rsid w:val="002C101F"/>
    <w:rsid w:val="002C1F8E"/>
    <w:rsid w:val="002C2008"/>
    <w:rsid w:val="002C2565"/>
    <w:rsid w:val="002C5155"/>
    <w:rsid w:val="002C599E"/>
    <w:rsid w:val="002D0A31"/>
    <w:rsid w:val="002D1185"/>
    <w:rsid w:val="002D13AB"/>
    <w:rsid w:val="002D17B4"/>
    <w:rsid w:val="002D543B"/>
    <w:rsid w:val="002D6DAB"/>
    <w:rsid w:val="002E0B2B"/>
    <w:rsid w:val="002E1460"/>
    <w:rsid w:val="002E37DC"/>
    <w:rsid w:val="002E4A8E"/>
    <w:rsid w:val="002E59E6"/>
    <w:rsid w:val="002E62E5"/>
    <w:rsid w:val="002E7429"/>
    <w:rsid w:val="002F089C"/>
    <w:rsid w:val="002F1107"/>
    <w:rsid w:val="002F15FD"/>
    <w:rsid w:val="002F2759"/>
    <w:rsid w:val="002F3847"/>
    <w:rsid w:val="002F3994"/>
    <w:rsid w:val="002F5C2B"/>
    <w:rsid w:val="002F7402"/>
    <w:rsid w:val="00302053"/>
    <w:rsid w:val="00306FC6"/>
    <w:rsid w:val="00310789"/>
    <w:rsid w:val="00314E5B"/>
    <w:rsid w:val="00315622"/>
    <w:rsid w:val="003240DE"/>
    <w:rsid w:val="00325191"/>
    <w:rsid w:val="00325999"/>
    <w:rsid w:val="00325C89"/>
    <w:rsid w:val="00330F58"/>
    <w:rsid w:val="0033175C"/>
    <w:rsid w:val="0033195F"/>
    <w:rsid w:val="003337D6"/>
    <w:rsid w:val="00333C7C"/>
    <w:rsid w:val="00334211"/>
    <w:rsid w:val="00334B88"/>
    <w:rsid w:val="003378A5"/>
    <w:rsid w:val="00340173"/>
    <w:rsid w:val="00341943"/>
    <w:rsid w:val="00341D52"/>
    <w:rsid w:val="003420A8"/>
    <w:rsid w:val="003430E7"/>
    <w:rsid w:val="00344B3F"/>
    <w:rsid w:val="00344FD6"/>
    <w:rsid w:val="00351089"/>
    <w:rsid w:val="003516FB"/>
    <w:rsid w:val="00356A14"/>
    <w:rsid w:val="00356D25"/>
    <w:rsid w:val="00357661"/>
    <w:rsid w:val="00357BE4"/>
    <w:rsid w:val="00357D27"/>
    <w:rsid w:val="003609C0"/>
    <w:rsid w:val="00366792"/>
    <w:rsid w:val="003669F5"/>
    <w:rsid w:val="00370D56"/>
    <w:rsid w:val="003721D7"/>
    <w:rsid w:val="0037229B"/>
    <w:rsid w:val="00372B27"/>
    <w:rsid w:val="00372DA9"/>
    <w:rsid w:val="0037366C"/>
    <w:rsid w:val="00373A52"/>
    <w:rsid w:val="00380307"/>
    <w:rsid w:val="003823C5"/>
    <w:rsid w:val="003835B6"/>
    <w:rsid w:val="0038399D"/>
    <w:rsid w:val="0038400C"/>
    <w:rsid w:val="003843A6"/>
    <w:rsid w:val="003852E4"/>
    <w:rsid w:val="00385E30"/>
    <w:rsid w:val="00385F03"/>
    <w:rsid w:val="0039177C"/>
    <w:rsid w:val="00391D8C"/>
    <w:rsid w:val="00393703"/>
    <w:rsid w:val="003943EB"/>
    <w:rsid w:val="00395E58"/>
    <w:rsid w:val="003976CB"/>
    <w:rsid w:val="003A071A"/>
    <w:rsid w:val="003A3408"/>
    <w:rsid w:val="003A4062"/>
    <w:rsid w:val="003A5B69"/>
    <w:rsid w:val="003A663A"/>
    <w:rsid w:val="003B18F5"/>
    <w:rsid w:val="003B3029"/>
    <w:rsid w:val="003B3FFC"/>
    <w:rsid w:val="003B7DB0"/>
    <w:rsid w:val="003C1D00"/>
    <w:rsid w:val="003C24F4"/>
    <w:rsid w:val="003C3355"/>
    <w:rsid w:val="003C3B81"/>
    <w:rsid w:val="003C4CFF"/>
    <w:rsid w:val="003C6FBC"/>
    <w:rsid w:val="003C7256"/>
    <w:rsid w:val="003D0A5A"/>
    <w:rsid w:val="003D12DC"/>
    <w:rsid w:val="003D36E5"/>
    <w:rsid w:val="003D418A"/>
    <w:rsid w:val="003D5BAF"/>
    <w:rsid w:val="003D7E78"/>
    <w:rsid w:val="003E0B7C"/>
    <w:rsid w:val="003E2600"/>
    <w:rsid w:val="003E272A"/>
    <w:rsid w:val="003E440F"/>
    <w:rsid w:val="003E6B7E"/>
    <w:rsid w:val="003E7235"/>
    <w:rsid w:val="003F0A41"/>
    <w:rsid w:val="003F1194"/>
    <w:rsid w:val="003F2BA0"/>
    <w:rsid w:val="003F608E"/>
    <w:rsid w:val="003F6890"/>
    <w:rsid w:val="003F6CAB"/>
    <w:rsid w:val="003F7463"/>
    <w:rsid w:val="003F755F"/>
    <w:rsid w:val="003F79BA"/>
    <w:rsid w:val="00401019"/>
    <w:rsid w:val="0040117C"/>
    <w:rsid w:val="00404B21"/>
    <w:rsid w:val="00404C60"/>
    <w:rsid w:val="00407082"/>
    <w:rsid w:val="00410FCF"/>
    <w:rsid w:val="0041206F"/>
    <w:rsid w:val="004131CD"/>
    <w:rsid w:val="00414053"/>
    <w:rsid w:val="00417837"/>
    <w:rsid w:val="00420880"/>
    <w:rsid w:val="00420BE2"/>
    <w:rsid w:val="00421E83"/>
    <w:rsid w:val="0042440F"/>
    <w:rsid w:val="00425076"/>
    <w:rsid w:val="00426398"/>
    <w:rsid w:val="0042648D"/>
    <w:rsid w:val="004328F0"/>
    <w:rsid w:val="0044271A"/>
    <w:rsid w:val="004439CD"/>
    <w:rsid w:val="00443C3E"/>
    <w:rsid w:val="00444898"/>
    <w:rsid w:val="00445F29"/>
    <w:rsid w:val="00446AA3"/>
    <w:rsid w:val="004476F6"/>
    <w:rsid w:val="00447C67"/>
    <w:rsid w:val="0045109B"/>
    <w:rsid w:val="0045130F"/>
    <w:rsid w:val="00453AB8"/>
    <w:rsid w:val="0045445C"/>
    <w:rsid w:val="00456FA0"/>
    <w:rsid w:val="00460410"/>
    <w:rsid w:val="004608F9"/>
    <w:rsid w:val="0046131F"/>
    <w:rsid w:val="00461AAD"/>
    <w:rsid w:val="00461E68"/>
    <w:rsid w:val="004622E9"/>
    <w:rsid w:val="0046339D"/>
    <w:rsid w:val="004635F3"/>
    <w:rsid w:val="004652B4"/>
    <w:rsid w:val="0046647B"/>
    <w:rsid w:val="00467142"/>
    <w:rsid w:val="00471543"/>
    <w:rsid w:val="004723C6"/>
    <w:rsid w:val="004778C8"/>
    <w:rsid w:val="00477999"/>
    <w:rsid w:val="00477C9A"/>
    <w:rsid w:val="0048068F"/>
    <w:rsid w:val="00481778"/>
    <w:rsid w:val="004820E4"/>
    <w:rsid w:val="00482393"/>
    <w:rsid w:val="004911CC"/>
    <w:rsid w:val="00493476"/>
    <w:rsid w:val="00493CB6"/>
    <w:rsid w:val="00495644"/>
    <w:rsid w:val="00495CE2"/>
    <w:rsid w:val="004962AB"/>
    <w:rsid w:val="00496EAB"/>
    <w:rsid w:val="004A0EDF"/>
    <w:rsid w:val="004A125A"/>
    <w:rsid w:val="004A24DA"/>
    <w:rsid w:val="004A37EE"/>
    <w:rsid w:val="004A6157"/>
    <w:rsid w:val="004A6E2E"/>
    <w:rsid w:val="004B064B"/>
    <w:rsid w:val="004B1F36"/>
    <w:rsid w:val="004B21E9"/>
    <w:rsid w:val="004B4F9A"/>
    <w:rsid w:val="004B548F"/>
    <w:rsid w:val="004C45BD"/>
    <w:rsid w:val="004C50C6"/>
    <w:rsid w:val="004C5ADC"/>
    <w:rsid w:val="004C7BCE"/>
    <w:rsid w:val="004D040E"/>
    <w:rsid w:val="004D1BBF"/>
    <w:rsid w:val="004D2375"/>
    <w:rsid w:val="004D2656"/>
    <w:rsid w:val="004D2F70"/>
    <w:rsid w:val="004D3A9E"/>
    <w:rsid w:val="004D53C1"/>
    <w:rsid w:val="004D5A45"/>
    <w:rsid w:val="004E1F9B"/>
    <w:rsid w:val="004F1D58"/>
    <w:rsid w:val="004F1ED1"/>
    <w:rsid w:val="004F2261"/>
    <w:rsid w:val="004F6C6B"/>
    <w:rsid w:val="00500CB2"/>
    <w:rsid w:val="00504A09"/>
    <w:rsid w:val="00504D0F"/>
    <w:rsid w:val="00505925"/>
    <w:rsid w:val="00507051"/>
    <w:rsid w:val="005072CC"/>
    <w:rsid w:val="00510C01"/>
    <w:rsid w:val="00510E2B"/>
    <w:rsid w:val="0051323C"/>
    <w:rsid w:val="00515E2C"/>
    <w:rsid w:val="0052070D"/>
    <w:rsid w:val="0052072E"/>
    <w:rsid w:val="00521211"/>
    <w:rsid w:val="005224BF"/>
    <w:rsid w:val="00524E50"/>
    <w:rsid w:val="005269D4"/>
    <w:rsid w:val="00530932"/>
    <w:rsid w:val="00530D99"/>
    <w:rsid w:val="0053318D"/>
    <w:rsid w:val="00533374"/>
    <w:rsid w:val="00533830"/>
    <w:rsid w:val="00534A5B"/>
    <w:rsid w:val="0053567C"/>
    <w:rsid w:val="005362EA"/>
    <w:rsid w:val="0053722C"/>
    <w:rsid w:val="0054036C"/>
    <w:rsid w:val="00542DB5"/>
    <w:rsid w:val="00543F4C"/>
    <w:rsid w:val="005461A0"/>
    <w:rsid w:val="005463A4"/>
    <w:rsid w:val="005469F2"/>
    <w:rsid w:val="00551237"/>
    <w:rsid w:val="00551332"/>
    <w:rsid w:val="00551DF0"/>
    <w:rsid w:val="005522D0"/>
    <w:rsid w:val="005523BD"/>
    <w:rsid w:val="00552847"/>
    <w:rsid w:val="00557F95"/>
    <w:rsid w:val="005614ED"/>
    <w:rsid w:val="00561828"/>
    <w:rsid w:val="00561BF3"/>
    <w:rsid w:val="00562421"/>
    <w:rsid w:val="00562DB5"/>
    <w:rsid w:val="00565B90"/>
    <w:rsid w:val="00567D27"/>
    <w:rsid w:val="00567DCE"/>
    <w:rsid w:val="00570999"/>
    <w:rsid w:val="00571615"/>
    <w:rsid w:val="00572881"/>
    <w:rsid w:val="00573BBA"/>
    <w:rsid w:val="00573C60"/>
    <w:rsid w:val="00574322"/>
    <w:rsid w:val="00574A93"/>
    <w:rsid w:val="00575B7D"/>
    <w:rsid w:val="00576074"/>
    <w:rsid w:val="0057671D"/>
    <w:rsid w:val="005769C3"/>
    <w:rsid w:val="00576A32"/>
    <w:rsid w:val="00576DA6"/>
    <w:rsid w:val="00577BC8"/>
    <w:rsid w:val="00582C8C"/>
    <w:rsid w:val="00586124"/>
    <w:rsid w:val="00586347"/>
    <w:rsid w:val="00586A68"/>
    <w:rsid w:val="00586E97"/>
    <w:rsid w:val="00587B24"/>
    <w:rsid w:val="00587C1A"/>
    <w:rsid w:val="005909B8"/>
    <w:rsid w:val="005919AE"/>
    <w:rsid w:val="00591F49"/>
    <w:rsid w:val="005934EE"/>
    <w:rsid w:val="00594CE4"/>
    <w:rsid w:val="0059750A"/>
    <w:rsid w:val="00597922"/>
    <w:rsid w:val="005A09C0"/>
    <w:rsid w:val="005A4046"/>
    <w:rsid w:val="005A5B3C"/>
    <w:rsid w:val="005A70E5"/>
    <w:rsid w:val="005B1521"/>
    <w:rsid w:val="005B17B7"/>
    <w:rsid w:val="005B1F4E"/>
    <w:rsid w:val="005B3027"/>
    <w:rsid w:val="005B4B96"/>
    <w:rsid w:val="005B6893"/>
    <w:rsid w:val="005B6BE3"/>
    <w:rsid w:val="005B7E90"/>
    <w:rsid w:val="005C6739"/>
    <w:rsid w:val="005D0186"/>
    <w:rsid w:val="005D36F8"/>
    <w:rsid w:val="005D3D0D"/>
    <w:rsid w:val="005D5782"/>
    <w:rsid w:val="005D6B2C"/>
    <w:rsid w:val="005D6E4B"/>
    <w:rsid w:val="005E08F5"/>
    <w:rsid w:val="005E15AC"/>
    <w:rsid w:val="005E1E24"/>
    <w:rsid w:val="005E1F77"/>
    <w:rsid w:val="005E5C0D"/>
    <w:rsid w:val="005E62E2"/>
    <w:rsid w:val="005E75F2"/>
    <w:rsid w:val="005E7ADC"/>
    <w:rsid w:val="005E7C88"/>
    <w:rsid w:val="005F0DE4"/>
    <w:rsid w:val="005F1BA4"/>
    <w:rsid w:val="005F37DB"/>
    <w:rsid w:val="005F3D8A"/>
    <w:rsid w:val="005F3DBD"/>
    <w:rsid w:val="006008FD"/>
    <w:rsid w:val="00600A18"/>
    <w:rsid w:val="00600AAA"/>
    <w:rsid w:val="00602B95"/>
    <w:rsid w:val="00602C3B"/>
    <w:rsid w:val="00602C9C"/>
    <w:rsid w:val="0060310F"/>
    <w:rsid w:val="006037BB"/>
    <w:rsid w:val="00603A48"/>
    <w:rsid w:val="00604606"/>
    <w:rsid w:val="00605134"/>
    <w:rsid w:val="00606124"/>
    <w:rsid w:val="00606E4C"/>
    <w:rsid w:val="00606E54"/>
    <w:rsid w:val="00606ED4"/>
    <w:rsid w:val="00607458"/>
    <w:rsid w:val="00610669"/>
    <w:rsid w:val="0061587B"/>
    <w:rsid w:val="006222C7"/>
    <w:rsid w:val="00622927"/>
    <w:rsid w:val="0062439C"/>
    <w:rsid w:val="00626F51"/>
    <w:rsid w:val="006301B0"/>
    <w:rsid w:val="006338F6"/>
    <w:rsid w:val="00633B56"/>
    <w:rsid w:val="00634340"/>
    <w:rsid w:val="00635FE8"/>
    <w:rsid w:val="00641E62"/>
    <w:rsid w:val="00641F2F"/>
    <w:rsid w:val="00642055"/>
    <w:rsid w:val="00643342"/>
    <w:rsid w:val="00643A3E"/>
    <w:rsid w:val="006444B5"/>
    <w:rsid w:val="006474F9"/>
    <w:rsid w:val="006506CB"/>
    <w:rsid w:val="00652D85"/>
    <w:rsid w:val="006532B8"/>
    <w:rsid w:val="00654968"/>
    <w:rsid w:val="00656FEC"/>
    <w:rsid w:val="00657041"/>
    <w:rsid w:val="0065749A"/>
    <w:rsid w:val="006632CE"/>
    <w:rsid w:val="00664CC2"/>
    <w:rsid w:val="0066676B"/>
    <w:rsid w:val="00667622"/>
    <w:rsid w:val="00670059"/>
    <w:rsid w:val="00671F80"/>
    <w:rsid w:val="00673441"/>
    <w:rsid w:val="00673535"/>
    <w:rsid w:val="00674798"/>
    <w:rsid w:val="006748E4"/>
    <w:rsid w:val="00674C77"/>
    <w:rsid w:val="006753B7"/>
    <w:rsid w:val="00675B52"/>
    <w:rsid w:val="0067711D"/>
    <w:rsid w:val="00677D98"/>
    <w:rsid w:val="00680743"/>
    <w:rsid w:val="00680DD8"/>
    <w:rsid w:val="00681F98"/>
    <w:rsid w:val="00682100"/>
    <w:rsid w:val="0068378D"/>
    <w:rsid w:val="00683A9E"/>
    <w:rsid w:val="0068470B"/>
    <w:rsid w:val="006847F6"/>
    <w:rsid w:val="00686E03"/>
    <w:rsid w:val="0068711A"/>
    <w:rsid w:val="0069148C"/>
    <w:rsid w:val="00691E0C"/>
    <w:rsid w:val="00692CAC"/>
    <w:rsid w:val="0069385F"/>
    <w:rsid w:val="00694853"/>
    <w:rsid w:val="00694EAC"/>
    <w:rsid w:val="00696A38"/>
    <w:rsid w:val="006A1C35"/>
    <w:rsid w:val="006A347E"/>
    <w:rsid w:val="006A3758"/>
    <w:rsid w:val="006A3AD0"/>
    <w:rsid w:val="006A3FAF"/>
    <w:rsid w:val="006A45D8"/>
    <w:rsid w:val="006A7143"/>
    <w:rsid w:val="006B2802"/>
    <w:rsid w:val="006B4255"/>
    <w:rsid w:val="006B5C66"/>
    <w:rsid w:val="006B7061"/>
    <w:rsid w:val="006B7866"/>
    <w:rsid w:val="006B78B1"/>
    <w:rsid w:val="006C06B0"/>
    <w:rsid w:val="006C1D15"/>
    <w:rsid w:val="006C3C10"/>
    <w:rsid w:val="006C3D99"/>
    <w:rsid w:val="006C41A7"/>
    <w:rsid w:val="006C46F6"/>
    <w:rsid w:val="006C4FFA"/>
    <w:rsid w:val="006C6054"/>
    <w:rsid w:val="006C7E68"/>
    <w:rsid w:val="006D1C8B"/>
    <w:rsid w:val="006D1FD9"/>
    <w:rsid w:val="006D2CC4"/>
    <w:rsid w:val="006D30B4"/>
    <w:rsid w:val="006D561B"/>
    <w:rsid w:val="006D5FE0"/>
    <w:rsid w:val="006D60C9"/>
    <w:rsid w:val="006E0B26"/>
    <w:rsid w:val="006E15AB"/>
    <w:rsid w:val="006E4708"/>
    <w:rsid w:val="006E48F3"/>
    <w:rsid w:val="006E4B6F"/>
    <w:rsid w:val="006E5700"/>
    <w:rsid w:val="006F0A50"/>
    <w:rsid w:val="006F1862"/>
    <w:rsid w:val="006F7057"/>
    <w:rsid w:val="006F7166"/>
    <w:rsid w:val="006F74ED"/>
    <w:rsid w:val="007009CF"/>
    <w:rsid w:val="0070201D"/>
    <w:rsid w:val="00702521"/>
    <w:rsid w:val="00702C29"/>
    <w:rsid w:val="00704B1B"/>
    <w:rsid w:val="00704DA6"/>
    <w:rsid w:val="0070583B"/>
    <w:rsid w:val="007078C0"/>
    <w:rsid w:val="00710339"/>
    <w:rsid w:val="00710DD0"/>
    <w:rsid w:val="00711A87"/>
    <w:rsid w:val="00712643"/>
    <w:rsid w:val="00712B27"/>
    <w:rsid w:val="007133E9"/>
    <w:rsid w:val="00714670"/>
    <w:rsid w:val="00716031"/>
    <w:rsid w:val="00720069"/>
    <w:rsid w:val="00720649"/>
    <w:rsid w:val="00721C9D"/>
    <w:rsid w:val="00723283"/>
    <w:rsid w:val="00724EFE"/>
    <w:rsid w:val="007253EF"/>
    <w:rsid w:val="00726664"/>
    <w:rsid w:val="007268A8"/>
    <w:rsid w:val="00731692"/>
    <w:rsid w:val="007318D7"/>
    <w:rsid w:val="00731C0D"/>
    <w:rsid w:val="0073478D"/>
    <w:rsid w:val="0073558C"/>
    <w:rsid w:val="0074026B"/>
    <w:rsid w:val="007415DF"/>
    <w:rsid w:val="00741635"/>
    <w:rsid w:val="0074310C"/>
    <w:rsid w:val="00745B20"/>
    <w:rsid w:val="00745F2C"/>
    <w:rsid w:val="007466ED"/>
    <w:rsid w:val="00750805"/>
    <w:rsid w:val="00751326"/>
    <w:rsid w:val="0075321F"/>
    <w:rsid w:val="00753C12"/>
    <w:rsid w:val="00757122"/>
    <w:rsid w:val="007610B5"/>
    <w:rsid w:val="00761AF0"/>
    <w:rsid w:val="00761BD8"/>
    <w:rsid w:val="007645B9"/>
    <w:rsid w:val="00764CCC"/>
    <w:rsid w:val="00764CE1"/>
    <w:rsid w:val="00765CBC"/>
    <w:rsid w:val="007661F0"/>
    <w:rsid w:val="0076624F"/>
    <w:rsid w:val="00774F6B"/>
    <w:rsid w:val="00775913"/>
    <w:rsid w:val="0077635C"/>
    <w:rsid w:val="0077658D"/>
    <w:rsid w:val="00780BB9"/>
    <w:rsid w:val="007812E2"/>
    <w:rsid w:val="00781A45"/>
    <w:rsid w:val="00781DBA"/>
    <w:rsid w:val="007857F9"/>
    <w:rsid w:val="00790AB3"/>
    <w:rsid w:val="00794B22"/>
    <w:rsid w:val="00795345"/>
    <w:rsid w:val="00796193"/>
    <w:rsid w:val="00796AB7"/>
    <w:rsid w:val="007A2665"/>
    <w:rsid w:val="007A2D0F"/>
    <w:rsid w:val="007A380A"/>
    <w:rsid w:val="007A3EBD"/>
    <w:rsid w:val="007A42FF"/>
    <w:rsid w:val="007A506C"/>
    <w:rsid w:val="007A5BDC"/>
    <w:rsid w:val="007A64ED"/>
    <w:rsid w:val="007A6B8C"/>
    <w:rsid w:val="007A7406"/>
    <w:rsid w:val="007B1965"/>
    <w:rsid w:val="007B20BC"/>
    <w:rsid w:val="007B2FCB"/>
    <w:rsid w:val="007B4592"/>
    <w:rsid w:val="007B499A"/>
    <w:rsid w:val="007B4CF1"/>
    <w:rsid w:val="007C0C27"/>
    <w:rsid w:val="007C15C3"/>
    <w:rsid w:val="007C2A86"/>
    <w:rsid w:val="007C2CF8"/>
    <w:rsid w:val="007C3EB4"/>
    <w:rsid w:val="007C69D7"/>
    <w:rsid w:val="007D0508"/>
    <w:rsid w:val="007D2A87"/>
    <w:rsid w:val="007D3D7A"/>
    <w:rsid w:val="007D62A5"/>
    <w:rsid w:val="007D634D"/>
    <w:rsid w:val="007D6A7A"/>
    <w:rsid w:val="007E0F75"/>
    <w:rsid w:val="007E225C"/>
    <w:rsid w:val="007E2548"/>
    <w:rsid w:val="007E2B0A"/>
    <w:rsid w:val="007E2C91"/>
    <w:rsid w:val="007E2DC0"/>
    <w:rsid w:val="007E6B95"/>
    <w:rsid w:val="007E6BB1"/>
    <w:rsid w:val="007E6F4B"/>
    <w:rsid w:val="007F26B2"/>
    <w:rsid w:val="007F4A17"/>
    <w:rsid w:val="007F4EF0"/>
    <w:rsid w:val="007F54EF"/>
    <w:rsid w:val="007F556B"/>
    <w:rsid w:val="008001F5"/>
    <w:rsid w:val="0080194C"/>
    <w:rsid w:val="00801BB3"/>
    <w:rsid w:val="00802747"/>
    <w:rsid w:val="00802B58"/>
    <w:rsid w:val="008042EC"/>
    <w:rsid w:val="008051A2"/>
    <w:rsid w:val="00810C05"/>
    <w:rsid w:val="008119DA"/>
    <w:rsid w:val="00811B23"/>
    <w:rsid w:val="0081473C"/>
    <w:rsid w:val="00815340"/>
    <w:rsid w:val="0081571F"/>
    <w:rsid w:val="00815A44"/>
    <w:rsid w:val="008169B8"/>
    <w:rsid w:val="008203D0"/>
    <w:rsid w:val="00820C73"/>
    <w:rsid w:val="00820E81"/>
    <w:rsid w:val="0082205B"/>
    <w:rsid w:val="0082237E"/>
    <w:rsid w:val="0082288D"/>
    <w:rsid w:val="00823B37"/>
    <w:rsid w:val="00826229"/>
    <w:rsid w:val="008317C6"/>
    <w:rsid w:val="00833301"/>
    <w:rsid w:val="008338F5"/>
    <w:rsid w:val="00833A23"/>
    <w:rsid w:val="008348D9"/>
    <w:rsid w:val="00840284"/>
    <w:rsid w:val="008407F1"/>
    <w:rsid w:val="00842957"/>
    <w:rsid w:val="008437F0"/>
    <w:rsid w:val="00844511"/>
    <w:rsid w:val="00845122"/>
    <w:rsid w:val="00851606"/>
    <w:rsid w:val="00852A7B"/>
    <w:rsid w:val="00852B7A"/>
    <w:rsid w:val="00852C5D"/>
    <w:rsid w:val="008546BB"/>
    <w:rsid w:val="00854F2E"/>
    <w:rsid w:val="00855FDC"/>
    <w:rsid w:val="00857B3B"/>
    <w:rsid w:val="00860C7B"/>
    <w:rsid w:val="00862029"/>
    <w:rsid w:val="00862615"/>
    <w:rsid w:val="008632DE"/>
    <w:rsid w:val="00863DEE"/>
    <w:rsid w:val="00865473"/>
    <w:rsid w:val="00866CE2"/>
    <w:rsid w:val="008670AE"/>
    <w:rsid w:val="00871FE3"/>
    <w:rsid w:val="008723CD"/>
    <w:rsid w:val="00872FCA"/>
    <w:rsid w:val="0087307B"/>
    <w:rsid w:val="00873966"/>
    <w:rsid w:val="008753D6"/>
    <w:rsid w:val="0087563A"/>
    <w:rsid w:val="008759EA"/>
    <w:rsid w:val="00875E4F"/>
    <w:rsid w:val="00876040"/>
    <w:rsid w:val="0088035A"/>
    <w:rsid w:val="0088074E"/>
    <w:rsid w:val="00882574"/>
    <w:rsid w:val="00883A25"/>
    <w:rsid w:val="00883FBB"/>
    <w:rsid w:val="00885225"/>
    <w:rsid w:val="00887263"/>
    <w:rsid w:val="00887616"/>
    <w:rsid w:val="00887CD6"/>
    <w:rsid w:val="00887FE7"/>
    <w:rsid w:val="00890918"/>
    <w:rsid w:val="0089283C"/>
    <w:rsid w:val="00892A5F"/>
    <w:rsid w:val="00893EA9"/>
    <w:rsid w:val="00896A21"/>
    <w:rsid w:val="00896B57"/>
    <w:rsid w:val="008978D0"/>
    <w:rsid w:val="00897B80"/>
    <w:rsid w:val="00897B9E"/>
    <w:rsid w:val="008A1E84"/>
    <w:rsid w:val="008A7A15"/>
    <w:rsid w:val="008A7F3B"/>
    <w:rsid w:val="008B1DDB"/>
    <w:rsid w:val="008B4DE4"/>
    <w:rsid w:val="008B51CC"/>
    <w:rsid w:val="008C07C1"/>
    <w:rsid w:val="008C1560"/>
    <w:rsid w:val="008C1E96"/>
    <w:rsid w:val="008C2668"/>
    <w:rsid w:val="008C560A"/>
    <w:rsid w:val="008C77A8"/>
    <w:rsid w:val="008D072F"/>
    <w:rsid w:val="008D0F90"/>
    <w:rsid w:val="008D1098"/>
    <w:rsid w:val="008D1750"/>
    <w:rsid w:val="008D1E2C"/>
    <w:rsid w:val="008D3524"/>
    <w:rsid w:val="008D740A"/>
    <w:rsid w:val="008E096D"/>
    <w:rsid w:val="008E306A"/>
    <w:rsid w:val="008E42CC"/>
    <w:rsid w:val="008F04B7"/>
    <w:rsid w:val="008F308B"/>
    <w:rsid w:val="008F346F"/>
    <w:rsid w:val="008F65EE"/>
    <w:rsid w:val="008F73D9"/>
    <w:rsid w:val="008F7C7B"/>
    <w:rsid w:val="008F7DA7"/>
    <w:rsid w:val="009020C5"/>
    <w:rsid w:val="00902B12"/>
    <w:rsid w:val="00902EA1"/>
    <w:rsid w:val="009030C8"/>
    <w:rsid w:val="009047E1"/>
    <w:rsid w:val="009052FB"/>
    <w:rsid w:val="00905B80"/>
    <w:rsid w:val="0090790C"/>
    <w:rsid w:val="00907E6C"/>
    <w:rsid w:val="00907FB9"/>
    <w:rsid w:val="009109F5"/>
    <w:rsid w:val="00912F53"/>
    <w:rsid w:val="00914B4B"/>
    <w:rsid w:val="009165E0"/>
    <w:rsid w:val="00916C57"/>
    <w:rsid w:val="00920A96"/>
    <w:rsid w:val="00920B22"/>
    <w:rsid w:val="00922042"/>
    <w:rsid w:val="00922223"/>
    <w:rsid w:val="009247F2"/>
    <w:rsid w:val="00925914"/>
    <w:rsid w:val="009262CB"/>
    <w:rsid w:val="00930E3A"/>
    <w:rsid w:val="00931DD9"/>
    <w:rsid w:val="00932700"/>
    <w:rsid w:val="0093521B"/>
    <w:rsid w:val="009357C1"/>
    <w:rsid w:val="00935E83"/>
    <w:rsid w:val="00936477"/>
    <w:rsid w:val="00940305"/>
    <w:rsid w:val="00940901"/>
    <w:rsid w:val="00943CDC"/>
    <w:rsid w:val="00947F37"/>
    <w:rsid w:val="00951974"/>
    <w:rsid w:val="009532A9"/>
    <w:rsid w:val="00954035"/>
    <w:rsid w:val="009551DE"/>
    <w:rsid w:val="0095541D"/>
    <w:rsid w:val="00956BBC"/>
    <w:rsid w:val="0095716E"/>
    <w:rsid w:val="009574AF"/>
    <w:rsid w:val="00957DEA"/>
    <w:rsid w:val="0096123E"/>
    <w:rsid w:val="00962F48"/>
    <w:rsid w:val="009652EF"/>
    <w:rsid w:val="0097491C"/>
    <w:rsid w:val="00975089"/>
    <w:rsid w:val="009759B2"/>
    <w:rsid w:val="009761A5"/>
    <w:rsid w:val="00980BD0"/>
    <w:rsid w:val="00980C32"/>
    <w:rsid w:val="00982BB8"/>
    <w:rsid w:val="00983173"/>
    <w:rsid w:val="00984748"/>
    <w:rsid w:val="00984EC0"/>
    <w:rsid w:val="00985058"/>
    <w:rsid w:val="00985904"/>
    <w:rsid w:val="009860E0"/>
    <w:rsid w:val="00987125"/>
    <w:rsid w:val="00987360"/>
    <w:rsid w:val="00987876"/>
    <w:rsid w:val="00987B00"/>
    <w:rsid w:val="00992291"/>
    <w:rsid w:val="00994AD3"/>
    <w:rsid w:val="00995671"/>
    <w:rsid w:val="00995988"/>
    <w:rsid w:val="00996847"/>
    <w:rsid w:val="00996BB7"/>
    <w:rsid w:val="009A106E"/>
    <w:rsid w:val="009A17E6"/>
    <w:rsid w:val="009A1FA0"/>
    <w:rsid w:val="009A2B45"/>
    <w:rsid w:val="009A4BE4"/>
    <w:rsid w:val="009A5C66"/>
    <w:rsid w:val="009B08F3"/>
    <w:rsid w:val="009B1C16"/>
    <w:rsid w:val="009B1EA9"/>
    <w:rsid w:val="009B2890"/>
    <w:rsid w:val="009B2ED8"/>
    <w:rsid w:val="009B5311"/>
    <w:rsid w:val="009B5321"/>
    <w:rsid w:val="009B5E14"/>
    <w:rsid w:val="009C2B39"/>
    <w:rsid w:val="009C49FF"/>
    <w:rsid w:val="009C4F35"/>
    <w:rsid w:val="009C5401"/>
    <w:rsid w:val="009C59CD"/>
    <w:rsid w:val="009C742C"/>
    <w:rsid w:val="009C77E9"/>
    <w:rsid w:val="009C7AF8"/>
    <w:rsid w:val="009D0F2E"/>
    <w:rsid w:val="009D1B55"/>
    <w:rsid w:val="009D2AD3"/>
    <w:rsid w:val="009D3375"/>
    <w:rsid w:val="009D3958"/>
    <w:rsid w:val="009D4930"/>
    <w:rsid w:val="009D6F64"/>
    <w:rsid w:val="009D7E9C"/>
    <w:rsid w:val="009E158E"/>
    <w:rsid w:val="009E2E83"/>
    <w:rsid w:val="009E3F6C"/>
    <w:rsid w:val="009E60CB"/>
    <w:rsid w:val="009F04CF"/>
    <w:rsid w:val="009F1D2E"/>
    <w:rsid w:val="009F22AF"/>
    <w:rsid w:val="009F2917"/>
    <w:rsid w:val="009F2BEF"/>
    <w:rsid w:val="009F30FE"/>
    <w:rsid w:val="009F3B75"/>
    <w:rsid w:val="009F6EF2"/>
    <w:rsid w:val="009F7783"/>
    <w:rsid w:val="00A008CA"/>
    <w:rsid w:val="00A026B9"/>
    <w:rsid w:val="00A04DB7"/>
    <w:rsid w:val="00A05E1C"/>
    <w:rsid w:val="00A110F2"/>
    <w:rsid w:val="00A11F8B"/>
    <w:rsid w:val="00A12ACD"/>
    <w:rsid w:val="00A16C26"/>
    <w:rsid w:val="00A22001"/>
    <w:rsid w:val="00A222D6"/>
    <w:rsid w:val="00A22C14"/>
    <w:rsid w:val="00A22EBA"/>
    <w:rsid w:val="00A23F7D"/>
    <w:rsid w:val="00A254EF"/>
    <w:rsid w:val="00A257BF"/>
    <w:rsid w:val="00A273B5"/>
    <w:rsid w:val="00A33CBB"/>
    <w:rsid w:val="00A34506"/>
    <w:rsid w:val="00A34EF2"/>
    <w:rsid w:val="00A37FA2"/>
    <w:rsid w:val="00A40121"/>
    <w:rsid w:val="00A40538"/>
    <w:rsid w:val="00A40618"/>
    <w:rsid w:val="00A40C5F"/>
    <w:rsid w:val="00A41CE8"/>
    <w:rsid w:val="00A462B5"/>
    <w:rsid w:val="00A46780"/>
    <w:rsid w:val="00A47867"/>
    <w:rsid w:val="00A50B16"/>
    <w:rsid w:val="00A50E18"/>
    <w:rsid w:val="00A52473"/>
    <w:rsid w:val="00A528D3"/>
    <w:rsid w:val="00A528E0"/>
    <w:rsid w:val="00A53D29"/>
    <w:rsid w:val="00A559A6"/>
    <w:rsid w:val="00A55AD6"/>
    <w:rsid w:val="00A5633D"/>
    <w:rsid w:val="00A573AE"/>
    <w:rsid w:val="00A57A2B"/>
    <w:rsid w:val="00A57DF2"/>
    <w:rsid w:val="00A61B38"/>
    <w:rsid w:val="00A6249F"/>
    <w:rsid w:val="00A65171"/>
    <w:rsid w:val="00A65D5D"/>
    <w:rsid w:val="00A666A8"/>
    <w:rsid w:val="00A6716E"/>
    <w:rsid w:val="00A673F1"/>
    <w:rsid w:val="00A6766A"/>
    <w:rsid w:val="00A708DB"/>
    <w:rsid w:val="00A70916"/>
    <w:rsid w:val="00A7447B"/>
    <w:rsid w:val="00A753F1"/>
    <w:rsid w:val="00A76039"/>
    <w:rsid w:val="00A76DBF"/>
    <w:rsid w:val="00A7772A"/>
    <w:rsid w:val="00A77974"/>
    <w:rsid w:val="00A80100"/>
    <w:rsid w:val="00A8146B"/>
    <w:rsid w:val="00A81AA6"/>
    <w:rsid w:val="00A843AD"/>
    <w:rsid w:val="00A84798"/>
    <w:rsid w:val="00A84B19"/>
    <w:rsid w:val="00A866B6"/>
    <w:rsid w:val="00A86850"/>
    <w:rsid w:val="00A8773D"/>
    <w:rsid w:val="00A87E05"/>
    <w:rsid w:val="00A904FE"/>
    <w:rsid w:val="00A90CC3"/>
    <w:rsid w:val="00A93537"/>
    <w:rsid w:val="00A9421B"/>
    <w:rsid w:val="00A9474F"/>
    <w:rsid w:val="00A949A4"/>
    <w:rsid w:val="00A95205"/>
    <w:rsid w:val="00A95DFE"/>
    <w:rsid w:val="00A9644B"/>
    <w:rsid w:val="00A964E5"/>
    <w:rsid w:val="00A96DB0"/>
    <w:rsid w:val="00AA1A4F"/>
    <w:rsid w:val="00AA266D"/>
    <w:rsid w:val="00AA2948"/>
    <w:rsid w:val="00AA6DFB"/>
    <w:rsid w:val="00AB0724"/>
    <w:rsid w:val="00AB17CE"/>
    <w:rsid w:val="00AB182A"/>
    <w:rsid w:val="00AB2302"/>
    <w:rsid w:val="00AB625D"/>
    <w:rsid w:val="00AB6ACE"/>
    <w:rsid w:val="00AB6FB9"/>
    <w:rsid w:val="00AB6FC3"/>
    <w:rsid w:val="00AB7C68"/>
    <w:rsid w:val="00AC1DF0"/>
    <w:rsid w:val="00AC2F26"/>
    <w:rsid w:val="00AC3691"/>
    <w:rsid w:val="00AC46F9"/>
    <w:rsid w:val="00AC5F30"/>
    <w:rsid w:val="00AC6E54"/>
    <w:rsid w:val="00AC7731"/>
    <w:rsid w:val="00AD0370"/>
    <w:rsid w:val="00AD03FA"/>
    <w:rsid w:val="00AD1434"/>
    <w:rsid w:val="00AD164F"/>
    <w:rsid w:val="00AD279A"/>
    <w:rsid w:val="00AD403F"/>
    <w:rsid w:val="00AD7091"/>
    <w:rsid w:val="00AE095A"/>
    <w:rsid w:val="00AE09DA"/>
    <w:rsid w:val="00AE0BFD"/>
    <w:rsid w:val="00AE3D5E"/>
    <w:rsid w:val="00AE6197"/>
    <w:rsid w:val="00AE6676"/>
    <w:rsid w:val="00AE6AB2"/>
    <w:rsid w:val="00AF1810"/>
    <w:rsid w:val="00AF1BDE"/>
    <w:rsid w:val="00AF265B"/>
    <w:rsid w:val="00AF349C"/>
    <w:rsid w:val="00AF4890"/>
    <w:rsid w:val="00AF5418"/>
    <w:rsid w:val="00AF7A55"/>
    <w:rsid w:val="00AF7A5B"/>
    <w:rsid w:val="00B03A22"/>
    <w:rsid w:val="00B06AA4"/>
    <w:rsid w:val="00B070B5"/>
    <w:rsid w:val="00B07117"/>
    <w:rsid w:val="00B11633"/>
    <w:rsid w:val="00B11B2B"/>
    <w:rsid w:val="00B1329E"/>
    <w:rsid w:val="00B14F3C"/>
    <w:rsid w:val="00B15749"/>
    <w:rsid w:val="00B15F6E"/>
    <w:rsid w:val="00B16809"/>
    <w:rsid w:val="00B16AFF"/>
    <w:rsid w:val="00B2206E"/>
    <w:rsid w:val="00B2782F"/>
    <w:rsid w:val="00B320C5"/>
    <w:rsid w:val="00B324CD"/>
    <w:rsid w:val="00B334C1"/>
    <w:rsid w:val="00B3727E"/>
    <w:rsid w:val="00B374A2"/>
    <w:rsid w:val="00B4132D"/>
    <w:rsid w:val="00B438DB"/>
    <w:rsid w:val="00B43F62"/>
    <w:rsid w:val="00B44515"/>
    <w:rsid w:val="00B47263"/>
    <w:rsid w:val="00B50259"/>
    <w:rsid w:val="00B527DB"/>
    <w:rsid w:val="00B536D6"/>
    <w:rsid w:val="00B5398D"/>
    <w:rsid w:val="00B53C98"/>
    <w:rsid w:val="00B54A8E"/>
    <w:rsid w:val="00B60F90"/>
    <w:rsid w:val="00B624F8"/>
    <w:rsid w:val="00B62656"/>
    <w:rsid w:val="00B641C1"/>
    <w:rsid w:val="00B6611B"/>
    <w:rsid w:val="00B66252"/>
    <w:rsid w:val="00B669EB"/>
    <w:rsid w:val="00B672E2"/>
    <w:rsid w:val="00B674F9"/>
    <w:rsid w:val="00B67912"/>
    <w:rsid w:val="00B67A6B"/>
    <w:rsid w:val="00B67B81"/>
    <w:rsid w:val="00B71437"/>
    <w:rsid w:val="00B72061"/>
    <w:rsid w:val="00B7367B"/>
    <w:rsid w:val="00B736E5"/>
    <w:rsid w:val="00B73A49"/>
    <w:rsid w:val="00B73B05"/>
    <w:rsid w:val="00B75D92"/>
    <w:rsid w:val="00B7648F"/>
    <w:rsid w:val="00B76D23"/>
    <w:rsid w:val="00B81076"/>
    <w:rsid w:val="00B87675"/>
    <w:rsid w:val="00B9017F"/>
    <w:rsid w:val="00B90BCF"/>
    <w:rsid w:val="00B91845"/>
    <w:rsid w:val="00B927CD"/>
    <w:rsid w:val="00B9362E"/>
    <w:rsid w:val="00B93905"/>
    <w:rsid w:val="00B9653B"/>
    <w:rsid w:val="00B972C0"/>
    <w:rsid w:val="00B97E08"/>
    <w:rsid w:val="00BA0096"/>
    <w:rsid w:val="00BA09A8"/>
    <w:rsid w:val="00BA3F88"/>
    <w:rsid w:val="00BA6922"/>
    <w:rsid w:val="00BB0316"/>
    <w:rsid w:val="00BB1E06"/>
    <w:rsid w:val="00BB2324"/>
    <w:rsid w:val="00BB38AF"/>
    <w:rsid w:val="00BB764F"/>
    <w:rsid w:val="00BC00C1"/>
    <w:rsid w:val="00BC0BC3"/>
    <w:rsid w:val="00BC4C7F"/>
    <w:rsid w:val="00BC5199"/>
    <w:rsid w:val="00BC6068"/>
    <w:rsid w:val="00BD0454"/>
    <w:rsid w:val="00BD051B"/>
    <w:rsid w:val="00BD05DD"/>
    <w:rsid w:val="00BD0CDD"/>
    <w:rsid w:val="00BD1105"/>
    <w:rsid w:val="00BD3782"/>
    <w:rsid w:val="00BD3967"/>
    <w:rsid w:val="00BD46BA"/>
    <w:rsid w:val="00BD5DDE"/>
    <w:rsid w:val="00BD791E"/>
    <w:rsid w:val="00BE1A7A"/>
    <w:rsid w:val="00BE1DF6"/>
    <w:rsid w:val="00BE4550"/>
    <w:rsid w:val="00BE58F1"/>
    <w:rsid w:val="00BE7262"/>
    <w:rsid w:val="00BF1014"/>
    <w:rsid w:val="00BF2F25"/>
    <w:rsid w:val="00BF3C99"/>
    <w:rsid w:val="00BF548E"/>
    <w:rsid w:val="00BF6944"/>
    <w:rsid w:val="00BF708D"/>
    <w:rsid w:val="00C031E5"/>
    <w:rsid w:val="00C117B2"/>
    <w:rsid w:val="00C12220"/>
    <w:rsid w:val="00C132AA"/>
    <w:rsid w:val="00C14156"/>
    <w:rsid w:val="00C143E1"/>
    <w:rsid w:val="00C16A9E"/>
    <w:rsid w:val="00C202B1"/>
    <w:rsid w:val="00C209D4"/>
    <w:rsid w:val="00C20CA5"/>
    <w:rsid w:val="00C2107B"/>
    <w:rsid w:val="00C21296"/>
    <w:rsid w:val="00C25964"/>
    <w:rsid w:val="00C26FEA"/>
    <w:rsid w:val="00C30723"/>
    <w:rsid w:val="00C319AA"/>
    <w:rsid w:val="00C32590"/>
    <w:rsid w:val="00C33615"/>
    <w:rsid w:val="00C3469E"/>
    <w:rsid w:val="00C34F43"/>
    <w:rsid w:val="00C35A64"/>
    <w:rsid w:val="00C403EC"/>
    <w:rsid w:val="00C40DC8"/>
    <w:rsid w:val="00C429E3"/>
    <w:rsid w:val="00C44521"/>
    <w:rsid w:val="00C463BC"/>
    <w:rsid w:val="00C513EC"/>
    <w:rsid w:val="00C5233F"/>
    <w:rsid w:val="00C54623"/>
    <w:rsid w:val="00C57B8D"/>
    <w:rsid w:val="00C605F6"/>
    <w:rsid w:val="00C6102D"/>
    <w:rsid w:val="00C617F3"/>
    <w:rsid w:val="00C621BA"/>
    <w:rsid w:val="00C6229E"/>
    <w:rsid w:val="00C62459"/>
    <w:rsid w:val="00C649F1"/>
    <w:rsid w:val="00C64A74"/>
    <w:rsid w:val="00C66626"/>
    <w:rsid w:val="00C66B31"/>
    <w:rsid w:val="00C70CC1"/>
    <w:rsid w:val="00C71074"/>
    <w:rsid w:val="00C7284B"/>
    <w:rsid w:val="00C73AF1"/>
    <w:rsid w:val="00C76812"/>
    <w:rsid w:val="00C83219"/>
    <w:rsid w:val="00C83412"/>
    <w:rsid w:val="00C834F3"/>
    <w:rsid w:val="00C83BD9"/>
    <w:rsid w:val="00C83F74"/>
    <w:rsid w:val="00C84003"/>
    <w:rsid w:val="00C84964"/>
    <w:rsid w:val="00C85F88"/>
    <w:rsid w:val="00C8604E"/>
    <w:rsid w:val="00C871A9"/>
    <w:rsid w:val="00C87F28"/>
    <w:rsid w:val="00C90603"/>
    <w:rsid w:val="00C923BD"/>
    <w:rsid w:val="00C9330D"/>
    <w:rsid w:val="00C93349"/>
    <w:rsid w:val="00C94A09"/>
    <w:rsid w:val="00C9640F"/>
    <w:rsid w:val="00C96DCC"/>
    <w:rsid w:val="00CA15B8"/>
    <w:rsid w:val="00CA2522"/>
    <w:rsid w:val="00CA3A4D"/>
    <w:rsid w:val="00CA64BE"/>
    <w:rsid w:val="00CB0A43"/>
    <w:rsid w:val="00CB0AC5"/>
    <w:rsid w:val="00CB1D22"/>
    <w:rsid w:val="00CB2469"/>
    <w:rsid w:val="00CB25E3"/>
    <w:rsid w:val="00CB31B3"/>
    <w:rsid w:val="00CB459C"/>
    <w:rsid w:val="00CB5C04"/>
    <w:rsid w:val="00CB5EE4"/>
    <w:rsid w:val="00CB707F"/>
    <w:rsid w:val="00CC03DC"/>
    <w:rsid w:val="00CC0C7C"/>
    <w:rsid w:val="00CC3641"/>
    <w:rsid w:val="00CC4057"/>
    <w:rsid w:val="00CD027A"/>
    <w:rsid w:val="00CD1A58"/>
    <w:rsid w:val="00CD360A"/>
    <w:rsid w:val="00CD417C"/>
    <w:rsid w:val="00CD4B85"/>
    <w:rsid w:val="00CD52BA"/>
    <w:rsid w:val="00CD65CC"/>
    <w:rsid w:val="00CD68D3"/>
    <w:rsid w:val="00CD73CE"/>
    <w:rsid w:val="00CE50BE"/>
    <w:rsid w:val="00CE59FE"/>
    <w:rsid w:val="00CE7507"/>
    <w:rsid w:val="00CF1188"/>
    <w:rsid w:val="00CF247F"/>
    <w:rsid w:val="00CF29FD"/>
    <w:rsid w:val="00CF30F4"/>
    <w:rsid w:val="00CF39FA"/>
    <w:rsid w:val="00CF5C67"/>
    <w:rsid w:val="00CF7BC3"/>
    <w:rsid w:val="00D00773"/>
    <w:rsid w:val="00D01B04"/>
    <w:rsid w:val="00D032CE"/>
    <w:rsid w:val="00D04C21"/>
    <w:rsid w:val="00D07631"/>
    <w:rsid w:val="00D104DA"/>
    <w:rsid w:val="00D13742"/>
    <w:rsid w:val="00D13D82"/>
    <w:rsid w:val="00D16816"/>
    <w:rsid w:val="00D16B58"/>
    <w:rsid w:val="00D16FB8"/>
    <w:rsid w:val="00D17647"/>
    <w:rsid w:val="00D20090"/>
    <w:rsid w:val="00D22323"/>
    <w:rsid w:val="00D233C1"/>
    <w:rsid w:val="00D24249"/>
    <w:rsid w:val="00D24C20"/>
    <w:rsid w:val="00D25233"/>
    <w:rsid w:val="00D269EC"/>
    <w:rsid w:val="00D26C61"/>
    <w:rsid w:val="00D275C2"/>
    <w:rsid w:val="00D33411"/>
    <w:rsid w:val="00D3346A"/>
    <w:rsid w:val="00D347AC"/>
    <w:rsid w:val="00D34AB6"/>
    <w:rsid w:val="00D372E1"/>
    <w:rsid w:val="00D3780F"/>
    <w:rsid w:val="00D405ED"/>
    <w:rsid w:val="00D42CDD"/>
    <w:rsid w:val="00D4511A"/>
    <w:rsid w:val="00D4793A"/>
    <w:rsid w:val="00D516B6"/>
    <w:rsid w:val="00D54C24"/>
    <w:rsid w:val="00D55BC5"/>
    <w:rsid w:val="00D57A09"/>
    <w:rsid w:val="00D60253"/>
    <w:rsid w:val="00D6470B"/>
    <w:rsid w:val="00D65607"/>
    <w:rsid w:val="00D65E26"/>
    <w:rsid w:val="00D669E7"/>
    <w:rsid w:val="00D66A1A"/>
    <w:rsid w:val="00D6737B"/>
    <w:rsid w:val="00D70952"/>
    <w:rsid w:val="00D71956"/>
    <w:rsid w:val="00D74C09"/>
    <w:rsid w:val="00D77318"/>
    <w:rsid w:val="00D809D8"/>
    <w:rsid w:val="00D8106A"/>
    <w:rsid w:val="00D813F7"/>
    <w:rsid w:val="00D81919"/>
    <w:rsid w:val="00D81EB3"/>
    <w:rsid w:val="00D82CE0"/>
    <w:rsid w:val="00D8327A"/>
    <w:rsid w:val="00D8512E"/>
    <w:rsid w:val="00D8558D"/>
    <w:rsid w:val="00D85F6D"/>
    <w:rsid w:val="00D876AB"/>
    <w:rsid w:val="00D91863"/>
    <w:rsid w:val="00D918CA"/>
    <w:rsid w:val="00D9520F"/>
    <w:rsid w:val="00DA09BD"/>
    <w:rsid w:val="00DA1425"/>
    <w:rsid w:val="00DA1705"/>
    <w:rsid w:val="00DA2FC5"/>
    <w:rsid w:val="00DA34F7"/>
    <w:rsid w:val="00DA48FE"/>
    <w:rsid w:val="00DA6F25"/>
    <w:rsid w:val="00DB0A93"/>
    <w:rsid w:val="00DB3311"/>
    <w:rsid w:val="00DB5960"/>
    <w:rsid w:val="00DB5C0A"/>
    <w:rsid w:val="00DB75AA"/>
    <w:rsid w:val="00DC1891"/>
    <w:rsid w:val="00DC2E9B"/>
    <w:rsid w:val="00DC32EB"/>
    <w:rsid w:val="00DC5781"/>
    <w:rsid w:val="00DD1089"/>
    <w:rsid w:val="00DD4154"/>
    <w:rsid w:val="00DD41CE"/>
    <w:rsid w:val="00DD57AB"/>
    <w:rsid w:val="00DD6C30"/>
    <w:rsid w:val="00DE446D"/>
    <w:rsid w:val="00DE48DD"/>
    <w:rsid w:val="00DE7C41"/>
    <w:rsid w:val="00DF32D0"/>
    <w:rsid w:val="00DF4C31"/>
    <w:rsid w:val="00DF6310"/>
    <w:rsid w:val="00DF646C"/>
    <w:rsid w:val="00DF6626"/>
    <w:rsid w:val="00E02216"/>
    <w:rsid w:val="00E06167"/>
    <w:rsid w:val="00E07A36"/>
    <w:rsid w:val="00E10CDD"/>
    <w:rsid w:val="00E10CF5"/>
    <w:rsid w:val="00E122AC"/>
    <w:rsid w:val="00E1336F"/>
    <w:rsid w:val="00E13891"/>
    <w:rsid w:val="00E1626B"/>
    <w:rsid w:val="00E170BF"/>
    <w:rsid w:val="00E1716E"/>
    <w:rsid w:val="00E22ACF"/>
    <w:rsid w:val="00E23CD6"/>
    <w:rsid w:val="00E24825"/>
    <w:rsid w:val="00E24F61"/>
    <w:rsid w:val="00E25BE0"/>
    <w:rsid w:val="00E26EA5"/>
    <w:rsid w:val="00E2768A"/>
    <w:rsid w:val="00E314AC"/>
    <w:rsid w:val="00E3152A"/>
    <w:rsid w:val="00E3288D"/>
    <w:rsid w:val="00E32EC1"/>
    <w:rsid w:val="00E3331B"/>
    <w:rsid w:val="00E34A85"/>
    <w:rsid w:val="00E35ED0"/>
    <w:rsid w:val="00E407EF"/>
    <w:rsid w:val="00E46B44"/>
    <w:rsid w:val="00E46DC4"/>
    <w:rsid w:val="00E500D0"/>
    <w:rsid w:val="00E5047C"/>
    <w:rsid w:val="00E5087E"/>
    <w:rsid w:val="00E52A6E"/>
    <w:rsid w:val="00E549DF"/>
    <w:rsid w:val="00E55DD4"/>
    <w:rsid w:val="00E56E9A"/>
    <w:rsid w:val="00E57F9E"/>
    <w:rsid w:val="00E608CC"/>
    <w:rsid w:val="00E616CE"/>
    <w:rsid w:val="00E63554"/>
    <w:rsid w:val="00E637BA"/>
    <w:rsid w:val="00E63FDE"/>
    <w:rsid w:val="00E67B2C"/>
    <w:rsid w:val="00E67E9F"/>
    <w:rsid w:val="00E67EBC"/>
    <w:rsid w:val="00E738DE"/>
    <w:rsid w:val="00E73D16"/>
    <w:rsid w:val="00E74457"/>
    <w:rsid w:val="00E74A0F"/>
    <w:rsid w:val="00E74E48"/>
    <w:rsid w:val="00E766F2"/>
    <w:rsid w:val="00E772FE"/>
    <w:rsid w:val="00E776BA"/>
    <w:rsid w:val="00E77FB1"/>
    <w:rsid w:val="00E80ABC"/>
    <w:rsid w:val="00E810A5"/>
    <w:rsid w:val="00E81F9F"/>
    <w:rsid w:val="00E82BE3"/>
    <w:rsid w:val="00E8582B"/>
    <w:rsid w:val="00E90267"/>
    <w:rsid w:val="00E90FA4"/>
    <w:rsid w:val="00E917C4"/>
    <w:rsid w:val="00E924FD"/>
    <w:rsid w:val="00E92BCA"/>
    <w:rsid w:val="00E94A6B"/>
    <w:rsid w:val="00E960C2"/>
    <w:rsid w:val="00E96582"/>
    <w:rsid w:val="00E97D5E"/>
    <w:rsid w:val="00EA1648"/>
    <w:rsid w:val="00EA191A"/>
    <w:rsid w:val="00EA1F55"/>
    <w:rsid w:val="00EA32D1"/>
    <w:rsid w:val="00EA5941"/>
    <w:rsid w:val="00EA7244"/>
    <w:rsid w:val="00EA753E"/>
    <w:rsid w:val="00EB132A"/>
    <w:rsid w:val="00EB3A6C"/>
    <w:rsid w:val="00EB41F1"/>
    <w:rsid w:val="00EB4260"/>
    <w:rsid w:val="00EC1A72"/>
    <w:rsid w:val="00EC2107"/>
    <w:rsid w:val="00EC239B"/>
    <w:rsid w:val="00EC309D"/>
    <w:rsid w:val="00EC4C93"/>
    <w:rsid w:val="00ED0DD4"/>
    <w:rsid w:val="00ED4542"/>
    <w:rsid w:val="00ED460C"/>
    <w:rsid w:val="00ED4835"/>
    <w:rsid w:val="00ED4F0E"/>
    <w:rsid w:val="00ED63EA"/>
    <w:rsid w:val="00ED6FCC"/>
    <w:rsid w:val="00ED795D"/>
    <w:rsid w:val="00EE0401"/>
    <w:rsid w:val="00EE0701"/>
    <w:rsid w:val="00EE0DC4"/>
    <w:rsid w:val="00EE48DB"/>
    <w:rsid w:val="00EF0A36"/>
    <w:rsid w:val="00EF25BA"/>
    <w:rsid w:val="00EF37AD"/>
    <w:rsid w:val="00EF686C"/>
    <w:rsid w:val="00EF7D2B"/>
    <w:rsid w:val="00F0202C"/>
    <w:rsid w:val="00F02914"/>
    <w:rsid w:val="00F03758"/>
    <w:rsid w:val="00F058F0"/>
    <w:rsid w:val="00F0640B"/>
    <w:rsid w:val="00F06BD2"/>
    <w:rsid w:val="00F077C5"/>
    <w:rsid w:val="00F10124"/>
    <w:rsid w:val="00F10486"/>
    <w:rsid w:val="00F11104"/>
    <w:rsid w:val="00F1145D"/>
    <w:rsid w:val="00F13F90"/>
    <w:rsid w:val="00F14DFB"/>
    <w:rsid w:val="00F16CA8"/>
    <w:rsid w:val="00F1716B"/>
    <w:rsid w:val="00F204D9"/>
    <w:rsid w:val="00F24BDB"/>
    <w:rsid w:val="00F30F83"/>
    <w:rsid w:val="00F31AF9"/>
    <w:rsid w:val="00F3391C"/>
    <w:rsid w:val="00F33F23"/>
    <w:rsid w:val="00F36332"/>
    <w:rsid w:val="00F36466"/>
    <w:rsid w:val="00F3766C"/>
    <w:rsid w:val="00F401B5"/>
    <w:rsid w:val="00F41973"/>
    <w:rsid w:val="00F41EA9"/>
    <w:rsid w:val="00F4328B"/>
    <w:rsid w:val="00F43A64"/>
    <w:rsid w:val="00F45300"/>
    <w:rsid w:val="00F46AE5"/>
    <w:rsid w:val="00F50DCE"/>
    <w:rsid w:val="00F50EB4"/>
    <w:rsid w:val="00F51B07"/>
    <w:rsid w:val="00F520EC"/>
    <w:rsid w:val="00F5213F"/>
    <w:rsid w:val="00F528BC"/>
    <w:rsid w:val="00F52B74"/>
    <w:rsid w:val="00F547D8"/>
    <w:rsid w:val="00F56801"/>
    <w:rsid w:val="00F57206"/>
    <w:rsid w:val="00F60A16"/>
    <w:rsid w:val="00F60AC9"/>
    <w:rsid w:val="00F60F72"/>
    <w:rsid w:val="00F62292"/>
    <w:rsid w:val="00F66A8F"/>
    <w:rsid w:val="00F718C1"/>
    <w:rsid w:val="00F72670"/>
    <w:rsid w:val="00F72748"/>
    <w:rsid w:val="00F73455"/>
    <w:rsid w:val="00F741AC"/>
    <w:rsid w:val="00F77657"/>
    <w:rsid w:val="00F77B7E"/>
    <w:rsid w:val="00F80044"/>
    <w:rsid w:val="00F80443"/>
    <w:rsid w:val="00F81EF8"/>
    <w:rsid w:val="00F848BB"/>
    <w:rsid w:val="00F84A2A"/>
    <w:rsid w:val="00F84F46"/>
    <w:rsid w:val="00F8569E"/>
    <w:rsid w:val="00F865C1"/>
    <w:rsid w:val="00F86823"/>
    <w:rsid w:val="00F8727F"/>
    <w:rsid w:val="00F90553"/>
    <w:rsid w:val="00F90B10"/>
    <w:rsid w:val="00F93C86"/>
    <w:rsid w:val="00F95418"/>
    <w:rsid w:val="00FA0F87"/>
    <w:rsid w:val="00FA1CC6"/>
    <w:rsid w:val="00FA1D92"/>
    <w:rsid w:val="00FA2634"/>
    <w:rsid w:val="00FB161B"/>
    <w:rsid w:val="00FB26EB"/>
    <w:rsid w:val="00FB3872"/>
    <w:rsid w:val="00FB50BE"/>
    <w:rsid w:val="00FB62CD"/>
    <w:rsid w:val="00FB6B3C"/>
    <w:rsid w:val="00FC03BC"/>
    <w:rsid w:val="00FC085E"/>
    <w:rsid w:val="00FC229F"/>
    <w:rsid w:val="00FC5743"/>
    <w:rsid w:val="00FC587D"/>
    <w:rsid w:val="00FC7A10"/>
    <w:rsid w:val="00FD1368"/>
    <w:rsid w:val="00FD1490"/>
    <w:rsid w:val="00FD14DD"/>
    <w:rsid w:val="00FD38D0"/>
    <w:rsid w:val="00FD4C76"/>
    <w:rsid w:val="00FD54C5"/>
    <w:rsid w:val="00FE031F"/>
    <w:rsid w:val="00FE1C39"/>
    <w:rsid w:val="00FE3B9C"/>
    <w:rsid w:val="00FE40C9"/>
    <w:rsid w:val="00FE4377"/>
    <w:rsid w:val="00FE50C8"/>
    <w:rsid w:val="00FE5E4C"/>
    <w:rsid w:val="00FE7D06"/>
    <w:rsid w:val="00FF0532"/>
    <w:rsid w:val="00FF1047"/>
    <w:rsid w:val="00FF5472"/>
    <w:rsid w:val="00FF6E37"/>
    <w:rsid w:val="00FF778F"/>
    <w:rsid w:val="00FF7C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463157F"/>
  <w15:docId w15:val="{5F7ABB26-611A-4674-BD19-34B165C5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64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0649"/>
    <w:pPr>
      <w:tabs>
        <w:tab w:val="center" w:pos="4153"/>
        <w:tab w:val="right" w:pos="8306"/>
      </w:tabs>
      <w:snapToGrid w:val="0"/>
    </w:pPr>
    <w:rPr>
      <w:sz w:val="20"/>
      <w:szCs w:val="20"/>
    </w:rPr>
  </w:style>
  <w:style w:type="character" w:styleId="a4">
    <w:name w:val="page number"/>
    <w:basedOn w:val="a0"/>
    <w:rsid w:val="00720649"/>
  </w:style>
  <w:style w:type="paragraph" w:customStyle="1" w:styleId="font5">
    <w:name w:val="font5"/>
    <w:basedOn w:val="a"/>
    <w:rsid w:val="00720649"/>
    <w:pPr>
      <w:widowControl/>
      <w:spacing w:before="100" w:beforeAutospacing="1" w:after="100" w:afterAutospacing="1"/>
    </w:pPr>
    <w:rPr>
      <w:rFonts w:ascii="標楷體" w:eastAsia="標楷體" w:hAnsi="標楷體" w:hint="eastAsia"/>
      <w:kern w:val="0"/>
      <w:sz w:val="20"/>
      <w:szCs w:val="20"/>
    </w:rPr>
  </w:style>
  <w:style w:type="paragraph" w:customStyle="1" w:styleId="font6">
    <w:name w:val="font6"/>
    <w:basedOn w:val="a"/>
    <w:rsid w:val="00720649"/>
    <w:pPr>
      <w:widowControl/>
      <w:spacing w:before="100" w:beforeAutospacing="1" w:after="100" w:afterAutospacing="1"/>
    </w:pPr>
    <w:rPr>
      <w:rFonts w:ascii="Arial" w:hAnsi="Arial" w:cs="Arial"/>
      <w:kern w:val="0"/>
      <w:sz w:val="20"/>
      <w:szCs w:val="20"/>
    </w:rPr>
  </w:style>
  <w:style w:type="paragraph" w:customStyle="1" w:styleId="font7">
    <w:name w:val="font7"/>
    <w:basedOn w:val="a"/>
    <w:rsid w:val="00720649"/>
    <w:pPr>
      <w:widowControl/>
      <w:spacing w:before="100" w:beforeAutospacing="1" w:after="100" w:afterAutospacing="1"/>
    </w:pPr>
    <w:rPr>
      <w:rFonts w:ascii="新細明體" w:hAnsi="新細明體" w:hint="eastAsia"/>
      <w:kern w:val="0"/>
      <w:sz w:val="18"/>
      <w:szCs w:val="18"/>
    </w:rPr>
  </w:style>
  <w:style w:type="paragraph" w:customStyle="1" w:styleId="xl24">
    <w:name w:val="xl24"/>
    <w:basedOn w:val="a"/>
    <w:rsid w:val="00720649"/>
    <w:pPr>
      <w:widowControl/>
      <w:pBdr>
        <w:top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5">
    <w:name w:val="xl25"/>
    <w:basedOn w:val="a"/>
    <w:rsid w:val="00720649"/>
    <w:pPr>
      <w:widowControl/>
      <w:pBdr>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26">
    <w:name w:val="xl26"/>
    <w:basedOn w:val="a"/>
    <w:rsid w:val="00720649"/>
    <w:pPr>
      <w:widowControl/>
      <w:pBdr>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7">
    <w:name w:val="xl27"/>
    <w:basedOn w:val="a"/>
    <w:rsid w:val="00720649"/>
    <w:pPr>
      <w:widowControl/>
      <w:pBdr>
        <w:right w:val="single" w:sz="4" w:space="0" w:color="auto"/>
      </w:pBdr>
      <w:spacing w:before="100" w:beforeAutospacing="1" w:after="100" w:afterAutospacing="1"/>
      <w:jc w:val="right"/>
    </w:pPr>
    <w:rPr>
      <w:rFonts w:ascii="標楷體" w:eastAsia="標楷體" w:hAnsi="標楷體" w:hint="eastAsia"/>
      <w:kern w:val="0"/>
      <w:sz w:val="20"/>
      <w:szCs w:val="20"/>
    </w:rPr>
  </w:style>
  <w:style w:type="paragraph" w:customStyle="1" w:styleId="xl28">
    <w:name w:val="xl28"/>
    <w:basedOn w:val="a"/>
    <w:rsid w:val="00720649"/>
    <w:pPr>
      <w:widowControl/>
      <w:pBdr>
        <w:bottom w:val="single" w:sz="4" w:space="0" w:color="auto"/>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9">
    <w:name w:val="xl29"/>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0">
    <w:name w:val="xl30"/>
    <w:basedOn w:val="a"/>
    <w:rsid w:val="00720649"/>
    <w:pPr>
      <w:widowControl/>
      <w:pBdr>
        <w:right w:val="single" w:sz="4" w:space="0" w:color="auto"/>
      </w:pBdr>
      <w:spacing w:before="100" w:beforeAutospacing="1" w:after="100" w:afterAutospacing="1"/>
    </w:pPr>
    <w:rPr>
      <w:rFonts w:ascii="標楷體" w:eastAsia="標楷體" w:hAnsi="標楷體" w:hint="eastAsia"/>
      <w:kern w:val="0"/>
      <w:sz w:val="20"/>
      <w:szCs w:val="20"/>
    </w:rPr>
  </w:style>
  <w:style w:type="paragraph" w:customStyle="1" w:styleId="xl31">
    <w:name w:val="xl31"/>
    <w:basedOn w:val="a"/>
    <w:rsid w:val="00720649"/>
    <w:pPr>
      <w:widowControl/>
      <w:pBdr>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2">
    <w:name w:val="xl32"/>
    <w:basedOn w:val="a"/>
    <w:rsid w:val="00720649"/>
    <w:pPr>
      <w:widowControl/>
      <w:pBdr>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33">
    <w:name w:val="xl33"/>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4">
    <w:name w:val="xl34"/>
    <w:basedOn w:val="a"/>
    <w:rsid w:val="007206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5">
    <w:name w:val="xl35"/>
    <w:basedOn w:val="a"/>
    <w:rsid w:val="00720649"/>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6">
    <w:name w:val="xl36"/>
    <w:basedOn w:val="a"/>
    <w:rsid w:val="00720649"/>
    <w:pPr>
      <w:widowControl/>
      <w:pBdr>
        <w:top w:val="single" w:sz="4" w:space="0" w:color="auto"/>
        <w:left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37">
    <w:name w:val="xl37"/>
    <w:basedOn w:val="a"/>
    <w:rsid w:val="00720649"/>
    <w:pPr>
      <w:widowControl/>
      <w:pBdr>
        <w:top w:val="single" w:sz="4" w:space="0" w:color="auto"/>
        <w:bottom w:val="single" w:sz="4" w:space="0" w:color="auto"/>
        <w:right w:val="single" w:sz="4" w:space="0" w:color="000000"/>
      </w:pBdr>
      <w:spacing w:before="100" w:beforeAutospacing="1" w:after="100" w:afterAutospacing="1"/>
      <w:jc w:val="both"/>
    </w:pPr>
    <w:rPr>
      <w:rFonts w:ascii="標楷體" w:eastAsia="標楷體" w:hAnsi="標楷體" w:hint="eastAsia"/>
      <w:kern w:val="0"/>
      <w:sz w:val="20"/>
      <w:szCs w:val="20"/>
    </w:rPr>
  </w:style>
  <w:style w:type="paragraph" w:customStyle="1" w:styleId="xl38">
    <w:name w:val="xl38"/>
    <w:basedOn w:val="a"/>
    <w:rsid w:val="00720649"/>
    <w:pPr>
      <w:widowControl/>
      <w:pBdr>
        <w:top w:val="single" w:sz="4" w:space="0" w:color="000000"/>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39">
    <w:name w:val="xl39"/>
    <w:basedOn w:val="a"/>
    <w:rsid w:val="00720649"/>
    <w:pPr>
      <w:widowControl/>
      <w:pBdr>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0">
    <w:name w:val="xl40"/>
    <w:basedOn w:val="a"/>
    <w:rsid w:val="0072064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1">
    <w:name w:val="xl41"/>
    <w:basedOn w:val="a"/>
    <w:rsid w:val="00720649"/>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2">
    <w:name w:val="xl42"/>
    <w:basedOn w:val="a"/>
    <w:rsid w:val="00720649"/>
    <w:pPr>
      <w:widowControl/>
      <w:pBdr>
        <w:left w:val="single" w:sz="4" w:space="0" w:color="auto"/>
        <w:bottom w:val="single" w:sz="4" w:space="0" w:color="000000"/>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43">
    <w:name w:val="xl43"/>
    <w:basedOn w:val="a"/>
    <w:rsid w:val="00720649"/>
    <w:pPr>
      <w:widowControl/>
      <w:pBdr>
        <w:right w:val="single" w:sz="4" w:space="0" w:color="auto"/>
      </w:pBdr>
      <w:spacing w:before="100" w:beforeAutospacing="1" w:after="100" w:afterAutospacing="1"/>
      <w:jc w:val="right"/>
    </w:pPr>
    <w:rPr>
      <w:rFonts w:ascii="Arial" w:hAnsi="Arial" w:cs="Arial"/>
      <w:kern w:val="0"/>
      <w:sz w:val="20"/>
      <w:szCs w:val="20"/>
    </w:rPr>
  </w:style>
  <w:style w:type="paragraph" w:customStyle="1" w:styleId="xl44">
    <w:name w:val="xl44"/>
    <w:basedOn w:val="a"/>
    <w:rsid w:val="00720649"/>
    <w:pPr>
      <w:widowControl/>
      <w:pBdr>
        <w:top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styleId="a5">
    <w:name w:val="Block Text"/>
    <w:basedOn w:val="a"/>
    <w:rsid w:val="00720649"/>
    <w:pPr>
      <w:spacing w:before="100" w:beforeAutospacing="1" w:after="100" w:afterAutospacing="1" w:line="400" w:lineRule="exact"/>
      <w:ind w:leftChars="225" w:left="1080" w:rightChars="63" w:right="151" w:hangingChars="193" w:hanging="540"/>
      <w:jc w:val="both"/>
    </w:pPr>
    <w:rPr>
      <w:rFonts w:ascii="Arial" w:eastAsia="標楷體" w:hAnsi="Arial"/>
      <w:sz w:val="28"/>
      <w:szCs w:val="28"/>
    </w:rPr>
  </w:style>
  <w:style w:type="paragraph" w:styleId="a6">
    <w:name w:val="Body Text"/>
    <w:basedOn w:val="a"/>
    <w:rsid w:val="00720649"/>
    <w:pPr>
      <w:spacing w:before="100" w:beforeAutospacing="1" w:after="100" w:afterAutospacing="1" w:line="360" w:lineRule="exact"/>
      <w:ind w:right="62"/>
    </w:pPr>
    <w:rPr>
      <w:rFonts w:ascii="標楷體" w:eastAsia="標楷體" w:hAnsi="標楷體"/>
      <w:sz w:val="28"/>
      <w:szCs w:val="28"/>
    </w:rPr>
  </w:style>
  <w:style w:type="paragraph" w:styleId="a7">
    <w:name w:val="header"/>
    <w:basedOn w:val="a"/>
    <w:rsid w:val="00720649"/>
    <w:pPr>
      <w:tabs>
        <w:tab w:val="center" w:pos="4153"/>
        <w:tab w:val="right" w:pos="8306"/>
      </w:tabs>
      <w:snapToGrid w:val="0"/>
    </w:pPr>
    <w:rPr>
      <w:sz w:val="20"/>
      <w:szCs w:val="20"/>
    </w:rPr>
  </w:style>
  <w:style w:type="paragraph" w:styleId="a8">
    <w:name w:val="Document Map"/>
    <w:basedOn w:val="a"/>
    <w:semiHidden/>
    <w:rsid w:val="00720649"/>
    <w:pPr>
      <w:shd w:val="clear" w:color="auto" w:fill="000080"/>
    </w:pPr>
    <w:rPr>
      <w:rFonts w:ascii="Arial" w:hAnsi="Arial"/>
    </w:rPr>
  </w:style>
  <w:style w:type="paragraph" w:styleId="a9">
    <w:name w:val="Balloon Text"/>
    <w:basedOn w:val="a"/>
    <w:semiHidden/>
    <w:rsid w:val="00720649"/>
    <w:rPr>
      <w:rFonts w:ascii="Arial" w:hAnsi="Arial"/>
      <w:sz w:val="18"/>
      <w:szCs w:val="18"/>
    </w:rPr>
  </w:style>
  <w:style w:type="paragraph" w:styleId="HTML">
    <w:name w:val="HTML Preformatted"/>
    <w:basedOn w:val="a"/>
    <w:link w:val="HTML0"/>
    <w:uiPriority w:val="99"/>
    <w:unhideWhenUsed/>
    <w:rsid w:val="00344B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344B3F"/>
    <w:rPr>
      <w:rFonts w:ascii="細明體" w:eastAsia="細明體" w:hAnsi="細明體" w:cs="細明體"/>
      <w:sz w:val="24"/>
      <w:szCs w:val="24"/>
    </w:rPr>
  </w:style>
  <w:style w:type="character" w:styleId="aa">
    <w:name w:val="annotation reference"/>
    <w:uiPriority w:val="99"/>
    <w:rsid w:val="00A904FE"/>
    <w:rPr>
      <w:sz w:val="18"/>
      <w:szCs w:val="18"/>
    </w:rPr>
  </w:style>
  <w:style w:type="paragraph" w:styleId="ab">
    <w:name w:val="annotation text"/>
    <w:basedOn w:val="a"/>
    <w:link w:val="ac"/>
    <w:uiPriority w:val="99"/>
    <w:rsid w:val="00A904FE"/>
  </w:style>
  <w:style w:type="character" w:customStyle="1" w:styleId="ac">
    <w:name w:val="註解文字 字元"/>
    <w:link w:val="ab"/>
    <w:uiPriority w:val="99"/>
    <w:rsid w:val="00A904FE"/>
    <w:rPr>
      <w:kern w:val="2"/>
      <w:sz w:val="24"/>
      <w:szCs w:val="24"/>
    </w:rPr>
  </w:style>
  <w:style w:type="paragraph" w:styleId="ad">
    <w:name w:val="annotation subject"/>
    <w:basedOn w:val="ab"/>
    <w:next w:val="ab"/>
    <w:link w:val="ae"/>
    <w:rsid w:val="00A904FE"/>
    <w:rPr>
      <w:b/>
      <w:bCs/>
    </w:rPr>
  </w:style>
  <w:style w:type="character" w:customStyle="1" w:styleId="ae">
    <w:name w:val="註解主旨 字元"/>
    <w:link w:val="ad"/>
    <w:rsid w:val="00A904FE"/>
    <w:rPr>
      <w:b/>
      <w:bCs/>
      <w:kern w:val="2"/>
      <w:sz w:val="24"/>
      <w:szCs w:val="24"/>
    </w:rPr>
  </w:style>
  <w:style w:type="character" w:styleId="af">
    <w:name w:val="Hyperlink"/>
    <w:uiPriority w:val="99"/>
    <w:unhideWhenUsed/>
    <w:rsid w:val="007E6BB1"/>
    <w:rPr>
      <w:color w:val="0000FF"/>
      <w:u w:val="single"/>
    </w:rPr>
  </w:style>
  <w:style w:type="paragraph" w:styleId="af0">
    <w:name w:val="Revision"/>
    <w:hidden/>
    <w:uiPriority w:val="99"/>
    <w:semiHidden/>
    <w:rsid w:val="00606E4C"/>
    <w:rPr>
      <w:kern w:val="2"/>
      <w:sz w:val="24"/>
      <w:szCs w:val="24"/>
    </w:rPr>
  </w:style>
  <w:style w:type="paragraph" w:styleId="af1">
    <w:name w:val="List Paragraph"/>
    <w:basedOn w:val="a"/>
    <w:uiPriority w:val="34"/>
    <w:qFormat/>
    <w:rsid w:val="00E82BE3"/>
    <w:pPr>
      <w:ind w:leftChars="200" w:left="480"/>
    </w:pPr>
  </w:style>
  <w:style w:type="paragraph" w:styleId="Web">
    <w:name w:val="Normal (Web)"/>
    <w:basedOn w:val="a"/>
    <w:uiPriority w:val="99"/>
    <w:unhideWhenUsed/>
    <w:rsid w:val="00482393"/>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7534">
      <w:bodyDiv w:val="1"/>
      <w:marLeft w:val="0"/>
      <w:marRight w:val="0"/>
      <w:marTop w:val="0"/>
      <w:marBottom w:val="0"/>
      <w:divBdr>
        <w:top w:val="none" w:sz="0" w:space="0" w:color="auto"/>
        <w:left w:val="none" w:sz="0" w:space="0" w:color="auto"/>
        <w:bottom w:val="none" w:sz="0" w:space="0" w:color="auto"/>
        <w:right w:val="none" w:sz="0" w:space="0" w:color="auto"/>
      </w:divBdr>
      <w:divsChild>
        <w:div w:id="1119224475">
          <w:marLeft w:val="0"/>
          <w:marRight w:val="0"/>
          <w:marTop w:val="0"/>
          <w:marBottom w:val="0"/>
          <w:divBdr>
            <w:top w:val="none" w:sz="0" w:space="0" w:color="auto"/>
            <w:left w:val="none" w:sz="0" w:space="0" w:color="auto"/>
            <w:bottom w:val="none" w:sz="0" w:space="0" w:color="auto"/>
            <w:right w:val="none" w:sz="0" w:space="0" w:color="auto"/>
          </w:divBdr>
          <w:divsChild>
            <w:div w:id="1789229163">
              <w:marLeft w:val="0"/>
              <w:marRight w:val="0"/>
              <w:marTop w:val="0"/>
              <w:marBottom w:val="0"/>
              <w:divBdr>
                <w:top w:val="none" w:sz="0" w:space="0" w:color="auto"/>
                <w:left w:val="none" w:sz="0" w:space="0" w:color="auto"/>
                <w:bottom w:val="none" w:sz="0" w:space="0" w:color="auto"/>
                <w:right w:val="none" w:sz="0" w:space="0" w:color="auto"/>
              </w:divBdr>
              <w:divsChild>
                <w:div w:id="25569319">
                  <w:marLeft w:val="0"/>
                  <w:marRight w:val="0"/>
                  <w:marTop w:val="0"/>
                  <w:marBottom w:val="0"/>
                  <w:divBdr>
                    <w:top w:val="none" w:sz="0" w:space="0" w:color="auto"/>
                    <w:left w:val="none" w:sz="0" w:space="0" w:color="auto"/>
                    <w:bottom w:val="none" w:sz="0" w:space="0" w:color="auto"/>
                    <w:right w:val="none" w:sz="0" w:space="0" w:color="auto"/>
                  </w:divBdr>
                  <w:divsChild>
                    <w:div w:id="1533030443">
                      <w:marLeft w:val="0"/>
                      <w:marRight w:val="0"/>
                      <w:marTop w:val="0"/>
                      <w:marBottom w:val="0"/>
                      <w:divBdr>
                        <w:top w:val="none" w:sz="0" w:space="0" w:color="auto"/>
                        <w:left w:val="none" w:sz="0" w:space="0" w:color="auto"/>
                        <w:bottom w:val="none" w:sz="0" w:space="0" w:color="auto"/>
                        <w:right w:val="none" w:sz="0" w:space="0" w:color="auto"/>
                      </w:divBdr>
                      <w:divsChild>
                        <w:div w:id="524371705">
                          <w:marLeft w:val="0"/>
                          <w:marRight w:val="0"/>
                          <w:marTop w:val="0"/>
                          <w:marBottom w:val="0"/>
                          <w:divBdr>
                            <w:top w:val="none" w:sz="0" w:space="0" w:color="auto"/>
                            <w:left w:val="none" w:sz="0" w:space="0" w:color="auto"/>
                            <w:bottom w:val="none" w:sz="0" w:space="0" w:color="auto"/>
                            <w:right w:val="none" w:sz="0" w:space="0" w:color="auto"/>
                          </w:divBdr>
                          <w:divsChild>
                            <w:div w:id="525217182">
                              <w:marLeft w:val="0"/>
                              <w:marRight w:val="0"/>
                              <w:marTop w:val="75"/>
                              <w:marBottom w:val="0"/>
                              <w:divBdr>
                                <w:top w:val="none" w:sz="0" w:space="0" w:color="auto"/>
                                <w:left w:val="none" w:sz="0" w:space="0" w:color="auto"/>
                                <w:bottom w:val="none" w:sz="0" w:space="0" w:color="auto"/>
                                <w:right w:val="none" w:sz="0" w:space="0" w:color="auto"/>
                              </w:divBdr>
                              <w:divsChild>
                                <w:div w:id="7925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83187">
      <w:bodyDiv w:val="1"/>
      <w:marLeft w:val="0"/>
      <w:marRight w:val="0"/>
      <w:marTop w:val="0"/>
      <w:marBottom w:val="0"/>
      <w:divBdr>
        <w:top w:val="none" w:sz="0" w:space="0" w:color="auto"/>
        <w:left w:val="none" w:sz="0" w:space="0" w:color="auto"/>
        <w:bottom w:val="none" w:sz="0" w:space="0" w:color="auto"/>
        <w:right w:val="none" w:sz="0" w:space="0" w:color="auto"/>
      </w:divBdr>
    </w:div>
    <w:div w:id="750077837">
      <w:bodyDiv w:val="1"/>
      <w:marLeft w:val="0"/>
      <w:marRight w:val="0"/>
      <w:marTop w:val="0"/>
      <w:marBottom w:val="0"/>
      <w:divBdr>
        <w:top w:val="none" w:sz="0" w:space="0" w:color="auto"/>
        <w:left w:val="none" w:sz="0" w:space="0" w:color="auto"/>
        <w:bottom w:val="none" w:sz="0" w:space="0" w:color="auto"/>
        <w:right w:val="none" w:sz="0" w:space="0" w:color="auto"/>
      </w:divBdr>
    </w:div>
    <w:div w:id="782456538">
      <w:bodyDiv w:val="1"/>
      <w:marLeft w:val="0"/>
      <w:marRight w:val="0"/>
      <w:marTop w:val="0"/>
      <w:marBottom w:val="0"/>
      <w:divBdr>
        <w:top w:val="none" w:sz="0" w:space="0" w:color="auto"/>
        <w:left w:val="none" w:sz="0" w:space="0" w:color="auto"/>
        <w:bottom w:val="none" w:sz="0" w:space="0" w:color="auto"/>
        <w:right w:val="none" w:sz="0" w:space="0" w:color="auto"/>
      </w:divBdr>
    </w:div>
    <w:div w:id="873882204">
      <w:bodyDiv w:val="1"/>
      <w:marLeft w:val="0"/>
      <w:marRight w:val="0"/>
      <w:marTop w:val="0"/>
      <w:marBottom w:val="0"/>
      <w:divBdr>
        <w:top w:val="none" w:sz="0" w:space="0" w:color="auto"/>
        <w:left w:val="none" w:sz="0" w:space="0" w:color="auto"/>
        <w:bottom w:val="none" w:sz="0" w:space="0" w:color="auto"/>
        <w:right w:val="none" w:sz="0" w:space="0" w:color="auto"/>
      </w:divBdr>
    </w:div>
    <w:div w:id="1136145908">
      <w:bodyDiv w:val="1"/>
      <w:marLeft w:val="0"/>
      <w:marRight w:val="0"/>
      <w:marTop w:val="0"/>
      <w:marBottom w:val="0"/>
      <w:divBdr>
        <w:top w:val="none" w:sz="0" w:space="0" w:color="auto"/>
        <w:left w:val="none" w:sz="0" w:space="0" w:color="auto"/>
        <w:bottom w:val="none" w:sz="0" w:space="0" w:color="auto"/>
        <w:right w:val="none" w:sz="0" w:space="0" w:color="auto"/>
      </w:divBdr>
      <w:divsChild>
        <w:div w:id="2064481737">
          <w:marLeft w:val="0"/>
          <w:marRight w:val="0"/>
          <w:marTop w:val="0"/>
          <w:marBottom w:val="0"/>
          <w:divBdr>
            <w:top w:val="none" w:sz="0" w:space="0" w:color="auto"/>
            <w:left w:val="none" w:sz="0" w:space="0" w:color="auto"/>
            <w:bottom w:val="none" w:sz="0" w:space="0" w:color="auto"/>
            <w:right w:val="none" w:sz="0" w:space="0" w:color="auto"/>
          </w:divBdr>
          <w:divsChild>
            <w:div w:id="252785137">
              <w:marLeft w:val="0"/>
              <w:marRight w:val="0"/>
              <w:marTop w:val="0"/>
              <w:marBottom w:val="0"/>
              <w:divBdr>
                <w:top w:val="none" w:sz="0" w:space="0" w:color="auto"/>
                <w:left w:val="none" w:sz="0" w:space="0" w:color="auto"/>
                <w:bottom w:val="none" w:sz="0" w:space="0" w:color="auto"/>
                <w:right w:val="none" w:sz="0" w:space="0" w:color="auto"/>
              </w:divBdr>
              <w:divsChild>
                <w:div w:id="1844006624">
                  <w:marLeft w:val="0"/>
                  <w:marRight w:val="0"/>
                  <w:marTop w:val="0"/>
                  <w:marBottom w:val="0"/>
                  <w:divBdr>
                    <w:top w:val="none" w:sz="0" w:space="0" w:color="auto"/>
                    <w:left w:val="none" w:sz="0" w:space="0" w:color="auto"/>
                    <w:bottom w:val="none" w:sz="0" w:space="0" w:color="auto"/>
                    <w:right w:val="none" w:sz="0" w:space="0" w:color="auto"/>
                  </w:divBdr>
                  <w:divsChild>
                    <w:div w:id="11614265">
                      <w:marLeft w:val="0"/>
                      <w:marRight w:val="0"/>
                      <w:marTop w:val="0"/>
                      <w:marBottom w:val="0"/>
                      <w:divBdr>
                        <w:top w:val="none" w:sz="0" w:space="0" w:color="auto"/>
                        <w:left w:val="none" w:sz="0" w:space="0" w:color="auto"/>
                        <w:bottom w:val="none" w:sz="0" w:space="0" w:color="auto"/>
                        <w:right w:val="none" w:sz="0" w:space="0" w:color="auto"/>
                      </w:divBdr>
                      <w:divsChild>
                        <w:div w:id="11076465">
                          <w:marLeft w:val="0"/>
                          <w:marRight w:val="0"/>
                          <w:marTop w:val="0"/>
                          <w:marBottom w:val="0"/>
                          <w:divBdr>
                            <w:top w:val="none" w:sz="0" w:space="0" w:color="auto"/>
                            <w:left w:val="none" w:sz="0" w:space="0" w:color="auto"/>
                            <w:bottom w:val="none" w:sz="0" w:space="0" w:color="auto"/>
                            <w:right w:val="none" w:sz="0" w:space="0" w:color="auto"/>
                          </w:divBdr>
                          <w:divsChild>
                            <w:div w:id="1612083661">
                              <w:marLeft w:val="0"/>
                              <w:marRight w:val="0"/>
                              <w:marTop w:val="75"/>
                              <w:marBottom w:val="0"/>
                              <w:divBdr>
                                <w:top w:val="none" w:sz="0" w:space="0" w:color="auto"/>
                                <w:left w:val="none" w:sz="0" w:space="0" w:color="auto"/>
                                <w:bottom w:val="none" w:sz="0" w:space="0" w:color="auto"/>
                                <w:right w:val="none" w:sz="0" w:space="0" w:color="auto"/>
                              </w:divBdr>
                              <w:divsChild>
                                <w:div w:id="1984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51123">
      <w:bodyDiv w:val="1"/>
      <w:marLeft w:val="0"/>
      <w:marRight w:val="0"/>
      <w:marTop w:val="0"/>
      <w:marBottom w:val="0"/>
      <w:divBdr>
        <w:top w:val="none" w:sz="0" w:space="0" w:color="auto"/>
        <w:left w:val="none" w:sz="0" w:space="0" w:color="auto"/>
        <w:bottom w:val="none" w:sz="0" w:space="0" w:color="auto"/>
        <w:right w:val="none" w:sz="0" w:space="0" w:color="auto"/>
      </w:divBdr>
    </w:div>
    <w:div w:id="1577011461">
      <w:bodyDiv w:val="1"/>
      <w:marLeft w:val="0"/>
      <w:marRight w:val="0"/>
      <w:marTop w:val="0"/>
      <w:marBottom w:val="0"/>
      <w:divBdr>
        <w:top w:val="none" w:sz="0" w:space="0" w:color="auto"/>
        <w:left w:val="none" w:sz="0" w:space="0" w:color="auto"/>
        <w:bottom w:val="none" w:sz="0" w:space="0" w:color="auto"/>
        <w:right w:val="none" w:sz="0" w:space="0" w:color="auto"/>
      </w:divBdr>
    </w:div>
    <w:div w:id="1643078065">
      <w:bodyDiv w:val="1"/>
      <w:marLeft w:val="0"/>
      <w:marRight w:val="0"/>
      <w:marTop w:val="0"/>
      <w:marBottom w:val="0"/>
      <w:divBdr>
        <w:top w:val="none" w:sz="0" w:space="0" w:color="auto"/>
        <w:left w:val="none" w:sz="0" w:space="0" w:color="auto"/>
        <w:bottom w:val="none" w:sz="0" w:space="0" w:color="auto"/>
        <w:right w:val="none" w:sz="0" w:space="0" w:color="auto"/>
      </w:divBdr>
    </w:div>
    <w:div w:id="18848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___.xlsx"/><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97342-1847-4765-B396-FC3A61BC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52</Pages>
  <Words>39055</Words>
  <Characters>6806</Characters>
  <Application>Microsoft Office Word</Application>
  <DocSecurity>0</DocSecurity>
  <Lines>56</Lines>
  <Paragraphs>91</Paragraphs>
  <ScaleCrop>false</ScaleCrop>
  <Company>abc</Company>
  <LinksUpToDate>false</LinksUpToDate>
  <CharactersWithSpaces>45770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一、XBRL</dc:title>
  <dc:creator>emma</dc:creator>
  <cp:lastModifiedBy>劉佳穎</cp:lastModifiedBy>
  <cp:revision>46</cp:revision>
  <cp:lastPrinted>2024-01-03T07:54:00Z</cp:lastPrinted>
  <dcterms:created xsi:type="dcterms:W3CDTF">2024-01-03T07:37:00Z</dcterms:created>
  <dcterms:modified xsi:type="dcterms:W3CDTF">2025-04-16T07:29:00Z</dcterms:modified>
</cp:coreProperties>
</file>