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D0153" w14:textId="77777777" w:rsidR="0015770F" w:rsidRPr="00AA4BF8" w:rsidRDefault="004F333B" w:rsidP="000B2F68">
      <w:pPr>
        <w:adjustRightInd w:val="0"/>
        <w:snapToGrid w:val="0"/>
        <w:jc w:val="center"/>
        <w:rPr>
          <w:rFonts w:ascii="標楷體" w:eastAsia="標楷體" w:hAnsi="標楷體" w:cs="Arial"/>
          <w:b/>
          <w:color w:val="000000" w:themeColor="text1"/>
          <w:sz w:val="32"/>
          <w:szCs w:val="32"/>
        </w:rPr>
      </w:pPr>
      <w:bookmarkStart w:id="0" w:name="_Hlk154479017"/>
      <w:bookmarkStart w:id="1" w:name="_GoBack"/>
      <w:bookmarkEnd w:id="1"/>
      <w:r w:rsidRPr="00AA4BF8">
        <w:rPr>
          <w:rFonts w:ascii="標楷體" w:eastAsia="標楷體" w:hAnsi="標楷體" w:cs="Arial"/>
          <w:b/>
          <w:color w:val="000000" w:themeColor="text1"/>
          <w:sz w:val="32"/>
          <w:szCs w:val="32"/>
        </w:rPr>
        <w:t>證券經紀商受託買賣預收款券作業應行注意事項</w:t>
      </w:r>
    </w:p>
    <w:p w14:paraId="00850B97" w14:textId="67EB263E" w:rsidR="004F333B" w:rsidRPr="00AA4BF8" w:rsidRDefault="000B2F68" w:rsidP="003E043E">
      <w:pPr>
        <w:adjustRightInd w:val="0"/>
        <w:snapToGrid w:val="0"/>
        <w:spacing w:afterLines="50" w:after="180"/>
        <w:jc w:val="center"/>
        <w:rPr>
          <w:rFonts w:ascii="標楷體" w:eastAsia="標楷體" w:hAnsi="標楷體" w:cs="Arial"/>
          <w:b/>
          <w:color w:val="000000" w:themeColor="text1"/>
          <w:sz w:val="32"/>
          <w:szCs w:val="32"/>
        </w:rPr>
      </w:pPr>
      <w:r w:rsidRPr="00AA4BF8">
        <w:rPr>
          <w:rFonts w:ascii="標楷體" w:eastAsia="標楷體" w:hAnsi="標楷體" w:cs="Arial" w:hint="eastAsia"/>
          <w:b/>
          <w:color w:val="000000" w:themeColor="text1"/>
          <w:sz w:val="32"/>
          <w:szCs w:val="32"/>
        </w:rPr>
        <w:t>第一</w:t>
      </w:r>
      <w:r w:rsidR="005048E9" w:rsidRPr="00AA4BF8">
        <w:rPr>
          <w:rFonts w:ascii="標楷體" w:eastAsia="標楷體" w:hAnsi="標楷體" w:cs="Arial" w:hint="eastAsia"/>
          <w:b/>
          <w:color w:val="000000" w:themeColor="text1"/>
          <w:sz w:val="32"/>
          <w:szCs w:val="32"/>
        </w:rPr>
        <w:t>點、第二點</w:t>
      </w:r>
      <w:r w:rsidR="004F333B" w:rsidRPr="00AA4BF8">
        <w:rPr>
          <w:rFonts w:ascii="標楷體" w:eastAsia="標楷體" w:hAnsi="標楷體" w:cs="Arial"/>
          <w:b/>
          <w:color w:val="000000" w:themeColor="text1"/>
          <w:sz w:val="32"/>
          <w:szCs w:val="32"/>
        </w:rPr>
        <w:t>修正</w:t>
      </w:r>
      <w:r w:rsidR="00567C53" w:rsidRPr="00AA4BF8">
        <w:rPr>
          <w:rFonts w:ascii="標楷體" w:eastAsia="標楷體" w:hAnsi="標楷體" w:cs="Arial" w:hint="eastAsia"/>
          <w:b/>
          <w:color w:val="000000" w:themeColor="text1"/>
          <w:sz w:val="32"/>
          <w:szCs w:val="32"/>
        </w:rPr>
        <w:t>條文</w:t>
      </w:r>
      <w:r w:rsidR="004F333B" w:rsidRPr="00AA4BF8">
        <w:rPr>
          <w:rFonts w:ascii="標楷體" w:eastAsia="標楷體" w:hAnsi="標楷體" w:cs="Arial"/>
          <w:b/>
          <w:color w:val="000000" w:themeColor="text1"/>
          <w:sz w:val="32"/>
          <w:szCs w:val="32"/>
        </w:rPr>
        <w:t>對照表</w:t>
      </w:r>
    </w:p>
    <w:tbl>
      <w:tblPr>
        <w:tblStyle w:val="a3"/>
        <w:tblW w:w="10490" w:type="dxa"/>
        <w:tblLayout w:type="fixed"/>
        <w:tblLook w:val="04A0" w:firstRow="1" w:lastRow="0" w:firstColumn="1" w:lastColumn="0" w:noHBand="0" w:noVBand="1"/>
      </w:tblPr>
      <w:tblGrid>
        <w:gridCol w:w="3541"/>
        <w:gridCol w:w="3542"/>
        <w:gridCol w:w="3407"/>
      </w:tblGrid>
      <w:tr w:rsidR="00AA4BF8" w:rsidRPr="00AA4BF8" w14:paraId="48B67CB9" w14:textId="77777777" w:rsidTr="00253DC7">
        <w:trPr>
          <w:trHeight w:hRule="exact" w:val="652"/>
          <w:tblHeader/>
        </w:trPr>
        <w:tc>
          <w:tcPr>
            <w:tcW w:w="3541" w:type="dxa"/>
            <w:shd w:val="clear" w:color="auto" w:fill="auto"/>
            <w:vAlign w:val="center"/>
          </w:tcPr>
          <w:bookmarkEnd w:id="0"/>
          <w:p w14:paraId="7D9C3A2A" w14:textId="77777777" w:rsidR="00FC3240" w:rsidRPr="00AA4BF8" w:rsidRDefault="00CD5343" w:rsidP="00B0464F">
            <w:pPr>
              <w:adjustRightInd w:val="0"/>
              <w:snapToGrid w:val="0"/>
              <w:jc w:val="center"/>
              <w:rPr>
                <w:rFonts w:ascii="標楷體" w:eastAsia="標楷體" w:hAnsi="標楷體"/>
                <w:b/>
                <w:color w:val="000000" w:themeColor="text1"/>
                <w:sz w:val="28"/>
                <w:szCs w:val="28"/>
              </w:rPr>
            </w:pPr>
            <w:r w:rsidRPr="00AA4BF8">
              <w:rPr>
                <w:rFonts w:ascii="標楷體" w:eastAsia="標楷體" w:hAnsi="標楷體" w:hint="eastAsia"/>
                <w:b/>
                <w:color w:val="000000" w:themeColor="text1"/>
                <w:sz w:val="28"/>
                <w:szCs w:val="28"/>
              </w:rPr>
              <w:t>修正條文</w:t>
            </w:r>
          </w:p>
        </w:tc>
        <w:tc>
          <w:tcPr>
            <w:tcW w:w="3542" w:type="dxa"/>
            <w:shd w:val="clear" w:color="auto" w:fill="auto"/>
            <w:vAlign w:val="center"/>
          </w:tcPr>
          <w:p w14:paraId="6D70683F" w14:textId="77777777" w:rsidR="00FC3240" w:rsidRPr="00AA4BF8" w:rsidRDefault="00CD5343" w:rsidP="00B0464F">
            <w:pPr>
              <w:adjustRightInd w:val="0"/>
              <w:snapToGrid w:val="0"/>
              <w:jc w:val="center"/>
              <w:rPr>
                <w:rFonts w:ascii="標楷體" w:eastAsia="標楷體" w:hAnsi="標楷體"/>
                <w:b/>
                <w:color w:val="000000" w:themeColor="text1"/>
                <w:sz w:val="28"/>
                <w:szCs w:val="28"/>
              </w:rPr>
            </w:pPr>
            <w:r w:rsidRPr="00AA4BF8">
              <w:rPr>
                <w:rFonts w:ascii="標楷體" w:eastAsia="標楷體" w:hAnsi="標楷體" w:hint="eastAsia"/>
                <w:b/>
                <w:color w:val="000000" w:themeColor="text1"/>
                <w:sz w:val="28"/>
                <w:szCs w:val="28"/>
              </w:rPr>
              <w:t>現行條文</w:t>
            </w:r>
          </w:p>
        </w:tc>
        <w:tc>
          <w:tcPr>
            <w:tcW w:w="3407" w:type="dxa"/>
            <w:shd w:val="clear" w:color="auto" w:fill="auto"/>
            <w:vAlign w:val="center"/>
          </w:tcPr>
          <w:p w14:paraId="0C5C36FF" w14:textId="77777777" w:rsidR="00FC3240" w:rsidRPr="00AA4BF8" w:rsidRDefault="00CD5343" w:rsidP="00B0464F">
            <w:pPr>
              <w:adjustRightInd w:val="0"/>
              <w:snapToGrid w:val="0"/>
              <w:jc w:val="center"/>
              <w:rPr>
                <w:rFonts w:ascii="標楷體" w:eastAsia="標楷體" w:hAnsi="標楷體"/>
                <w:b/>
                <w:color w:val="000000" w:themeColor="text1"/>
                <w:sz w:val="28"/>
                <w:szCs w:val="28"/>
              </w:rPr>
            </w:pPr>
            <w:r w:rsidRPr="00AA4BF8">
              <w:rPr>
                <w:rFonts w:ascii="標楷體" w:eastAsia="標楷體" w:hAnsi="標楷體" w:hint="eastAsia"/>
                <w:b/>
                <w:color w:val="000000" w:themeColor="text1"/>
                <w:sz w:val="28"/>
                <w:szCs w:val="28"/>
              </w:rPr>
              <w:t>說明</w:t>
            </w:r>
          </w:p>
        </w:tc>
      </w:tr>
      <w:tr w:rsidR="00AA4BF8" w:rsidRPr="00AA4BF8" w14:paraId="26E1597B" w14:textId="77777777" w:rsidTr="00253DC7">
        <w:tc>
          <w:tcPr>
            <w:tcW w:w="3541" w:type="dxa"/>
          </w:tcPr>
          <w:p w14:paraId="1BDBA5DE" w14:textId="25924CB6" w:rsidR="00FC3240" w:rsidRPr="00AA4BF8" w:rsidRDefault="00FC3240" w:rsidP="00823920">
            <w:pPr>
              <w:adjustRightInd w:val="0"/>
              <w:snapToGrid w:val="0"/>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第</w:t>
            </w:r>
            <w:r w:rsidR="00D507FD" w:rsidRPr="00AA4BF8">
              <w:rPr>
                <w:rFonts w:ascii="標楷體" w:eastAsia="標楷體" w:hAnsi="標楷體" w:hint="eastAsia"/>
                <w:color w:val="000000" w:themeColor="text1"/>
                <w:sz w:val="28"/>
                <w:szCs w:val="28"/>
              </w:rPr>
              <w:t>一</w:t>
            </w:r>
            <w:r w:rsidR="005048E9" w:rsidRPr="00AA4BF8">
              <w:rPr>
                <w:rFonts w:ascii="標楷體" w:eastAsia="標楷體" w:hAnsi="標楷體" w:hint="eastAsia"/>
                <w:color w:val="000000" w:themeColor="text1"/>
                <w:sz w:val="28"/>
                <w:szCs w:val="28"/>
              </w:rPr>
              <w:t>點</w:t>
            </w:r>
          </w:p>
          <w:p w14:paraId="1F90AAD5" w14:textId="2D1CB974" w:rsidR="00D507FD" w:rsidRPr="00AA4BF8" w:rsidRDefault="00D507FD" w:rsidP="00823920">
            <w:pPr>
              <w:adjustRightInd w:val="0"/>
              <w:snapToGrid w:val="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經本公司列為變更交易方法有價證券或依本公司其他規定應預收款券之有價證券，證券經紀商於受託買賣時，應先預收足額或一定成數之款券，並在委託書上加註，始得辦理買賣申報，但違約專戶、認購（售）權證流動量提供者專戶或認購（售）權證避險專戶買賣變更交易方法、處置有價證券或依本公司其他規定應預收款券者，不在此限。</w:t>
            </w:r>
          </w:p>
          <w:p w14:paraId="38966C56" w14:textId="07DEB79A" w:rsidR="00956673" w:rsidRPr="00AA4BF8" w:rsidRDefault="000B2BCD" w:rsidP="00823920">
            <w:pPr>
              <w:adjustRightInd w:val="0"/>
              <w:snapToGrid w:val="0"/>
              <w:spacing w:beforeLines="50" w:before="180"/>
              <w:jc w:val="both"/>
              <w:rPr>
                <w:rFonts w:ascii="標楷體" w:eastAsia="標楷體" w:hAnsi="標楷體"/>
                <w:b/>
                <w:bCs/>
                <w:color w:val="000000" w:themeColor="text1"/>
                <w:sz w:val="28"/>
                <w:szCs w:val="28"/>
                <w:u w:val="single"/>
              </w:rPr>
            </w:pPr>
            <w:r w:rsidRPr="00AA4BF8">
              <w:rPr>
                <w:rFonts w:ascii="標楷體" w:eastAsia="標楷體" w:hAnsi="標楷體" w:hint="eastAsia"/>
                <w:bCs/>
                <w:color w:val="000000" w:themeColor="text1"/>
                <w:sz w:val="28"/>
                <w:szCs w:val="28"/>
                <w:u w:val="single"/>
              </w:rPr>
              <w:t>境外華僑及外國人與保管機構約定已圈存之款券不得匯撥移作他用者，就其委託買賣處置有價證券，證券商得經臺灣集中保管結算所相關作業系統，確認保管機構已圈存足額款券後受理。</w:t>
            </w:r>
          </w:p>
          <w:p w14:paraId="3562085D" w14:textId="0C9BEC56" w:rsidR="00FC3240" w:rsidRPr="00AA4BF8" w:rsidRDefault="00D507FD" w:rsidP="00D507FD">
            <w:pPr>
              <w:adjustRightInd w:val="0"/>
              <w:snapToGrid w:val="0"/>
              <w:spacing w:beforeLines="50" w:before="180" w:afterLines="50" w:after="180"/>
              <w:jc w:val="both"/>
              <w:rPr>
                <w:rFonts w:ascii="標楷體" w:eastAsia="標楷體" w:hAnsi="標楷體"/>
                <w:color w:val="000000" w:themeColor="text1"/>
              </w:rPr>
            </w:pPr>
            <w:r w:rsidRPr="00AA4BF8">
              <w:rPr>
                <w:rFonts w:ascii="標楷體" w:eastAsia="標楷體" w:hAnsi="標楷體" w:hint="eastAsia"/>
                <w:color w:val="000000" w:themeColor="text1"/>
                <w:sz w:val="28"/>
                <w:szCs w:val="28"/>
              </w:rPr>
              <w:t>證券經紀商收取應預收之款項，得於受託前一營業日為之。</w:t>
            </w:r>
          </w:p>
        </w:tc>
        <w:tc>
          <w:tcPr>
            <w:tcW w:w="3542" w:type="dxa"/>
          </w:tcPr>
          <w:p w14:paraId="0CE7B599" w14:textId="6D74FD97" w:rsidR="00FC3240" w:rsidRPr="00AA4BF8" w:rsidRDefault="00FC3240" w:rsidP="00823920">
            <w:pPr>
              <w:adjustRightInd w:val="0"/>
              <w:snapToGrid w:val="0"/>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第</w:t>
            </w:r>
            <w:r w:rsidR="00D507FD" w:rsidRPr="00AA4BF8">
              <w:rPr>
                <w:rFonts w:ascii="標楷體" w:eastAsia="標楷體" w:hAnsi="標楷體" w:hint="eastAsia"/>
                <w:color w:val="000000" w:themeColor="text1"/>
                <w:sz w:val="28"/>
                <w:szCs w:val="28"/>
              </w:rPr>
              <w:t>一</w:t>
            </w:r>
            <w:r w:rsidR="005048E9" w:rsidRPr="00AA4BF8">
              <w:rPr>
                <w:rFonts w:ascii="標楷體" w:eastAsia="標楷體" w:hAnsi="標楷體" w:hint="eastAsia"/>
                <w:color w:val="000000" w:themeColor="text1"/>
                <w:sz w:val="28"/>
                <w:szCs w:val="28"/>
              </w:rPr>
              <w:t>點</w:t>
            </w:r>
          </w:p>
          <w:p w14:paraId="364FC851" w14:textId="71315510" w:rsidR="00D507FD" w:rsidRPr="00AA4BF8" w:rsidRDefault="00D507FD" w:rsidP="00823920">
            <w:pPr>
              <w:adjustRightInd w:val="0"/>
              <w:snapToGrid w:val="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經本公司列為變更交易方法有價證券或依本公司其他規定應預收款券之有價證券，證券經紀商於受託買賣時，應先預收足額或一定成數之款券，並在委託書上加註，始得辦理買賣申報，但違約專戶、認購（售）權證流動量提供者專戶或認購（售）權證避險專戶買賣變更交易方法、</w:t>
            </w:r>
            <w:r w:rsidRPr="00AA4BF8">
              <w:rPr>
                <w:rFonts w:ascii="標楷體" w:eastAsia="標楷體" w:hAnsi="標楷體" w:hint="eastAsia"/>
                <w:color w:val="000000" w:themeColor="text1"/>
                <w:sz w:val="28"/>
                <w:szCs w:val="28"/>
                <w:u w:val="single"/>
              </w:rPr>
              <w:t>受</w:t>
            </w:r>
            <w:r w:rsidRPr="00AA4BF8">
              <w:rPr>
                <w:rFonts w:ascii="標楷體" w:eastAsia="標楷體" w:hAnsi="標楷體" w:hint="eastAsia"/>
                <w:color w:val="000000" w:themeColor="text1"/>
                <w:sz w:val="28"/>
                <w:szCs w:val="28"/>
              </w:rPr>
              <w:t>處置有價證券或依本公司其他規定應預收款券者，不在此限。</w:t>
            </w:r>
          </w:p>
          <w:p w14:paraId="67E9496F" w14:textId="5AE6A6F4" w:rsidR="001D1880" w:rsidRPr="00AA4BF8" w:rsidRDefault="001D1880" w:rsidP="009E3A9C">
            <w:pPr>
              <w:adjustRightInd w:val="0"/>
              <w:snapToGrid w:val="0"/>
              <w:spacing w:beforeLines="50" w:before="180"/>
              <w:jc w:val="both"/>
              <w:rPr>
                <w:rFonts w:ascii="標楷體" w:eastAsia="標楷體" w:hAnsi="標楷體"/>
                <w:color w:val="000000" w:themeColor="text1"/>
                <w:sz w:val="28"/>
                <w:szCs w:val="28"/>
                <w:u w:val="single"/>
              </w:rPr>
            </w:pPr>
            <w:r w:rsidRPr="00AA4BF8">
              <w:rPr>
                <w:rFonts w:ascii="標楷體" w:eastAsia="標楷體" w:hAnsi="標楷體" w:hint="eastAsia"/>
                <w:color w:val="000000" w:themeColor="text1"/>
                <w:sz w:val="28"/>
                <w:szCs w:val="28"/>
                <w:u w:val="single"/>
              </w:rPr>
              <w:t>(新增)</w:t>
            </w:r>
          </w:p>
          <w:p w14:paraId="7CF45B7E" w14:textId="71B8766D" w:rsidR="001D1880" w:rsidRPr="00AA4BF8" w:rsidRDefault="001D1880" w:rsidP="009E3A9C">
            <w:pPr>
              <w:adjustRightInd w:val="0"/>
              <w:snapToGrid w:val="0"/>
              <w:jc w:val="both"/>
              <w:rPr>
                <w:rFonts w:ascii="標楷體" w:eastAsia="標楷體" w:hAnsi="標楷體"/>
                <w:color w:val="000000" w:themeColor="text1"/>
                <w:sz w:val="28"/>
                <w:szCs w:val="28"/>
              </w:rPr>
            </w:pPr>
          </w:p>
          <w:p w14:paraId="4CA42257" w14:textId="7B1C05F0" w:rsidR="009E3A9C" w:rsidRPr="00AA4BF8" w:rsidRDefault="009E3A9C" w:rsidP="009E3A9C">
            <w:pPr>
              <w:adjustRightInd w:val="0"/>
              <w:snapToGrid w:val="0"/>
              <w:jc w:val="both"/>
              <w:rPr>
                <w:rFonts w:ascii="標楷體" w:eastAsia="標楷體" w:hAnsi="標楷體"/>
                <w:color w:val="000000" w:themeColor="text1"/>
                <w:sz w:val="28"/>
                <w:szCs w:val="28"/>
              </w:rPr>
            </w:pPr>
          </w:p>
          <w:p w14:paraId="7D1CB0DC" w14:textId="27D39944" w:rsidR="009E3A9C" w:rsidRPr="00AA4BF8" w:rsidRDefault="009E3A9C" w:rsidP="009E3A9C">
            <w:pPr>
              <w:adjustRightInd w:val="0"/>
              <w:snapToGrid w:val="0"/>
              <w:jc w:val="both"/>
              <w:rPr>
                <w:rFonts w:ascii="標楷體" w:eastAsia="標楷體" w:hAnsi="標楷體"/>
                <w:color w:val="000000" w:themeColor="text1"/>
                <w:sz w:val="28"/>
                <w:szCs w:val="28"/>
              </w:rPr>
            </w:pPr>
          </w:p>
          <w:p w14:paraId="7BAB7D4C" w14:textId="3582AF88" w:rsidR="009E3A9C" w:rsidRPr="00AA4BF8" w:rsidRDefault="009E3A9C" w:rsidP="009E3A9C">
            <w:pPr>
              <w:adjustRightInd w:val="0"/>
              <w:snapToGrid w:val="0"/>
              <w:jc w:val="both"/>
              <w:rPr>
                <w:rFonts w:ascii="標楷體" w:eastAsia="標楷體" w:hAnsi="標楷體"/>
                <w:color w:val="000000" w:themeColor="text1"/>
                <w:sz w:val="28"/>
                <w:szCs w:val="28"/>
              </w:rPr>
            </w:pPr>
          </w:p>
          <w:p w14:paraId="7194C002" w14:textId="095B1239" w:rsidR="009E3A9C" w:rsidRPr="00AA4BF8" w:rsidRDefault="009E3A9C" w:rsidP="009E3A9C">
            <w:pPr>
              <w:adjustRightInd w:val="0"/>
              <w:snapToGrid w:val="0"/>
              <w:jc w:val="both"/>
              <w:rPr>
                <w:rFonts w:ascii="標楷體" w:eastAsia="標楷體" w:hAnsi="標楷體"/>
                <w:color w:val="000000" w:themeColor="text1"/>
                <w:sz w:val="28"/>
                <w:szCs w:val="28"/>
              </w:rPr>
            </w:pPr>
          </w:p>
          <w:p w14:paraId="05D6C125" w14:textId="3F7AF071" w:rsidR="00956673" w:rsidRPr="00AA4BF8" w:rsidRDefault="00956673" w:rsidP="009E3A9C">
            <w:pPr>
              <w:adjustRightInd w:val="0"/>
              <w:snapToGrid w:val="0"/>
              <w:jc w:val="both"/>
              <w:rPr>
                <w:rFonts w:ascii="標楷體" w:eastAsia="標楷體" w:hAnsi="標楷體"/>
                <w:color w:val="000000" w:themeColor="text1"/>
                <w:sz w:val="28"/>
                <w:szCs w:val="28"/>
              </w:rPr>
            </w:pPr>
          </w:p>
          <w:p w14:paraId="6A66FCC9" w14:textId="77777777" w:rsidR="000B2BCD" w:rsidRPr="00AA4BF8" w:rsidRDefault="000B2BCD" w:rsidP="009E3A9C">
            <w:pPr>
              <w:adjustRightInd w:val="0"/>
              <w:snapToGrid w:val="0"/>
              <w:jc w:val="both"/>
              <w:rPr>
                <w:rFonts w:ascii="標楷體" w:eastAsia="標楷體" w:hAnsi="標楷體"/>
                <w:color w:val="000000" w:themeColor="text1"/>
                <w:sz w:val="28"/>
                <w:szCs w:val="28"/>
              </w:rPr>
            </w:pPr>
          </w:p>
          <w:p w14:paraId="73EA653D" w14:textId="4538F78F" w:rsidR="00FC3240" w:rsidRPr="00AA4BF8" w:rsidRDefault="00D507FD" w:rsidP="00D507FD">
            <w:pPr>
              <w:adjustRightInd w:val="0"/>
              <w:snapToGrid w:val="0"/>
              <w:spacing w:beforeLines="50" w:before="180" w:afterLines="50" w:after="180"/>
              <w:jc w:val="both"/>
              <w:rPr>
                <w:rFonts w:ascii="標楷體" w:eastAsia="標楷體" w:hAnsi="標楷體"/>
                <w:color w:val="000000" w:themeColor="text1"/>
              </w:rPr>
            </w:pPr>
            <w:r w:rsidRPr="00AA4BF8">
              <w:rPr>
                <w:rFonts w:ascii="標楷體" w:eastAsia="標楷體" w:hAnsi="標楷體" w:hint="eastAsia"/>
                <w:color w:val="000000" w:themeColor="text1"/>
                <w:sz w:val="28"/>
                <w:szCs w:val="28"/>
              </w:rPr>
              <w:t>證券經紀商收取應預收之款項，得於受託前一營業日為之。</w:t>
            </w:r>
          </w:p>
        </w:tc>
        <w:tc>
          <w:tcPr>
            <w:tcW w:w="3407" w:type="dxa"/>
          </w:tcPr>
          <w:p w14:paraId="2C9DDA03" w14:textId="571992FC" w:rsidR="00743AF3" w:rsidRPr="00AA4BF8" w:rsidRDefault="00B94A4C" w:rsidP="00B94A4C">
            <w:pPr>
              <w:adjustRightInd w:val="0"/>
              <w:snapToGrid w:val="0"/>
              <w:ind w:left="560" w:hangingChars="200" w:hanging="56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一、鑒於</w:t>
            </w:r>
            <w:r w:rsidR="00EA7B70" w:rsidRPr="00AA4BF8">
              <w:rPr>
                <w:rFonts w:ascii="標楷體" w:eastAsia="標楷體" w:hAnsi="標楷體" w:hint="eastAsia"/>
                <w:color w:val="000000" w:themeColor="text1"/>
                <w:sz w:val="28"/>
                <w:szCs w:val="28"/>
              </w:rPr>
              <w:t>外資證券</w:t>
            </w:r>
            <w:r w:rsidR="00791933" w:rsidRPr="00AA4BF8">
              <w:rPr>
                <w:rFonts w:ascii="標楷體" w:eastAsia="標楷體" w:hAnsi="標楷體" w:hint="eastAsia"/>
                <w:color w:val="000000" w:themeColor="text1"/>
                <w:sz w:val="28"/>
                <w:szCs w:val="28"/>
              </w:rPr>
              <w:t>經紀</w:t>
            </w:r>
            <w:r w:rsidR="00EA7B70" w:rsidRPr="00AA4BF8">
              <w:rPr>
                <w:rFonts w:ascii="標楷體" w:eastAsia="標楷體" w:hAnsi="標楷體" w:hint="eastAsia"/>
                <w:color w:val="000000" w:themeColor="text1"/>
                <w:sz w:val="28"/>
                <w:szCs w:val="28"/>
              </w:rPr>
              <w:t>商於美商白皮書及保管</w:t>
            </w:r>
            <w:r w:rsidR="00791933" w:rsidRPr="00AA4BF8">
              <w:rPr>
                <w:rFonts w:ascii="標楷體" w:eastAsia="標楷體" w:hAnsi="標楷體" w:hint="eastAsia"/>
                <w:color w:val="000000" w:themeColor="text1"/>
                <w:sz w:val="28"/>
                <w:szCs w:val="28"/>
              </w:rPr>
              <w:t>機構</w:t>
            </w:r>
            <w:r w:rsidR="00EA7B70" w:rsidRPr="00AA4BF8">
              <w:rPr>
                <w:rFonts w:ascii="標楷體" w:eastAsia="標楷體" w:hAnsi="標楷體" w:hint="eastAsia"/>
                <w:color w:val="000000" w:themeColor="text1"/>
                <w:sz w:val="28"/>
                <w:szCs w:val="28"/>
              </w:rPr>
              <w:t>於</w:t>
            </w:r>
            <w:r w:rsidR="00791933" w:rsidRPr="00AA4BF8">
              <w:rPr>
                <w:rFonts w:ascii="標楷體" w:eastAsia="標楷體" w:hAnsi="標楷體" w:hint="eastAsia"/>
                <w:color w:val="000000" w:themeColor="text1"/>
                <w:sz w:val="28"/>
                <w:szCs w:val="28"/>
              </w:rPr>
              <w:t>引資活動中，多次提出現行規定因時差或保管機構</w:t>
            </w:r>
            <w:r w:rsidR="00EA7B70" w:rsidRPr="00AA4BF8">
              <w:rPr>
                <w:rFonts w:ascii="標楷體" w:eastAsia="標楷體" w:hAnsi="標楷體" w:hint="eastAsia"/>
                <w:color w:val="000000" w:themeColor="text1"/>
                <w:sz w:val="28"/>
                <w:szCs w:val="28"/>
              </w:rPr>
              <w:t>通知作業繁瑣，造成客戶下單時有延誤情事，</w:t>
            </w:r>
            <w:r w:rsidR="00956673" w:rsidRPr="00AA4BF8">
              <w:rPr>
                <w:rFonts w:ascii="標楷體" w:eastAsia="標楷體" w:hAnsi="標楷體" w:hint="eastAsia"/>
                <w:color w:val="000000" w:themeColor="text1"/>
                <w:sz w:val="28"/>
                <w:szCs w:val="28"/>
              </w:rPr>
              <w:t>增加</w:t>
            </w:r>
            <w:r w:rsidR="00791933" w:rsidRPr="00AA4BF8">
              <w:rPr>
                <w:rFonts w:ascii="標楷體" w:eastAsia="標楷體" w:hAnsi="標楷體" w:hint="eastAsia"/>
                <w:color w:val="000000" w:themeColor="text1"/>
                <w:sz w:val="28"/>
                <w:szCs w:val="28"/>
              </w:rPr>
              <w:t>證券經紀商受理境外華僑及外國人委託買賣處置有價證券，得由保管</w:t>
            </w:r>
            <w:r w:rsidR="002668D2">
              <w:rPr>
                <w:rFonts w:ascii="標楷體" w:eastAsia="標楷體" w:hAnsi="標楷體" w:hint="eastAsia"/>
                <w:color w:val="000000" w:themeColor="text1"/>
                <w:sz w:val="28"/>
                <w:szCs w:val="28"/>
              </w:rPr>
              <w:t>機構</w:t>
            </w:r>
            <w:r w:rsidR="00791933" w:rsidRPr="00AA4BF8">
              <w:rPr>
                <w:rFonts w:ascii="標楷體" w:eastAsia="標楷體" w:hAnsi="標楷體" w:hint="eastAsia"/>
                <w:color w:val="000000" w:themeColor="text1"/>
                <w:sz w:val="28"/>
                <w:szCs w:val="28"/>
              </w:rPr>
              <w:t>依客戶指示及證券經紀商通知，將款券圈存於保管</w:t>
            </w:r>
            <w:r w:rsidR="002668D2">
              <w:rPr>
                <w:rFonts w:ascii="標楷體" w:eastAsia="標楷體" w:hAnsi="標楷體" w:hint="eastAsia"/>
                <w:color w:val="000000" w:themeColor="text1"/>
                <w:sz w:val="28"/>
                <w:szCs w:val="28"/>
              </w:rPr>
              <w:t>機構</w:t>
            </w:r>
            <w:r w:rsidR="00791933" w:rsidRPr="00AA4BF8">
              <w:rPr>
                <w:rFonts w:ascii="標楷體" w:eastAsia="標楷體" w:hAnsi="標楷體" w:hint="eastAsia"/>
                <w:color w:val="000000" w:themeColor="text1"/>
                <w:sz w:val="28"/>
                <w:szCs w:val="28"/>
              </w:rPr>
              <w:t>端，無須將款券匯撥入證券</w:t>
            </w:r>
            <w:r w:rsidR="0053110D" w:rsidRPr="00AA4BF8">
              <w:rPr>
                <w:rFonts w:ascii="標楷體" w:eastAsia="標楷體" w:hAnsi="標楷體" w:hint="eastAsia"/>
                <w:color w:val="000000" w:themeColor="text1"/>
                <w:sz w:val="28"/>
                <w:szCs w:val="28"/>
              </w:rPr>
              <w:t>經紀</w:t>
            </w:r>
            <w:r w:rsidR="00791933" w:rsidRPr="00AA4BF8">
              <w:rPr>
                <w:rFonts w:ascii="標楷體" w:eastAsia="標楷體" w:hAnsi="標楷體" w:hint="eastAsia"/>
                <w:color w:val="000000" w:themeColor="text1"/>
                <w:sz w:val="28"/>
                <w:szCs w:val="28"/>
              </w:rPr>
              <w:t>商交割專戶，</w:t>
            </w:r>
            <w:r w:rsidR="005E43CB" w:rsidRPr="00AA4BF8">
              <w:rPr>
                <w:rFonts w:ascii="標楷體" w:eastAsia="標楷體" w:hAnsi="標楷體" w:hint="eastAsia"/>
                <w:color w:val="000000" w:themeColor="text1"/>
                <w:sz w:val="28"/>
                <w:szCs w:val="28"/>
              </w:rPr>
              <w:t>且</w:t>
            </w:r>
            <w:r w:rsidRPr="00AA4BF8">
              <w:rPr>
                <w:rFonts w:ascii="標楷體" w:eastAsia="標楷體" w:hAnsi="標楷體" w:hint="eastAsia"/>
                <w:color w:val="000000" w:themeColor="text1"/>
                <w:sz w:val="28"/>
                <w:szCs w:val="28"/>
              </w:rPr>
              <w:t>透過</w:t>
            </w:r>
            <w:r w:rsidR="00791933" w:rsidRPr="00AA4BF8">
              <w:rPr>
                <w:rFonts w:ascii="標楷體" w:eastAsia="標楷體" w:hAnsi="標楷體" w:hint="eastAsia"/>
                <w:color w:val="000000" w:themeColor="text1"/>
                <w:sz w:val="28"/>
                <w:szCs w:val="28"/>
              </w:rPr>
              <w:t>第三方公正機構集保結算所</w:t>
            </w:r>
            <w:r w:rsidRPr="00AA4BF8">
              <w:rPr>
                <w:rFonts w:ascii="標楷體" w:eastAsia="標楷體" w:hAnsi="標楷體" w:hint="eastAsia"/>
                <w:color w:val="000000" w:themeColor="text1"/>
                <w:sz w:val="28"/>
                <w:szCs w:val="28"/>
              </w:rPr>
              <w:t>S</w:t>
            </w:r>
            <w:r w:rsidRPr="00AA4BF8">
              <w:rPr>
                <w:rFonts w:ascii="標楷體" w:eastAsia="標楷體" w:hAnsi="標楷體"/>
                <w:color w:val="000000" w:themeColor="text1"/>
                <w:sz w:val="28"/>
                <w:szCs w:val="28"/>
              </w:rPr>
              <w:t>MART</w:t>
            </w:r>
            <w:r w:rsidR="003055D2" w:rsidRPr="00AA4BF8">
              <w:rPr>
                <w:rFonts w:ascii="標楷體" w:eastAsia="標楷體" w:hAnsi="標楷體" w:hint="eastAsia"/>
                <w:color w:val="000000" w:themeColor="text1"/>
                <w:sz w:val="28"/>
                <w:szCs w:val="28"/>
              </w:rPr>
              <w:t>作業系統</w:t>
            </w:r>
            <w:r w:rsidR="00791933" w:rsidRPr="00AA4BF8">
              <w:rPr>
                <w:rFonts w:ascii="標楷體" w:eastAsia="標楷體" w:hAnsi="標楷體" w:hint="eastAsia"/>
                <w:color w:val="000000" w:themeColor="text1"/>
                <w:sz w:val="28"/>
                <w:szCs w:val="28"/>
              </w:rPr>
              <w:t>相互傳達圈存訊息</w:t>
            </w:r>
            <w:r w:rsidR="005E43CB" w:rsidRPr="00AA4BF8">
              <w:rPr>
                <w:rFonts w:ascii="標楷體" w:eastAsia="標楷體" w:hAnsi="標楷體" w:hint="eastAsia"/>
                <w:color w:val="000000" w:themeColor="text1"/>
                <w:sz w:val="28"/>
                <w:szCs w:val="28"/>
              </w:rPr>
              <w:t>之彈性措施</w:t>
            </w:r>
            <w:r w:rsidR="00791933" w:rsidRPr="00AA4BF8">
              <w:rPr>
                <w:rFonts w:ascii="標楷體" w:eastAsia="標楷體" w:hAnsi="標楷體" w:hint="eastAsia"/>
                <w:color w:val="000000" w:themeColor="text1"/>
                <w:sz w:val="28"/>
                <w:szCs w:val="28"/>
              </w:rPr>
              <w:t>，</w:t>
            </w:r>
            <w:r w:rsidR="0067182B" w:rsidRPr="00AA4BF8">
              <w:rPr>
                <w:rFonts w:ascii="標楷體" w:eastAsia="標楷體" w:hAnsi="標楷體" w:hint="eastAsia"/>
                <w:color w:val="000000" w:themeColor="text1"/>
                <w:sz w:val="28"/>
                <w:szCs w:val="28"/>
              </w:rPr>
              <w:t>爰</w:t>
            </w:r>
            <w:r w:rsidR="005048E9" w:rsidRPr="00AA4BF8">
              <w:rPr>
                <w:rFonts w:ascii="標楷體" w:eastAsia="標楷體" w:hAnsi="標楷體" w:hint="eastAsia"/>
                <w:color w:val="000000" w:themeColor="text1"/>
                <w:sz w:val="28"/>
                <w:szCs w:val="28"/>
              </w:rPr>
              <w:t>增訂本點</w:t>
            </w:r>
            <w:r w:rsidR="00EA7B70" w:rsidRPr="00AA4BF8">
              <w:rPr>
                <w:rFonts w:ascii="標楷體" w:eastAsia="標楷體" w:hAnsi="標楷體" w:hint="eastAsia"/>
                <w:color w:val="000000" w:themeColor="text1"/>
                <w:sz w:val="28"/>
                <w:szCs w:val="28"/>
              </w:rPr>
              <w:t>第二項</w:t>
            </w:r>
            <w:r w:rsidR="00791933" w:rsidRPr="00AA4BF8">
              <w:rPr>
                <w:rFonts w:ascii="標楷體" w:eastAsia="標楷體" w:hAnsi="標楷體" w:hint="eastAsia"/>
                <w:color w:val="000000" w:themeColor="text1"/>
                <w:sz w:val="28"/>
                <w:szCs w:val="28"/>
              </w:rPr>
              <w:t>規定。</w:t>
            </w:r>
          </w:p>
          <w:p w14:paraId="4D81AF19" w14:textId="49D60BAE" w:rsidR="00E317AB" w:rsidRPr="00AA4BF8" w:rsidRDefault="00E317AB" w:rsidP="00B94A4C">
            <w:pPr>
              <w:adjustRightInd w:val="0"/>
              <w:snapToGrid w:val="0"/>
              <w:ind w:left="560" w:hangingChars="200" w:hanging="56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二、</w:t>
            </w:r>
            <w:r w:rsidR="0053110D" w:rsidRPr="00AA4BF8">
              <w:rPr>
                <w:rFonts w:ascii="標楷體" w:eastAsia="標楷體" w:hAnsi="標楷體" w:hint="eastAsia"/>
                <w:color w:val="000000" w:themeColor="text1"/>
                <w:sz w:val="28"/>
                <w:szCs w:val="28"/>
              </w:rPr>
              <w:t>證券經紀商與保管機構需留存集保結算所資訊平台</w:t>
            </w:r>
            <w:r w:rsidR="009644D5" w:rsidRPr="00AA4BF8">
              <w:rPr>
                <w:rFonts w:ascii="標楷體" w:eastAsia="標楷體" w:hAnsi="標楷體" w:hint="eastAsia"/>
                <w:color w:val="000000" w:themeColor="text1"/>
                <w:sz w:val="28"/>
                <w:szCs w:val="28"/>
              </w:rPr>
              <w:t>提供之</w:t>
            </w:r>
            <w:r w:rsidR="0053110D" w:rsidRPr="00AA4BF8">
              <w:rPr>
                <w:rFonts w:ascii="標楷體" w:eastAsia="標楷體" w:hAnsi="標楷體" w:hint="eastAsia"/>
                <w:color w:val="000000" w:themeColor="text1"/>
                <w:sz w:val="28"/>
                <w:szCs w:val="28"/>
              </w:rPr>
              <w:t>圈存相關資料，俾利查核。</w:t>
            </w:r>
          </w:p>
          <w:p w14:paraId="276A3D72" w14:textId="145845C8" w:rsidR="00EA0105" w:rsidRPr="00AA4BF8" w:rsidRDefault="00264D9C" w:rsidP="00956673">
            <w:pPr>
              <w:adjustRightInd w:val="0"/>
              <w:snapToGrid w:val="0"/>
              <w:ind w:left="560" w:hangingChars="200" w:hanging="56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三</w:t>
            </w:r>
            <w:r w:rsidR="00EA0105" w:rsidRPr="00AA4BF8">
              <w:rPr>
                <w:rFonts w:ascii="標楷體" w:eastAsia="標楷體" w:hAnsi="標楷體" w:hint="eastAsia"/>
                <w:color w:val="000000" w:themeColor="text1"/>
                <w:sz w:val="28"/>
                <w:szCs w:val="28"/>
              </w:rPr>
              <w:t>、</w:t>
            </w:r>
            <w:r w:rsidR="00956673" w:rsidRPr="00AA4BF8">
              <w:rPr>
                <w:rFonts w:ascii="標楷體" w:eastAsia="標楷體" w:hAnsi="標楷體" w:hint="eastAsia"/>
                <w:color w:val="000000" w:themeColor="text1"/>
                <w:sz w:val="28"/>
                <w:szCs w:val="28"/>
              </w:rPr>
              <w:t>項次調整，原第二項規定調整為第三項。</w:t>
            </w:r>
          </w:p>
          <w:p w14:paraId="023ADA9D" w14:textId="686E2DBA" w:rsidR="006831E7" w:rsidRPr="00AA4BF8" w:rsidRDefault="00264D9C" w:rsidP="00956673">
            <w:pPr>
              <w:adjustRightInd w:val="0"/>
              <w:snapToGrid w:val="0"/>
              <w:ind w:left="560" w:hangingChars="200" w:hanging="56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四</w:t>
            </w:r>
            <w:r w:rsidR="006831E7" w:rsidRPr="00AA4BF8">
              <w:rPr>
                <w:rFonts w:ascii="標楷體" w:eastAsia="標楷體" w:hAnsi="標楷體" w:hint="eastAsia"/>
                <w:color w:val="000000" w:themeColor="text1"/>
                <w:sz w:val="28"/>
                <w:szCs w:val="28"/>
              </w:rPr>
              <w:t>、第一點酌調文字。</w:t>
            </w:r>
          </w:p>
        </w:tc>
      </w:tr>
      <w:tr w:rsidR="00AC7643" w:rsidRPr="00AA4BF8" w14:paraId="4A8479EE" w14:textId="77777777" w:rsidTr="00253DC7">
        <w:tc>
          <w:tcPr>
            <w:tcW w:w="3541" w:type="dxa"/>
          </w:tcPr>
          <w:p w14:paraId="2E32901D" w14:textId="4405F911" w:rsidR="000E7326" w:rsidRPr="00AA4BF8" w:rsidRDefault="000E7326" w:rsidP="00823920">
            <w:pPr>
              <w:adjustRightInd w:val="0"/>
              <w:snapToGrid w:val="0"/>
              <w:rPr>
                <w:rFonts w:ascii="標楷體" w:eastAsia="標楷體" w:hAnsi="標楷體"/>
                <w:color w:val="000000" w:themeColor="text1"/>
                <w:sz w:val="28"/>
                <w:szCs w:val="28"/>
              </w:rPr>
            </w:pPr>
            <w:bookmarkStart w:id="2" w:name="_Hlk154478918"/>
            <w:r w:rsidRPr="00AA4BF8">
              <w:rPr>
                <w:rFonts w:ascii="標楷體" w:eastAsia="標楷體" w:hAnsi="標楷體" w:hint="eastAsia"/>
                <w:color w:val="000000" w:themeColor="text1"/>
                <w:sz w:val="28"/>
                <w:szCs w:val="28"/>
              </w:rPr>
              <w:t>第</w:t>
            </w:r>
            <w:r w:rsidR="00D507FD" w:rsidRPr="00AA4BF8">
              <w:rPr>
                <w:rFonts w:ascii="標楷體" w:eastAsia="標楷體" w:hAnsi="標楷體" w:hint="eastAsia"/>
                <w:color w:val="000000" w:themeColor="text1"/>
                <w:sz w:val="28"/>
                <w:szCs w:val="28"/>
              </w:rPr>
              <w:t>二</w:t>
            </w:r>
            <w:r w:rsidR="005048E9" w:rsidRPr="00AA4BF8">
              <w:rPr>
                <w:rFonts w:ascii="標楷體" w:eastAsia="標楷體" w:hAnsi="標楷體" w:hint="eastAsia"/>
                <w:color w:val="000000" w:themeColor="text1"/>
                <w:sz w:val="28"/>
                <w:szCs w:val="28"/>
              </w:rPr>
              <w:t>點</w:t>
            </w:r>
          </w:p>
          <w:bookmarkEnd w:id="2"/>
          <w:p w14:paraId="2E5669F1" w14:textId="39CF8A54" w:rsidR="002110C1" w:rsidRPr="00AA4BF8" w:rsidRDefault="00D507FD" w:rsidP="00823920">
            <w:pPr>
              <w:adjustRightInd w:val="0"/>
              <w:snapToGrid w:val="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證券經紀商接受委託人買進變更交易方法或處置有價證券，應負責查證匯款人是以交易委託人之本人名義匯入證券商預收款交割專戶，始得辦理買賣申</w:t>
            </w:r>
            <w:r w:rsidRPr="00AA4BF8">
              <w:rPr>
                <w:rFonts w:ascii="標楷體" w:eastAsia="標楷體" w:hAnsi="標楷體" w:hint="eastAsia"/>
                <w:color w:val="000000" w:themeColor="text1"/>
                <w:sz w:val="28"/>
                <w:szCs w:val="28"/>
              </w:rPr>
              <w:lastRenderedPageBreak/>
              <w:t>報。但委託人得以留存於證券商交割專戶內款項支應。</w:t>
            </w:r>
          </w:p>
        </w:tc>
        <w:tc>
          <w:tcPr>
            <w:tcW w:w="3542" w:type="dxa"/>
          </w:tcPr>
          <w:p w14:paraId="6707D762" w14:textId="6D294FCD" w:rsidR="000E7326" w:rsidRPr="00AA4BF8" w:rsidRDefault="00D507FD" w:rsidP="00823920">
            <w:pPr>
              <w:adjustRightInd w:val="0"/>
              <w:snapToGrid w:val="0"/>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lastRenderedPageBreak/>
              <w:t>第二</w:t>
            </w:r>
            <w:r w:rsidR="005048E9" w:rsidRPr="00AA4BF8">
              <w:rPr>
                <w:rFonts w:ascii="標楷體" w:eastAsia="標楷體" w:hAnsi="標楷體" w:hint="eastAsia"/>
                <w:color w:val="000000" w:themeColor="text1"/>
                <w:sz w:val="28"/>
                <w:szCs w:val="28"/>
              </w:rPr>
              <w:t>點</w:t>
            </w:r>
          </w:p>
          <w:p w14:paraId="442B12A6" w14:textId="18E8A528" w:rsidR="00D507FD" w:rsidRPr="00AA4BF8" w:rsidRDefault="00D507FD" w:rsidP="00823920">
            <w:pPr>
              <w:adjustRightInd w:val="0"/>
              <w:snapToGrid w:val="0"/>
              <w:jc w:val="both"/>
              <w:rPr>
                <w:rFonts w:ascii="細明體" w:eastAsia="細明體" w:hAnsi="細明體" w:cs="細明體"/>
                <w:color w:val="000000" w:themeColor="text1"/>
                <w:kern w:val="0"/>
                <w:szCs w:val="24"/>
              </w:rPr>
            </w:pPr>
            <w:r w:rsidRPr="00AA4BF8">
              <w:rPr>
                <w:rFonts w:ascii="標楷體" w:eastAsia="標楷體" w:hAnsi="標楷體" w:hint="eastAsia"/>
                <w:color w:val="000000" w:themeColor="text1"/>
                <w:sz w:val="28"/>
                <w:szCs w:val="28"/>
              </w:rPr>
              <w:t>證券經紀商接受委託人買進變更交易方法或</w:t>
            </w:r>
            <w:r w:rsidRPr="00AA4BF8">
              <w:rPr>
                <w:rFonts w:ascii="標楷體" w:eastAsia="標楷體" w:hAnsi="標楷體" w:hint="eastAsia"/>
                <w:color w:val="000000" w:themeColor="text1"/>
                <w:sz w:val="28"/>
                <w:szCs w:val="28"/>
                <w:u w:val="single"/>
              </w:rPr>
              <w:t>受</w:t>
            </w:r>
            <w:r w:rsidRPr="00AA4BF8">
              <w:rPr>
                <w:rFonts w:ascii="標楷體" w:eastAsia="標楷體" w:hAnsi="標楷體" w:hint="eastAsia"/>
                <w:color w:val="000000" w:themeColor="text1"/>
                <w:sz w:val="28"/>
                <w:szCs w:val="28"/>
              </w:rPr>
              <w:t>處置有價證券，應負責查證匯款人是以交易委託人之本人名義匯入證券商預收款交割專戶，始得辦理買賣</w:t>
            </w:r>
            <w:r w:rsidRPr="00AA4BF8">
              <w:rPr>
                <w:rFonts w:ascii="標楷體" w:eastAsia="標楷體" w:hAnsi="標楷體" w:hint="eastAsia"/>
                <w:color w:val="000000" w:themeColor="text1"/>
                <w:sz w:val="28"/>
                <w:szCs w:val="28"/>
              </w:rPr>
              <w:lastRenderedPageBreak/>
              <w:t>申報。但委託人得以留存於證券商交割專戶內款項支應。</w:t>
            </w:r>
          </w:p>
        </w:tc>
        <w:tc>
          <w:tcPr>
            <w:tcW w:w="3407" w:type="dxa"/>
          </w:tcPr>
          <w:p w14:paraId="0E28B3C0" w14:textId="7BB58367" w:rsidR="00D64943" w:rsidRPr="00AA4BF8" w:rsidRDefault="00741FAD" w:rsidP="005048E9">
            <w:pPr>
              <w:adjustRightInd w:val="0"/>
              <w:snapToGrid w:val="0"/>
              <w:spacing w:beforeLines="50" w:before="180" w:afterLines="50" w:after="180"/>
              <w:jc w:val="both"/>
              <w:rPr>
                <w:rFonts w:ascii="標楷體" w:eastAsia="標楷體" w:hAnsi="標楷體"/>
                <w:color w:val="000000" w:themeColor="text1"/>
              </w:rPr>
            </w:pPr>
            <w:r w:rsidRPr="00AA4BF8">
              <w:rPr>
                <w:rFonts w:ascii="標楷體" w:eastAsia="標楷體" w:hAnsi="標楷體" w:hint="eastAsia"/>
                <w:color w:val="000000" w:themeColor="text1"/>
                <w:sz w:val="28"/>
                <w:szCs w:val="28"/>
              </w:rPr>
              <w:lastRenderedPageBreak/>
              <w:t>配合</w:t>
            </w:r>
            <w:r w:rsidR="00C840FA" w:rsidRPr="00AA4BF8">
              <w:rPr>
                <w:rFonts w:ascii="標楷體" w:eastAsia="標楷體" w:hAnsi="標楷體" w:hint="eastAsia"/>
                <w:color w:val="000000" w:themeColor="text1"/>
                <w:sz w:val="28"/>
                <w:szCs w:val="28"/>
              </w:rPr>
              <w:t>第一</w:t>
            </w:r>
            <w:r w:rsidR="005048E9" w:rsidRPr="00AA4BF8">
              <w:rPr>
                <w:rFonts w:ascii="標楷體" w:eastAsia="標楷體" w:hAnsi="標楷體" w:hint="eastAsia"/>
                <w:color w:val="000000" w:themeColor="text1"/>
                <w:sz w:val="28"/>
                <w:szCs w:val="28"/>
              </w:rPr>
              <w:t>點</w:t>
            </w:r>
            <w:r w:rsidR="00364295" w:rsidRPr="00AA4BF8">
              <w:rPr>
                <w:rFonts w:ascii="標楷體" w:eastAsia="標楷體" w:hAnsi="標楷體" w:hint="eastAsia"/>
                <w:color w:val="000000" w:themeColor="text1"/>
                <w:sz w:val="28"/>
                <w:szCs w:val="28"/>
              </w:rPr>
              <w:t>增訂第二項</w:t>
            </w:r>
            <w:r w:rsidR="00A451BE" w:rsidRPr="00AA4BF8">
              <w:rPr>
                <w:rFonts w:ascii="標楷體" w:eastAsia="標楷體" w:hAnsi="標楷體" w:hint="eastAsia"/>
                <w:color w:val="000000" w:themeColor="text1"/>
                <w:sz w:val="28"/>
                <w:szCs w:val="28"/>
              </w:rPr>
              <w:t>文字</w:t>
            </w:r>
            <w:r w:rsidRPr="00AA4BF8">
              <w:rPr>
                <w:rFonts w:ascii="標楷體" w:eastAsia="標楷體" w:hAnsi="標楷體" w:hint="eastAsia"/>
                <w:color w:val="000000" w:themeColor="text1"/>
                <w:sz w:val="28"/>
                <w:szCs w:val="28"/>
              </w:rPr>
              <w:t>內容</w:t>
            </w:r>
            <w:r w:rsidR="00364295" w:rsidRPr="00AA4BF8">
              <w:rPr>
                <w:rFonts w:ascii="標楷體" w:eastAsia="標楷體" w:hAnsi="標楷體" w:hint="eastAsia"/>
                <w:color w:val="000000" w:themeColor="text1"/>
                <w:sz w:val="28"/>
                <w:szCs w:val="28"/>
              </w:rPr>
              <w:t>，</w:t>
            </w:r>
            <w:r w:rsidRPr="00AA4BF8">
              <w:rPr>
                <w:rFonts w:ascii="標楷體" w:eastAsia="標楷體" w:hAnsi="標楷體" w:hint="eastAsia"/>
                <w:color w:val="000000" w:themeColor="text1"/>
                <w:sz w:val="28"/>
                <w:szCs w:val="28"/>
              </w:rPr>
              <w:t>酌</w:t>
            </w:r>
            <w:r w:rsidR="00364295" w:rsidRPr="00AA4BF8">
              <w:rPr>
                <w:rFonts w:ascii="標楷體" w:eastAsia="標楷體" w:hAnsi="標楷體" w:hint="eastAsia"/>
                <w:color w:val="000000" w:themeColor="text1"/>
                <w:sz w:val="28"/>
                <w:szCs w:val="28"/>
              </w:rPr>
              <w:t>調文字。</w:t>
            </w:r>
          </w:p>
        </w:tc>
      </w:tr>
    </w:tbl>
    <w:p w14:paraId="34161ACD" w14:textId="77777777" w:rsidR="003C073F" w:rsidRPr="00AA4BF8" w:rsidRDefault="003C073F" w:rsidP="003E043E">
      <w:pPr>
        <w:adjustRightInd w:val="0"/>
        <w:snapToGrid w:val="0"/>
        <w:spacing w:beforeLines="150" w:before="540"/>
        <w:jc w:val="center"/>
        <w:rPr>
          <w:rFonts w:ascii="標楷體" w:eastAsia="標楷體" w:hAnsi="標楷體" w:cs="Arial"/>
          <w:b/>
          <w:color w:val="000000" w:themeColor="text1"/>
          <w:sz w:val="32"/>
          <w:szCs w:val="32"/>
        </w:rPr>
      </w:pPr>
    </w:p>
    <w:p w14:paraId="0F5E94A4" w14:textId="77777777" w:rsidR="003C073F" w:rsidRPr="00AA4BF8" w:rsidRDefault="003C073F">
      <w:pPr>
        <w:widowControl/>
        <w:rPr>
          <w:rFonts w:ascii="標楷體" w:eastAsia="標楷體" w:hAnsi="標楷體" w:cs="Arial"/>
          <w:b/>
          <w:color w:val="000000" w:themeColor="text1"/>
          <w:sz w:val="32"/>
          <w:szCs w:val="32"/>
        </w:rPr>
      </w:pPr>
      <w:r w:rsidRPr="00AA4BF8">
        <w:rPr>
          <w:rFonts w:ascii="標楷體" w:eastAsia="標楷體" w:hAnsi="標楷體" w:cs="Arial"/>
          <w:b/>
          <w:color w:val="000000" w:themeColor="text1"/>
          <w:sz w:val="32"/>
          <w:szCs w:val="32"/>
        </w:rPr>
        <w:br w:type="page"/>
      </w:r>
    </w:p>
    <w:p w14:paraId="14E9B32A" w14:textId="4F0F0C7A" w:rsidR="00896865" w:rsidRPr="00AA4BF8" w:rsidRDefault="00E94A6A" w:rsidP="003E043E">
      <w:pPr>
        <w:adjustRightInd w:val="0"/>
        <w:snapToGrid w:val="0"/>
        <w:spacing w:beforeLines="150" w:before="540"/>
        <w:jc w:val="center"/>
        <w:rPr>
          <w:rFonts w:ascii="標楷體" w:eastAsia="標楷體" w:hAnsi="標楷體" w:cs="Arial"/>
          <w:b/>
          <w:color w:val="000000" w:themeColor="text1"/>
          <w:sz w:val="32"/>
          <w:szCs w:val="32"/>
        </w:rPr>
      </w:pPr>
      <w:r w:rsidRPr="00AA4BF8">
        <w:rPr>
          <w:rFonts w:ascii="標楷體" w:eastAsia="標楷體" w:hAnsi="標楷體" w:cs="Arial"/>
          <w:b/>
          <w:color w:val="000000" w:themeColor="text1"/>
          <w:sz w:val="32"/>
          <w:szCs w:val="32"/>
        </w:rPr>
        <w:lastRenderedPageBreak/>
        <w:t>有價證券集中交易市場實施全面款券劃撥制度注意事項</w:t>
      </w:r>
      <w:r w:rsidR="00896865" w:rsidRPr="00AA4BF8">
        <w:rPr>
          <w:rFonts w:ascii="標楷體" w:eastAsia="標楷體" w:hAnsi="標楷體" w:cs="Arial" w:hint="eastAsia"/>
          <w:b/>
          <w:color w:val="000000" w:themeColor="text1"/>
          <w:sz w:val="32"/>
          <w:szCs w:val="32"/>
        </w:rPr>
        <w:t>第</w:t>
      </w:r>
      <w:r w:rsidRPr="00AA4BF8">
        <w:rPr>
          <w:rFonts w:ascii="標楷體" w:eastAsia="標楷體" w:hAnsi="標楷體" w:cs="Arial" w:hint="eastAsia"/>
          <w:b/>
          <w:color w:val="000000" w:themeColor="text1"/>
          <w:sz w:val="32"/>
          <w:szCs w:val="32"/>
        </w:rPr>
        <w:t>七</w:t>
      </w:r>
      <w:r w:rsidR="00D524D4" w:rsidRPr="00AA4BF8">
        <w:rPr>
          <w:rFonts w:ascii="標楷體" w:eastAsia="標楷體" w:hAnsi="標楷體" w:cs="Arial" w:hint="eastAsia"/>
          <w:b/>
          <w:color w:val="000000" w:themeColor="text1"/>
          <w:sz w:val="32"/>
          <w:szCs w:val="32"/>
        </w:rPr>
        <w:t>條</w:t>
      </w:r>
    </w:p>
    <w:p w14:paraId="648B165E" w14:textId="0EBD4FF3" w:rsidR="00896865" w:rsidRPr="00AA4BF8" w:rsidRDefault="00896865" w:rsidP="003E043E">
      <w:pPr>
        <w:adjustRightInd w:val="0"/>
        <w:snapToGrid w:val="0"/>
        <w:spacing w:afterLines="50" w:after="180"/>
        <w:jc w:val="center"/>
        <w:rPr>
          <w:rFonts w:ascii="標楷體" w:eastAsia="標楷體" w:hAnsi="標楷體" w:cs="Arial"/>
          <w:b/>
          <w:color w:val="000000" w:themeColor="text1"/>
          <w:sz w:val="32"/>
          <w:szCs w:val="32"/>
        </w:rPr>
      </w:pPr>
      <w:r w:rsidRPr="00AA4BF8">
        <w:rPr>
          <w:rFonts w:ascii="標楷體" w:eastAsia="標楷體" w:hAnsi="標楷體" w:cs="Arial"/>
          <w:b/>
          <w:color w:val="000000" w:themeColor="text1"/>
          <w:sz w:val="32"/>
          <w:szCs w:val="32"/>
        </w:rPr>
        <w:t>修正</w:t>
      </w:r>
      <w:r w:rsidR="00567C53" w:rsidRPr="00AA4BF8">
        <w:rPr>
          <w:rFonts w:ascii="標楷體" w:eastAsia="標楷體" w:hAnsi="標楷體" w:cs="Arial" w:hint="eastAsia"/>
          <w:b/>
          <w:color w:val="000000" w:themeColor="text1"/>
          <w:sz w:val="32"/>
          <w:szCs w:val="32"/>
        </w:rPr>
        <w:t>條文</w:t>
      </w:r>
      <w:r w:rsidRPr="00AA4BF8">
        <w:rPr>
          <w:rFonts w:ascii="標楷體" w:eastAsia="標楷體" w:hAnsi="標楷體" w:cs="Arial"/>
          <w:b/>
          <w:color w:val="000000" w:themeColor="text1"/>
          <w:sz w:val="32"/>
          <w:szCs w:val="32"/>
        </w:rPr>
        <w:t>對照表</w:t>
      </w:r>
    </w:p>
    <w:tbl>
      <w:tblPr>
        <w:tblStyle w:val="a3"/>
        <w:tblW w:w="10490" w:type="dxa"/>
        <w:tblLayout w:type="fixed"/>
        <w:tblLook w:val="04A0" w:firstRow="1" w:lastRow="0" w:firstColumn="1" w:lastColumn="0" w:noHBand="0" w:noVBand="1"/>
      </w:tblPr>
      <w:tblGrid>
        <w:gridCol w:w="3496"/>
        <w:gridCol w:w="3497"/>
        <w:gridCol w:w="3497"/>
      </w:tblGrid>
      <w:tr w:rsidR="00AA4BF8" w:rsidRPr="00AA4BF8" w14:paraId="1A1D6540" w14:textId="77777777" w:rsidTr="00B12DB5">
        <w:trPr>
          <w:trHeight w:hRule="exact" w:val="652"/>
          <w:tblHeader/>
        </w:trPr>
        <w:tc>
          <w:tcPr>
            <w:tcW w:w="3496" w:type="dxa"/>
            <w:shd w:val="clear" w:color="auto" w:fill="auto"/>
            <w:vAlign w:val="center"/>
          </w:tcPr>
          <w:p w14:paraId="46E5F242" w14:textId="77777777" w:rsidR="00896865" w:rsidRPr="00AA4BF8" w:rsidRDefault="00896865" w:rsidP="00E317AB">
            <w:pPr>
              <w:adjustRightInd w:val="0"/>
              <w:snapToGrid w:val="0"/>
              <w:jc w:val="center"/>
              <w:rPr>
                <w:rFonts w:ascii="標楷體" w:eastAsia="標楷體" w:hAnsi="標楷體"/>
                <w:b/>
                <w:color w:val="000000" w:themeColor="text1"/>
                <w:sz w:val="28"/>
                <w:szCs w:val="28"/>
              </w:rPr>
            </w:pPr>
            <w:r w:rsidRPr="00AA4BF8">
              <w:rPr>
                <w:rFonts w:ascii="標楷體" w:eastAsia="標楷體" w:hAnsi="標楷體" w:hint="eastAsia"/>
                <w:b/>
                <w:color w:val="000000" w:themeColor="text1"/>
                <w:sz w:val="28"/>
                <w:szCs w:val="28"/>
              </w:rPr>
              <w:t>修正條文</w:t>
            </w:r>
          </w:p>
        </w:tc>
        <w:tc>
          <w:tcPr>
            <w:tcW w:w="3497" w:type="dxa"/>
            <w:shd w:val="clear" w:color="auto" w:fill="auto"/>
            <w:vAlign w:val="center"/>
          </w:tcPr>
          <w:p w14:paraId="7E8BAD35" w14:textId="77777777" w:rsidR="00896865" w:rsidRPr="00AA4BF8" w:rsidRDefault="00896865" w:rsidP="00E317AB">
            <w:pPr>
              <w:adjustRightInd w:val="0"/>
              <w:snapToGrid w:val="0"/>
              <w:jc w:val="center"/>
              <w:rPr>
                <w:rFonts w:ascii="標楷體" w:eastAsia="標楷體" w:hAnsi="標楷體"/>
                <w:b/>
                <w:color w:val="000000" w:themeColor="text1"/>
                <w:sz w:val="28"/>
                <w:szCs w:val="28"/>
              </w:rPr>
            </w:pPr>
            <w:r w:rsidRPr="00AA4BF8">
              <w:rPr>
                <w:rFonts w:ascii="標楷體" w:eastAsia="標楷體" w:hAnsi="標楷體" w:hint="eastAsia"/>
                <w:b/>
                <w:color w:val="000000" w:themeColor="text1"/>
                <w:sz w:val="28"/>
                <w:szCs w:val="28"/>
              </w:rPr>
              <w:t>現行條文</w:t>
            </w:r>
          </w:p>
        </w:tc>
        <w:tc>
          <w:tcPr>
            <w:tcW w:w="3497" w:type="dxa"/>
            <w:shd w:val="clear" w:color="auto" w:fill="auto"/>
            <w:vAlign w:val="center"/>
          </w:tcPr>
          <w:p w14:paraId="4F80C549" w14:textId="77777777" w:rsidR="00896865" w:rsidRPr="00AA4BF8" w:rsidRDefault="00896865" w:rsidP="00E317AB">
            <w:pPr>
              <w:adjustRightInd w:val="0"/>
              <w:snapToGrid w:val="0"/>
              <w:jc w:val="center"/>
              <w:rPr>
                <w:rFonts w:ascii="標楷體" w:eastAsia="標楷體" w:hAnsi="標楷體"/>
                <w:b/>
                <w:color w:val="000000" w:themeColor="text1"/>
                <w:sz w:val="28"/>
                <w:szCs w:val="28"/>
              </w:rPr>
            </w:pPr>
            <w:r w:rsidRPr="00AA4BF8">
              <w:rPr>
                <w:rFonts w:ascii="標楷體" w:eastAsia="標楷體" w:hAnsi="標楷體" w:hint="eastAsia"/>
                <w:b/>
                <w:color w:val="000000" w:themeColor="text1"/>
                <w:sz w:val="28"/>
                <w:szCs w:val="28"/>
              </w:rPr>
              <w:t>說明</w:t>
            </w:r>
          </w:p>
        </w:tc>
      </w:tr>
      <w:tr w:rsidR="00896865" w:rsidRPr="00AA4BF8" w14:paraId="5EDF9980" w14:textId="77777777" w:rsidTr="00B12DB5">
        <w:tc>
          <w:tcPr>
            <w:tcW w:w="3496" w:type="dxa"/>
          </w:tcPr>
          <w:p w14:paraId="74C21905" w14:textId="7DB7D060" w:rsidR="00896865" w:rsidRPr="00AA4BF8" w:rsidRDefault="00896865" w:rsidP="00E317AB">
            <w:pPr>
              <w:adjustRightInd w:val="0"/>
              <w:snapToGrid w:val="0"/>
              <w:spacing w:beforeLines="50" w:before="180" w:afterLines="50" w:after="180"/>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第</w:t>
            </w:r>
            <w:r w:rsidR="002554AC" w:rsidRPr="00AA4BF8">
              <w:rPr>
                <w:rFonts w:ascii="標楷體" w:eastAsia="標楷體" w:hAnsi="標楷體" w:hint="eastAsia"/>
                <w:color w:val="000000" w:themeColor="text1"/>
                <w:sz w:val="28"/>
                <w:szCs w:val="28"/>
              </w:rPr>
              <w:t>七</w:t>
            </w:r>
            <w:r w:rsidR="00D524D4" w:rsidRPr="00AA4BF8">
              <w:rPr>
                <w:rFonts w:ascii="標楷體" w:eastAsia="標楷體" w:hAnsi="標楷體" w:hint="eastAsia"/>
                <w:color w:val="000000" w:themeColor="text1"/>
                <w:sz w:val="28"/>
                <w:szCs w:val="28"/>
              </w:rPr>
              <w:t>條</w:t>
            </w:r>
          </w:p>
          <w:p w14:paraId="6FC15A01" w14:textId="77777777" w:rsidR="00264D9C" w:rsidRPr="00AA4BF8" w:rsidRDefault="00C64E7D" w:rsidP="00524991">
            <w:pPr>
              <w:adjustRightInd w:val="0"/>
              <w:snapToGrid w:val="0"/>
              <w:spacing w:beforeLines="50" w:before="180" w:afterLines="50" w:after="18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證券經紀商接受委託買賣變更交易方法及依有關法令規定應先收取款券之證券時，預收之款券應透過交割專戶及證券集中保管事業辦理劃撥入帳及證券圈存</w:t>
            </w:r>
            <w:r w:rsidR="00264D9C" w:rsidRPr="00AA4BF8">
              <w:rPr>
                <w:rFonts w:ascii="標楷體" w:eastAsia="標楷體" w:hAnsi="標楷體" w:hint="eastAsia"/>
                <w:color w:val="000000" w:themeColor="text1"/>
                <w:sz w:val="28"/>
                <w:szCs w:val="28"/>
              </w:rPr>
              <w:t>。</w:t>
            </w:r>
          </w:p>
          <w:p w14:paraId="184D3F3D" w14:textId="1EA25123" w:rsidR="00ED586F" w:rsidRPr="00AA4BF8" w:rsidRDefault="006B2654" w:rsidP="006B2654">
            <w:pPr>
              <w:adjustRightInd w:val="0"/>
              <w:snapToGrid w:val="0"/>
              <w:spacing w:beforeLines="50" w:before="180" w:afterLines="50" w:after="180"/>
              <w:jc w:val="both"/>
              <w:rPr>
                <w:rFonts w:ascii="標楷體" w:eastAsia="標楷體" w:hAnsi="標楷體"/>
                <w:color w:val="000000" w:themeColor="text1"/>
              </w:rPr>
            </w:pPr>
            <w:r w:rsidRPr="00AA4BF8">
              <w:rPr>
                <w:rFonts w:ascii="標楷體" w:eastAsia="標楷體" w:hAnsi="標楷體" w:hint="eastAsia"/>
                <w:bCs/>
                <w:color w:val="000000" w:themeColor="text1"/>
                <w:sz w:val="28"/>
                <w:szCs w:val="28"/>
                <w:u w:val="single"/>
              </w:rPr>
              <w:t>境外華僑及外國人與保管機構約定已圈存之款券不得匯撥移作他用者，就其委託買賣處置有價證券，證券商得經臺灣集中保管結算所相關作業系統，確認保管機構已圈存足額款券後受理。</w:t>
            </w:r>
          </w:p>
        </w:tc>
        <w:tc>
          <w:tcPr>
            <w:tcW w:w="3497" w:type="dxa"/>
          </w:tcPr>
          <w:p w14:paraId="667FD562" w14:textId="670D2F24" w:rsidR="00896865" w:rsidRPr="00AA4BF8" w:rsidRDefault="00896865" w:rsidP="00E317AB">
            <w:pPr>
              <w:adjustRightInd w:val="0"/>
              <w:snapToGrid w:val="0"/>
              <w:spacing w:beforeLines="50" w:before="180" w:afterLines="50" w:after="180"/>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第</w:t>
            </w:r>
            <w:r w:rsidR="002554AC" w:rsidRPr="00AA4BF8">
              <w:rPr>
                <w:rFonts w:ascii="標楷體" w:eastAsia="標楷體" w:hAnsi="標楷體" w:hint="eastAsia"/>
                <w:color w:val="000000" w:themeColor="text1"/>
                <w:sz w:val="28"/>
                <w:szCs w:val="28"/>
              </w:rPr>
              <w:t>七</w:t>
            </w:r>
            <w:r w:rsidR="00D524D4" w:rsidRPr="00AA4BF8">
              <w:rPr>
                <w:rFonts w:ascii="標楷體" w:eastAsia="標楷體" w:hAnsi="標楷體" w:hint="eastAsia"/>
                <w:color w:val="000000" w:themeColor="text1"/>
                <w:sz w:val="28"/>
                <w:szCs w:val="28"/>
              </w:rPr>
              <w:t>條</w:t>
            </w:r>
          </w:p>
          <w:p w14:paraId="5916D38E" w14:textId="77777777" w:rsidR="00896865" w:rsidRPr="00AA4BF8" w:rsidRDefault="00C64E7D" w:rsidP="00C64E7D">
            <w:pPr>
              <w:adjustRightInd w:val="0"/>
              <w:snapToGrid w:val="0"/>
              <w:spacing w:beforeLines="50" w:before="180" w:afterLines="50" w:after="18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證券經紀商接受委託買賣變更交易方法及依有關法令規定應先收取款券之證券時，預收之款券應透過交割專戶及證券集中保管事業辦理劃撥入帳及證券圈存。</w:t>
            </w:r>
          </w:p>
          <w:p w14:paraId="443F5CE6" w14:textId="77777777" w:rsidR="00264D9C" w:rsidRPr="00AA4BF8" w:rsidRDefault="00264D9C" w:rsidP="00264D9C">
            <w:pPr>
              <w:adjustRightInd w:val="0"/>
              <w:snapToGrid w:val="0"/>
              <w:spacing w:beforeLines="50" w:before="180"/>
              <w:jc w:val="both"/>
              <w:rPr>
                <w:rFonts w:ascii="標楷體" w:eastAsia="標楷體" w:hAnsi="標楷體"/>
                <w:bCs/>
                <w:color w:val="000000" w:themeColor="text1"/>
                <w:kern w:val="0"/>
                <w:sz w:val="28"/>
                <w:szCs w:val="28"/>
                <w:u w:val="single"/>
              </w:rPr>
            </w:pPr>
            <w:r w:rsidRPr="00AA4BF8">
              <w:rPr>
                <w:rFonts w:ascii="標楷體" w:eastAsia="標楷體" w:hAnsi="標楷體" w:hint="eastAsia"/>
                <w:bCs/>
                <w:color w:val="000000" w:themeColor="text1"/>
                <w:kern w:val="0"/>
                <w:sz w:val="28"/>
                <w:szCs w:val="28"/>
                <w:u w:val="single"/>
              </w:rPr>
              <w:t>(新增)</w:t>
            </w:r>
          </w:p>
          <w:p w14:paraId="53B718D2" w14:textId="79269B0A" w:rsidR="00264D9C" w:rsidRPr="00AA4BF8" w:rsidRDefault="00264D9C" w:rsidP="00C64E7D">
            <w:pPr>
              <w:adjustRightInd w:val="0"/>
              <w:snapToGrid w:val="0"/>
              <w:spacing w:beforeLines="50" w:before="180" w:afterLines="50" w:after="180"/>
              <w:jc w:val="both"/>
              <w:rPr>
                <w:rFonts w:ascii="細明體" w:eastAsia="細明體" w:hAnsi="細明體" w:cs="細明體"/>
                <w:color w:val="000000" w:themeColor="text1"/>
                <w:kern w:val="0"/>
                <w:szCs w:val="24"/>
              </w:rPr>
            </w:pPr>
          </w:p>
        </w:tc>
        <w:tc>
          <w:tcPr>
            <w:tcW w:w="3497" w:type="dxa"/>
          </w:tcPr>
          <w:p w14:paraId="4834D281" w14:textId="45279392" w:rsidR="00896865" w:rsidRPr="00AA4BF8" w:rsidRDefault="00B9161E" w:rsidP="00B9161E">
            <w:pPr>
              <w:adjustRightInd w:val="0"/>
              <w:snapToGrid w:val="0"/>
              <w:ind w:left="560" w:hangingChars="200" w:hanging="56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一、</w:t>
            </w:r>
            <w:r w:rsidR="00B83EF2" w:rsidRPr="00AA4BF8">
              <w:rPr>
                <w:rFonts w:ascii="標楷體" w:eastAsia="標楷體" w:hAnsi="標楷體" w:hint="eastAsia"/>
                <w:color w:val="000000" w:themeColor="text1"/>
                <w:sz w:val="28"/>
                <w:szCs w:val="28"/>
              </w:rPr>
              <w:t>鑒於外資證券經紀商於美商白皮書及保管機構於引資活動中，多次提出現行規定因時差或保管機構通知作業繁瑣，造成客戶下單時有延誤情事，增加證券經紀商受理境外華僑及外國人委託買賣處置之有價證券，亦得由保管</w:t>
            </w:r>
            <w:r w:rsidR="002668D2">
              <w:rPr>
                <w:rFonts w:ascii="標楷體" w:eastAsia="標楷體" w:hAnsi="標楷體" w:hint="eastAsia"/>
                <w:color w:val="000000" w:themeColor="text1"/>
                <w:sz w:val="28"/>
                <w:szCs w:val="28"/>
              </w:rPr>
              <w:t>機構依客戶指示及證券經紀商通知，將款券圈存於保管機構</w:t>
            </w:r>
            <w:r w:rsidR="00B83EF2" w:rsidRPr="00AA4BF8">
              <w:rPr>
                <w:rFonts w:ascii="標楷體" w:eastAsia="標楷體" w:hAnsi="標楷體" w:hint="eastAsia"/>
                <w:color w:val="000000" w:themeColor="text1"/>
                <w:sz w:val="28"/>
                <w:szCs w:val="28"/>
              </w:rPr>
              <w:t>端，無須將款券匯撥入證券商交割專戶，且透過第三方公正機構集保結算所S</w:t>
            </w:r>
            <w:r w:rsidR="00B83EF2" w:rsidRPr="00AA4BF8">
              <w:rPr>
                <w:rFonts w:ascii="標楷體" w:eastAsia="標楷體" w:hAnsi="標楷體"/>
                <w:color w:val="000000" w:themeColor="text1"/>
                <w:sz w:val="28"/>
                <w:szCs w:val="28"/>
              </w:rPr>
              <w:t>MART</w:t>
            </w:r>
            <w:r w:rsidR="00B83EF2" w:rsidRPr="00AA4BF8">
              <w:rPr>
                <w:rFonts w:ascii="標楷體" w:eastAsia="標楷體" w:hAnsi="標楷體" w:hint="eastAsia"/>
                <w:color w:val="000000" w:themeColor="text1"/>
                <w:sz w:val="28"/>
                <w:szCs w:val="28"/>
              </w:rPr>
              <w:t>作業系統相互傳達圈存訊息之彈性措施</w:t>
            </w:r>
            <w:r w:rsidR="00EF1EC5" w:rsidRPr="00AA4BF8">
              <w:rPr>
                <w:rFonts w:ascii="標楷體" w:eastAsia="標楷體" w:hAnsi="標楷體" w:hint="eastAsia"/>
                <w:color w:val="000000" w:themeColor="text1"/>
                <w:sz w:val="28"/>
                <w:szCs w:val="28"/>
              </w:rPr>
              <w:t>，</w:t>
            </w:r>
            <w:r w:rsidR="0067182B" w:rsidRPr="00AA4BF8">
              <w:rPr>
                <w:rFonts w:ascii="標楷體" w:eastAsia="標楷體" w:hAnsi="標楷體" w:hint="eastAsia"/>
                <w:color w:val="000000" w:themeColor="text1"/>
                <w:sz w:val="28"/>
                <w:szCs w:val="28"/>
              </w:rPr>
              <w:t>爰</w:t>
            </w:r>
            <w:r w:rsidR="00264D9C" w:rsidRPr="00AA4BF8">
              <w:rPr>
                <w:rFonts w:ascii="標楷體" w:eastAsia="標楷體" w:hAnsi="標楷體" w:hint="eastAsia"/>
                <w:color w:val="000000" w:themeColor="text1"/>
                <w:sz w:val="28"/>
                <w:szCs w:val="28"/>
              </w:rPr>
              <w:t>增訂</w:t>
            </w:r>
            <w:r w:rsidR="003C76FC" w:rsidRPr="00AA4BF8">
              <w:rPr>
                <w:rFonts w:ascii="標楷體" w:eastAsia="標楷體" w:hAnsi="標楷體" w:hint="eastAsia"/>
                <w:color w:val="000000" w:themeColor="text1"/>
                <w:sz w:val="28"/>
                <w:szCs w:val="28"/>
              </w:rPr>
              <w:t>本</w:t>
            </w:r>
            <w:r w:rsidR="00D524D4" w:rsidRPr="00AA4BF8">
              <w:rPr>
                <w:rFonts w:ascii="標楷體" w:eastAsia="標楷體" w:hAnsi="標楷體" w:hint="eastAsia"/>
                <w:color w:val="000000" w:themeColor="text1"/>
                <w:sz w:val="28"/>
                <w:szCs w:val="28"/>
              </w:rPr>
              <w:t>條</w:t>
            </w:r>
            <w:r w:rsidR="00264D9C" w:rsidRPr="00AA4BF8">
              <w:rPr>
                <w:rFonts w:ascii="標楷體" w:eastAsia="標楷體" w:hAnsi="標楷體" w:hint="eastAsia"/>
                <w:color w:val="000000" w:themeColor="text1"/>
                <w:sz w:val="28"/>
                <w:szCs w:val="28"/>
              </w:rPr>
              <w:t>第二項</w:t>
            </w:r>
            <w:r w:rsidR="003C76FC" w:rsidRPr="00AA4BF8">
              <w:rPr>
                <w:rFonts w:ascii="標楷體" w:eastAsia="標楷體" w:hAnsi="標楷體" w:hint="eastAsia"/>
                <w:color w:val="000000" w:themeColor="text1"/>
                <w:sz w:val="28"/>
                <w:szCs w:val="28"/>
              </w:rPr>
              <w:t>規定。</w:t>
            </w:r>
          </w:p>
          <w:p w14:paraId="3240112C" w14:textId="68FD10CC" w:rsidR="00B9161E" w:rsidRPr="00AA4BF8" w:rsidRDefault="00B9161E" w:rsidP="00B9161E">
            <w:pPr>
              <w:adjustRightInd w:val="0"/>
              <w:snapToGrid w:val="0"/>
              <w:ind w:left="480" w:hangingChars="200" w:hanging="480"/>
              <w:jc w:val="both"/>
              <w:rPr>
                <w:rFonts w:ascii="標楷體" w:eastAsia="標楷體" w:hAnsi="標楷體"/>
                <w:color w:val="000000" w:themeColor="text1"/>
              </w:rPr>
            </w:pPr>
            <w:r w:rsidRPr="00AA4BF8">
              <w:rPr>
                <w:rFonts w:ascii="標楷體" w:eastAsia="標楷體" w:hAnsi="標楷體" w:hint="eastAsia"/>
                <w:color w:val="000000" w:themeColor="text1"/>
              </w:rPr>
              <w:t>二、</w:t>
            </w:r>
            <w:r w:rsidRPr="00AA4BF8">
              <w:rPr>
                <w:rFonts w:ascii="標楷體" w:eastAsia="標楷體" w:hAnsi="標楷體" w:hint="eastAsia"/>
                <w:color w:val="000000" w:themeColor="text1"/>
                <w:sz w:val="28"/>
                <w:szCs w:val="28"/>
              </w:rPr>
              <w:t>證券經紀商與保管機構需留存集保結算所資訊平台</w:t>
            </w:r>
            <w:r w:rsidR="009644D5" w:rsidRPr="00AA4BF8">
              <w:rPr>
                <w:rFonts w:ascii="標楷體" w:eastAsia="標楷體" w:hAnsi="標楷體" w:hint="eastAsia"/>
                <w:color w:val="000000" w:themeColor="text1"/>
                <w:sz w:val="28"/>
                <w:szCs w:val="28"/>
              </w:rPr>
              <w:t>提供之</w:t>
            </w:r>
            <w:r w:rsidRPr="00AA4BF8">
              <w:rPr>
                <w:rFonts w:ascii="標楷體" w:eastAsia="標楷體" w:hAnsi="標楷體" w:hint="eastAsia"/>
                <w:color w:val="000000" w:themeColor="text1"/>
                <w:sz w:val="28"/>
                <w:szCs w:val="28"/>
              </w:rPr>
              <w:t>圈存相關資料，俾利查核。</w:t>
            </w:r>
          </w:p>
        </w:tc>
      </w:tr>
    </w:tbl>
    <w:p w14:paraId="57DCE3B6" w14:textId="131946C5" w:rsidR="00684C89" w:rsidRPr="00AA4BF8" w:rsidRDefault="00684C89">
      <w:pPr>
        <w:widowControl/>
        <w:rPr>
          <w:rFonts w:ascii="標楷體" w:eastAsia="標楷體" w:hAnsi="標楷體"/>
          <w:color w:val="000000" w:themeColor="text1"/>
        </w:rPr>
      </w:pPr>
    </w:p>
    <w:p w14:paraId="4BBCBF05" w14:textId="77777777" w:rsidR="00684C89" w:rsidRPr="00AA4BF8" w:rsidRDefault="00684C89">
      <w:pPr>
        <w:widowControl/>
        <w:rPr>
          <w:rFonts w:ascii="標楷體" w:eastAsia="標楷體" w:hAnsi="標楷體"/>
          <w:color w:val="000000" w:themeColor="text1"/>
        </w:rPr>
      </w:pPr>
      <w:r w:rsidRPr="00AA4BF8">
        <w:rPr>
          <w:rFonts w:ascii="標楷體" w:eastAsia="標楷體" w:hAnsi="標楷體"/>
          <w:color w:val="000000" w:themeColor="text1"/>
        </w:rPr>
        <w:br w:type="page"/>
      </w:r>
    </w:p>
    <w:p w14:paraId="67370472" w14:textId="77777777" w:rsidR="00561AE7" w:rsidRPr="00AA4BF8" w:rsidRDefault="00561AE7" w:rsidP="00561AE7">
      <w:pPr>
        <w:spacing w:line="440" w:lineRule="exact"/>
        <w:jc w:val="center"/>
        <w:rPr>
          <w:rFonts w:ascii="標楷體" w:eastAsia="標楷體" w:hAnsi="標楷體"/>
          <w:b/>
          <w:bCs/>
          <w:color w:val="000000" w:themeColor="text1"/>
          <w:sz w:val="32"/>
          <w:szCs w:val="32"/>
        </w:rPr>
      </w:pPr>
      <w:r w:rsidRPr="00AA4BF8">
        <w:rPr>
          <w:rFonts w:ascii="標楷體" w:eastAsia="標楷體" w:hAnsi="標楷體" w:hint="eastAsia"/>
          <w:b/>
          <w:bCs/>
          <w:color w:val="000000" w:themeColor="text1"/>
          <w:sz w:val="32"/>
          <w:szCs w:val="32"/>
        </w:rPr>
        <w:lastRenderedPageBreak/>
        <w:t>臺灣證券交易所股份有限公司</w:t>
      </w:r>
    </w:p>
    <w:p w14:paraId="44B266A0" w14:textId="4395A82C" w:rsidR="00561AE7" w:rsidRPr="00AA4BF8" w:rsidRDefault="00561AE7" w:rsidP="003E043E">
      <w:pPr>
        <w:spacing w:afterLines="50" w:after="180" w:line="440" w:lineRule="exact"/>
        <w:jc w:val="center"/>
        <w:rPr>
          <w:rFonts w:ascii="標楷體" w:eastAsia="標楷體" w:hAnsi="標楷體"/>
          <w:b/>
          <w:bCs/>
          <w:color w:val="000000" w:themeColor="text1"/>
          <w:sz w:val="32"/>
          <w:szCs w:val="32"/>
        </w:rPr>
      </w:pPr>
      <w:r w:rsidRPr="00AA4BF8">
        <w:rPr>
          <w:rFonts w:ascii="標楷體" w:eastAsia="標楷體" w:hAnsi="標楷體" w:hint="eastAsia"/>
          <w:b/>
          <w:bCs/>
          <w:color w:val="000000" w:themeColor="text1"/>
          <w:sz w:val="32"/>
          <w:szCs w:val="32"/>
        </w:rPr>
        <w:t>綜合交易帳戶作業要點第參點修正條文對照表</w:t>
      </w:r>
    </w:p>
    <w:tbl>
      <w:tblPr>
        <w:tblStyle w:val="a3"/>
        <w:tblW w:w="0" w:type="dxa"/>
        <w:jc w:val="center"/>
        <w:tblLayout w:type="fixed"/>
        <w:tblLook w:val="04A0" w:firstRow="1" w:lastRow="0" w:firstColumn="1" w:lastColumn="0" w:noHBand="0" w:noVBand="1"/>
      </w:tblPr>
      <w:tblGrid>
        <w:gridCol w:w="3213"/>
        <w:gridCol w:w="3213"/>
        <w:gridCol w:w="3214"/>
      </w:tblGrid>
      <w:tr w:rsidR="00AA4BF8" w:rsidRPr="00AA4BF8" w14:paraId="46CC595E" w14:textId="77777777" w:rsidTr="00E317AB">
        <w:trPr>
          <w:tblHeader/>
          <w:jc w:val="center"/>
        </w:trPr>
        <w:tc>
          <w:tcPr>
            <w:tcW w:w="3213" w:type="dxa"/>
            <w:tcBorders>
              <w:top w:val="single" w:sz="4" w:space="0" w:color="auto"/>
              <w:left w:val="single" w:sz="4" w:space="0" w:color="auto"/>
              <w:bottom w:val="single" w:sz="4" w:space="0" w:color="auto"/>
              <w:right w:val="single" w:sz="4" w:space="0" w:color="auto"/>
            </w:tcBorders>
            <w:hideMark/>
          </w:tcPr>
          <w:p w14:paraId="0B17E078" w14:textId="77777777" w:rsidR="00561AE7" w:rsidRPr="00AA4BF8" w:rsidRDefault="00561AE7" w:rsidP="00E317AB">
            <w:pPr>
              <w:snapToGrid w:val="0"/>
              <w:spacing w:line="440" w:lineRule="exact"/>
              <w:ind w:firstLineChars="200" w:firstLine="560"/>
              <w:jc w:val="center"/>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修正條文</w:t>
            </w:r>
          </w:p>
        </w:tc>
        <w:tc>
          <w:tcPr>
            <w:tcW w:w="3213" w:type="dxa"/>
            <w:tcBorders>
              <w:top w:val="single" w:sz="4" w:space="0" w:color="auto"/>
              <w:left w:val="single" w:sz="4" w:space="0" w:color="auto"/>
              <w:bottom w:val="single" w:sz="4" w:space="0" w:color="auto"/>
              <w:right w:val="single" w:sz="4" w:space="0" w:color="auto"/>
            </w:tcBorders>
            <w:hideMark/>
          </w:tcPr>
          <w:p w14:paraId="2E0B14FE" w14:textId="77777777" w:rsidR="00561AE7" w:rsidRPr="00AA4BF8" w:rsidRDefault="00561AE7" w:rsidP="00E317AB">
            <w:pPr>
              <w:snapToGrid w:val="0"/>
              <w:spacing w:line="440" w:lineRule="exact"/>
              <w:jc w:val="center"/>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現行條文</w:t>
            </w:r>
          </w:p>
        </w:tc>
        <w:tc>
          <w:tcPr>
            <w:tcW w:w="3214" w:type="dxa"/>
            <w:tcBorders>
              <w:top w:val="single" w:sz="4" w:space="0" w:color="auto"/>
              <w:left w:val="single" w:sz="4" w:space="0" w:color="auto"/>
              <w:bottom w:val="single" w:sz="4" w:space="0" w:color="auto"/>
              <w:right w:val="single" w:sz="4" w:space="0" w:color="auto"/>
            </w:tcBorders>
            <w:hideMark/>
          </w:tcPr>
          <w:p w14:paraId="7A310CFE" w14:textId="77777777" w:rsidR="00561AE7" w:rsidRPr="00AA4BF8" w:rsidRDefault="00561AE7" w:rsidP="00E317AB">
            <w:pPr>
              <w:snapToGrid w:val="0"/>
              <w:spacing w:line="440" w:lineRule="exact"/>
              <w:jc w:val="center"/>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說明</w:t>
            </w:r>
          </w:p>
        </w:tc>
      </w:tr>
      <w:tr w:rsidR="00561AE7" w:rsidRPr="00AA4BF8" w14:paraId="5956FF0F" w14:textId="77777777" w:rsidTr="00E317AB">
        <w:trPr>
          <w:jc w:val="center"/>
        </w:trPr>
        <w:tc>
          <w:tcPr>
            <w:tcW w:w="3213" w:type="dxa"/>
            <w:tcBorders>
              <w:top w:val="single" w:sz="4" w:space="0" w:color="auto"/>
              <w:left w:val="single" w:sz="4" w:space="0" w:color="auto"/>
              <w:bottom w:val="single" w:sz="4" w:space="0" w:color="auto"/>
              <w:right w:val="single" w:sz="4" w:space="0" w:color="auto"/>
            </w:tcBorders>
            <w:hideMark/>
          </w:tcPr>
          <w:p w14:paraId="288D56F9" w14:textId="77777777" w:rsidR="00561AE7" w:rsidRPr="00AA4BF8" w:rsidRDefault="00561AE7" w:rsidP="00E317AB">
            <w:pPr>
              <w:pStyle w:val="HTML"/>
              <w:snapToGrid w:val="0"/>
              <w:spacing w:line="360" w:lineRule="exact"/>
              <w:ind w:left="560" w:hangingChars="200" w:hanging="56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參、交易及成交分配申報作業</w:t>
            </w:r>
          </w:p>
          <w:p w14:paraId="514E508B" w14:textId="77777777" w:rsidR="00561AE7" w:rsidRPr="00AA4BF8" w:rsidRDefault="00561AE7" w:rsidP="00E317AB">
            <w:pPr>
              <w:pStyle w:val="HTML"/>
              <w:snapToGrid w:val="0"/>
              <w:spacing w:line="360" w:lineRule="exact"/>
              <w:ind w:left="560" w:hangingChars="200" w:hanging="56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一、交易作業</w:t>
            </w:r>
          </w:p>
          <w:p w14:paraId="4474C647" w14:textId="5B62723E" w:rsidR="00561AE7" w:rsidRPr="00AA4BF8" w:rsidRDefault="00561AE7" w:rsidP="00A95464">
            <w:pPr>
              <w:spacing w:line="440" w:lineRule="exact"/>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w:t>
            </w:r>
            <w:r w:rsidR="00D524D4" w:rsidRPr="00AA4BF8">
              <w:rPr>
                <w:rFonts w:ascii="標楷體" w:eastAsia="標楷體" w:hAnsi="標楷體" w:hint="eastAsia"/>
                <w:color w:val="000000" w:themeColor="text1"/>
                <w:sz w:val="28"/>
                <w:szCs w:val="28"/>
              </w:rPr>
              <w:t>(一)至(五)</w:t>
            </w:r>
            <w:r w:rsidRPr="00AA4BF8">
              <w:rPr>
                <w:rFonts w:ascii="標楷體" w:eastAsia="標楷體" w:hAnsi="標楷體" w:hint="eastAsia"/>
                <w:color w:val="000000" w:themeColor="text1"/>
                <w:sz w:val="28"/>
                <w:szCs w:val="28"/>
              </w:rPr>
              <w:t>略)</w:t>
            </w:r>
          </w:p>
          <w:p w14:paraId="4EE76D34" w14:textId="390FEAA8" w:rsidR="00561AE7" w:rsidRPr="00AA4BF8" w:rsidRDefault="00561AE7" w:rsidP="00E317AB">
            <w:pPr>
              <w:pStyle w:val="HTML"/>
              <w:snapToGrid w:val="0"/>
              <w:spacing w:line="360" w:lineRule="exact"/>
              <w:ind w:left="560" w:hangingChars="200" w:hanging="560"/>
              <w:jc w:val="both"/>
              <w:rPr>
                <w:rFonts w:ascii="標楷體" w:eastAsia="標楷體" w:hAnsi="標楷體"/>
                <w:color w:val="000000" w:themeColor="text1"/>
                <w:sz w:val="28"/>
                <w:szCs w:val="28"/>
                <w:u w:val="single"/>
              </w:rPr>
            </w:pPr>
            <w:r w:rsidRPr="00AA4BF8">
              <w:rPr>
                <w:rFonts w:ascii="標楷體" w:eastAsia="標楷體" w:hAnsi="標楷體" w:hint="eastAsia"/>
                <w:color w:val="000000" w:themeColor="text1"/>
                <w:sz w:val="28"/>
                <w:szCs w:val="28"/>
              </w:rPr>
              <w:t>(六)證券商受託以綜合交易帳戶買賣之有價證券，有依規定須預收部分或全部之價金或有價證券時，由受任人自行控管並向各委託人收取後交付於證券商</w:t>
            </w:r>
            <w:r w:rsidR="00D524D4" w:rsidRPr="00AA4BF8">
              <w:rPr>
                <w:rFonts w:ascii="標楷體" w:eastAsia="標楷體" w:hAnsi="標楷體" w:hint="eastAsia"/>
                <w:color w:val="000000" w:themeColor="text1"/>
                <w:sz w:val="28"/>
                <w:szCs w:val="28"/>
                <w:u w:val="single"/>
              </w:rPr>
              <w:t>；</w:t>
            </w:r>
            <w:r w:rsidRPr="00AA4BF8">
              <w:rPr>
                <w:rFonts w:ascii="標楷體" w:eastAsia="標楷體" w:hAnsi="標楷體" w:hint="eastAsia"/>
                <w:color w:val="000000" w:themeColor="text1"/>
                <w:sz w:val="28"/>
                <w:szCs w:val="28"/>
                <w:u w:val="single"/>
              </w:rPr>
              <w:t>或依「證券經紀商受託買賣預收款券作業應行注意事項」第一點第二項規定辦理。</w:t>
            </w:r>
          </w:p>
          <w:p w14:paraId="1F5554CF" w14:textId="77777777" w:rsidR="00561AE7" w:rsidRPr="00AA4BF8" w:rsidRDefault="00561AE7" w:rsidP="00E317AB">
            <w:pPr>
              <w:pStyle w:val="HTML"/>
              <w:snapToGrid w:val="0"/>
              <w:spacing w:line="360" w:lineRule="exact"/>
              <w:ind w:leftChars="200" w:left="480"/>
              <w:jc w:val="both"/>
              <w:rPr>
                <w:rFonts w:ascii="標楷體" w:eastAsia="標楷體" w:hAnsi="標楷體"/>
                <w:color w:val="000000" w:themeColor="text1"/>
                <w:sz w:val="28"/>
                <w:szCs w:val="28"/>
                <w:u w:val="single"/>
              </w:rPr>
            </w:pPr>
            <w:r w:rsidRPr="00AA4BF8">
              <w:rPr>
                <w:rFonts w:ascii="標楷體" w:eastAsia="標楷體" w:hAnsi="標楷體" w:hint="eastAsia"/>
                <w:color w:val="000000" w:themeColor="text1"/>
                <w:sz w:val="28"/>
                <w:szCs w:val="28"/>
              </w:rPr>
              <w:t>(以下略)。</w:t>
            </w:r>
          </w:p>
        </w:tc>
        <w:tc>
          <w:tcPr>
            <w:tcW w:w="3213" w:type="dxa"/>
            <w:tcBorders>
              <w:top w:val="single" w:sz="4" w:space="0" w:color="auto"/>
              <w:left w:val="single" w:sz="4" w:space="0" w:color="auto"/>
              <w:bottom w:val="single" w:sz="4" w:space="0" w:color="auto"/>
              <w:right w:val="single" w:sz="4" w:space="0" w:color="auto"/>
            </w:tcBorders>
          </w:tcPr>
          <w:p w14:paraId="27A358C6" w14:textId="77777777" w:rsidR="00561AE7" w:rsidRPr="00AA4BF8" w:rsidRDefault="00561AE7" w:rsidP="00E317AB">
            <w:pPr>
              <w:pStyle w:val="HTML"/>
              <w:snapToGrid w:val="0"/>
              <w:spacing w:line="360" w:lineRule="exact"/>
              <w:ind w:left="560" w:hangingChars="200" w:hanging="56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參、交易及成交分配申報作業</w:t>
            </w:r>
          </w:p>
          <w:p w14:paraId="40917A06" w14:textId="77777777" w:rsidR="00561AE7" w:rsidRPr="00AA4BF8" w:rsidRDefault="00561AE7" w:rsidP="00E317AB">
            <w:pPr>
              <w:pStyle w:val="HTML"/>
              <w:snapToGrid w:val="0"/>
              <w:spacing w:line="360" w:lineRule="exact"/>
              <w:ind w:left="560" w:hangingChars="200" w:hanging="560"/>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一、交易作業</w:t>
            </w:r>
          </w:p>
          <w:p w14:paraId="280306B5" w14:textId="787EA70B" w:rsidR="00561AE7" w:rsidRPr="00AA4BF8" w:rsidRDefault="00561AE7" w:rsidP="00A95464">
            <w:pPr>
              <w:spacing w:line="440" w:lineRule="exact"/>
              <w:jc w:val="both"/>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w:t>
            </w:r>
            <w:r w:rsidR="00D524D4" w:rsidRPr="00AA4BF8">
              <w:rPr>
                <w:rFonts w:ascii="標楷體" w:eastAsia="標楷體" w:hAnsi="標楷體" w:hint="eastAsia"/>
                <w:color w:val="000000" w:themeColor="text1"/>
                <w:sz w:val="28"/>
                <w:szCs w:val="28"/>
              </w:rPr>
              <w:t>(一)_至(五)</w:t>
            </w:r>
            <w:r w:rsidRPr="00AA4BF8">
              <w:rPr>
                <w:rFonts w:ascii="標楷體" w:eastAsia="標楷體" w:hAnsi="標楷體" w:hint="eastAsia"/>
                <w:color w:val="000000" w:themeColor="text1"/>
                <w:sz w:val="28"/>
                <w:szCs w:val="28"/>
              </w:rPr>
              <w:t>略)</w:t>
            </w:r>
          </w:p>
          <w:p w14:paraId="17250F05" w14:textId="77777777" w:rsidR="00561AE7" w:rsidRPr="00AA4BF8" w:rsidRDefault="00561AE7" w:rsidP="00E317AB">
            <w:pPr>
              <w:pStyle w:val="HTML"/>
              <w:snapToGrid w:val="0"/>
              <w:spacing w:line="360" w:lineRule="exact"/>
              <w:ind w:left="560" w:hangingChars="200" w:hanging="560"/>
              <w:jc w:val="both"/>
              <w:rPr>
                <w:color w:val="000000" w:themeColor="text1"/>
                <w:sz w:val="28"/>
                <w:szCs w:val="28"/>
              </w:rPr>
            </w:pPr>
            <w:r w:rsidRPr="00AA4BF8">
              <w:rPr>
                <w:rFonts w:ascii="標楷體" w:eastAsia="標楷體" w:hAnsi="標楷體" w:hint="eastAsia"/>
                <w:color w:val="000000" w:themeColor="text1"/>
                <w:sz w:val="28"/>
                <w:szCs w:val="28"/>
              </w:rPr>
              <w:t>(六)證券商受託以綜合交易帳戶買賣之有價證券，有依規定須預收部分或全部之價金或有價證券時，由受任人自行控管並向各委託人收取後交付於證券商。</w:t>
            </w:r>
          </w:p>
          <w:p w14:paraId="03BDEE50" w14:textId="77777777" w:rsidR="00561AE7" w:rsidRPr="00AA4BF8" w:rsidRDefault="00561AE7" w:rsidP="00E317AB">
            <w:pPr>
              <w:pStyle w:val="HTML"/>
              <w:snapToGrid w:val="0"/>
              <w:spacing w:line="360" w:lineRule="exact"/>
              <w:ind w:left="560" w:hangingChars="200" w:hanging="560"/>
              <w:jc w:val="center"/>
              <w:rPr>
                <w:rFonts w:ascii="標楷體" w:eastAsia="標楷體" w:hAnsi="標楷體"/>
                <w:color w:val="000000" w:themeColor="text1"/>
                <w:sz w:val="28"/>
                <w:szCs w:val="28"/>
              </w:rPr>
            </w:pPr>
            <w:r w:rsidRPr="00AA4BF8">
              <w:rPr>
                <w:rFonts w:ascii="標楷體" w:eastAsia="標楷體" w:hAnsi="標楷體" w:hint="eastAsia"/>
                <w:color w:val="000000" w:themeColor="text1"/>
                <w:sz w:val="28"/>
                <w:szCs w:val="28"/>
              </w:rPr>
              <w:t>(以下略)</w:t>
            </w:r>
          </w:p>
        </w:tc>
        <w:tc>
          <w:tcPr>
            <w:tcW w:w="3214" w:type="dxa"/>
            <w:tcBorders>
              <w:top w:val="single" w:sz="4" w:space="0" w:color="auto"/>
              <w:left w:val="single" w:sz="4" w:space="0" w:color="auto"/>
              <w:bottom w:val="single" w:sz="4" w:space="0" w:color="auto"/>
              <w:right w:val="single" w:sz="4" w:space="0" w:color="auto"/>
            </w:tcBorders>
            <w:hideMark/>
          </w:tcPr>
          <w:p w14:paraId="286C2F15" w14:textId="77777777" w:rsidR="00561AE7" w:rsidRPr="00AA4BF8" w:rsidRDefault="00561AE7" w:rsidP="00E317AB">
            <w:pPr>
              <w:pStyle w:val="HTML"/>
              <w:snapToGrid w:val="0"/>
              <w:spacing w:line="360" w:lineRule="exact"/>
              <w:jc w:val="both"/>
              <w:rPr>
                <w:rFonts w:ascii="標楷體" w:eastAsia="標楷體" w:hAnsi="標楷體"/>
                <w:color w:val="000000" w:themeColor="text1"/>
                <w:sz w:val="28"/>
                <w:szCs w:val="28"/>
                <w:lang w:eastAsia="zh-HK"/>
              </w:rPr>
            </w:pPr>
            <w:r w:rsidRPr="00AA4BF8">
              <w:rPr>
                <w:rFonts w:ascii="標楷體" w:eastAsia="標楷體" w:hAnsi="標楷體" w:hint="eastAsia"/>
                <w:color w:val="000000" w:themeColor="text1"/>
                <w:sz w:val="28"/>
                <w:szCs w:val="28"/>
                <w:lang w:eastAsia="zh-HK"/>
              </w:rPr>
              <w:t>配合「</w:t>
            </w:r>
            <w:r w:rsidRPr="00AA4BF8">
              <w:rPr>
                <w:rFonts w:ascii="標楷體" w:eastAsia="標楷體" w:hAnsi="標楷體" w:hint="eastAsia"/>
                <w:color w:val="000000" w:themeColor="text1"/>
                <w:sz w:val="28"/>
                <w:szCs w:val="28"/>
              </w:rPr>
              <w:t>證券經紀商受託買賣預收款券作業應行注意事項</w:t>
            </w:r>
            <w:r w:rsidRPr="00AA4BF8">
              <w:rPr>
                <w:rFonts w:ascii="標楷體" w:eastAsia="標楷體" w:hAnsi="標楷體" w:hint="eastAsia"/>
                <w:color w:val="000000" w:themeColor="text1"/>
                <w:sz w:val="28"/>
                <w:szCs w:val="28"/>
                <w:lang w:eastAsia="zh-HK"/>
              </w:rPr>
              <w:t>」第</w:t>
            </w:r>
            <w:r w:rsidRPr="00AA4BF8">
              <w:rPr>
                <w:rFonts w:ascii="標楷體" w:eastAsia="標楷體" w:hAnsi="標楷體" w:hint="eastAsia"/>
                <w:color w:val="000000" w:themeColor="text1"/>
                <w:sz w:val="28"/>
                <w:szCs w:val="28"/>
              </w:rPr>
              <w:t>一點</w:t>
            </w:r>
            <w:r w:rsidRPr="00AA4BF8">
              <w:rPr>
                <w:rFonts w:ascii="標楷體" w:eastAsia="標楷體" w:hAnsi="標楷體" w:hint="eastAsia"/>
                <w:color w:val="000000" w:themeColor="text1"/>
                <w:sz w:val="28"/>
                <w:szCs w:val="28"/>
                <w:lang w:eastAsia="zh-HK"/>
              </w:rPr>
              <w:t>增</w:t>
            </w:r>
            <w:r w:rsidRPr="00AA4BF8">
              <w:rPr>
                <w:rFonts w:ascii="標楷體" w:eastAsia="標楷體" w:hAnsi="標楷體" w:hint="eastAsia"/>
                <w:color w:val="000000" w:themeColor="text1"/>
                <w:sz w:val="28"/>
                <w:szCs w:val="28"/>
              </w:rPr>
              <w:t>修</w:t>
            </w:r>
            <w:r w:rsidRPr="00AA4BF8">
              <w:rPr>
                <w:rFonts w:ascii="標楷體" w:eastAsia="標楷體" w:hAnsi="標楷體" w:hint="eastAsia"/>
                <w:color w:val="000000" w:themeColor="text1"/>
                <w:sz w:val="28"/>
                <w:szCs w:val="28"/>
                <w:lang w:eastAsia="zh-HK"/>
              </w:rPr>
              <w:t>第</w:t>
            </w:r>
            <w:r w:rsidRPr="00AA4BF8">
              <w:rPr>
                <w:rFonts w:ascii="標楷體" w:eastAsia="標楷體" w:hAnsi="標楷體" w:hint="eastAsia"/>
                <w:color w:val="000000" w:themeColor="text1"/>
                <w:sz w:val="28"/>
                <w:szCs w:val="28"/>
              </w:rPr>
              <w:t>二</w:t>
            </w:r>
            <w:r w:rsidRPr="00AA4BF8">
              <w:rPr>
                <w:rFonts w:ascii="標楷體" w:eastAsia="標楷體" w:hAnsi="標楷體" w:hint="eastAsia"/>
                <w:color w:val="000000" w:themeColor="text1"/>
                <w:sz w:val="28"/>
                <w:szCs w:val="28"/>
                <w:lang w:eastAsia="zh-HK"/>
              </w:rPr>
              <w:t>項</w:t>
            </w:r>
            <w:r w:rsidRPr="00AA4BF8">
              <w:rPr>
                <w:rFonts w:ascii="標楷體" w:eastAsia="標楷體" w:hAnsi="標楷體" w:hint="eastAsia"/>
                <w:color w:val="000000" w:themeColor="text1"/>
                <w:sz w:val="28"/>
                <w:szCs w:val="28"/>
              </w:rPr>
              <w:t>，修正本要點參、一、（六）之規定。</w:t>
            </w:r>
          </w:p>
        </w:tc>
      </w:tr>
    </w:tbl>
    <w:p w14:paraId="1E82984B" w14:textId="77777777" w:rsidR="00E16ACE" w:rsidRPr="00AA4BF8" w:rsidRDefault="00E16ACE">
      <w:pPr>
        <w:widowControl/>
        <w:rPr>
          <w:rFonts w:ascii="標楷體" w:eastAsia="標楷體" w:hAnsi="標楷體"/>
          <w:color w:val="000000" w:themeColor="text1"/>
        </w:rPr>
      </w:pPr>
    </w:p>
    <w:sectPr w:rsidR="00E16ACE" w:rsidRPr="00AA4BF8" w:rsidSect="00531CA9">
      <w:footerReference w:type="default" r:id="rId8"/>
      <w:pgSz w:w="11906" w:h="16838"/>
      <w:pgMar w:top="720" w:right="720" w:bottom="720" w:left="720"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5BF44" w14:textId="77777777" w:rsidR="0098653E" w:rsidRDefault="0098653E" w:rsidP="00310CA0">
      <w:r>
        <w:separator/>
      </w:r>
    </w:p>
  </w:endnote>
  <w:endnote w:type="continuationSeparator" w:id="0">
    <w:p w14:paraId="76B135DA" w14:textId="77777777" w:rsidR="0098653E" w:rsidRDefault="0098653E" w:rsidP="0031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739495"/>
      <w:docPartObj>
        <w:docPartGallery w:val="Page Numbers (Bottom of Page)"/>
        <w:docPartUnique/>
      </w:docPartObj>
    </w:sdtPr>
    <w:sdtEndPr/>
    <w:sdtContent>
      <w:p w14:paraId="5701B3A5" w14:textId="69B45770" w:rsidR="00000FF1" w:rsidRDefault="00000FF1">
        <w:pPr>
          <w:pStyle w:val="a7"/>
          <w:jc w:val="center"/>
        </w:pPr>
        <w:r>
          <w:fldChar w:fldCharType="begin"/>
        </w:r>
        <w:r>
          <w:instrText>PAGE   \* MERGEFORMAT</w:instrText>
        </w:r>
        <w:r>
          <w:fldChar w:fldCharType="separate"/>
        </w:r>
        <w:r w:rsidR="00FC1535" w:rsidRPr="00FC1535">
          <w:rPr>
            <w:noProof/>
            <w:lang w:val="zh-TW"/>
          </w:rPr>
          <w:t>1</w:t>
        </w:r>
        <w:r>
          <w:fldChar w:fldCharType="end"/>
        </w:r>
      </w:p>
    </w:sdtContent>
  </w:sdt>
  <w:p w14:paraId="7755B2D4" w14:textId="77777777" w:rsidR="00000FF1" w:rsidRDefault="00000F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59A94" w14:textId="77777777" w:rsidR="0098653E" w:rsidRDefault="0098653E" w:rsidP="00310CA0">
      <w:r>
        <w:separator/>
      </w:r>
    </w:p>
  </w:footnote>
  <w:footnote w:type="continuationSeparator" w:id="0">
    <w:p w14:paraId="065E883A" w14:textId="77777777" w:rsidR="0098653E" w:rsidRDefault="0098653E" w:rsidP="00310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51A"/>
    <w:multiLevelType w:val="hybridMultilevel"/>
    <w:tmpl w:val="5C4A083A"/>
    <w:lvl w:ilvl="0" w:tplc="19D2E6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491F75"/>
    <w:multiLevelType w:val="hybridMultilevel"/>
    <w:tmpl w:val="3782C58A"/>
    <w:lvl w:ilvl="0" w:tplc="D186B4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40"/>
    <w:rsid w:val="00000FF1"/>
    <w:rsid w:val="00000FFD"/>
    <w:rsid w:val="000016E3"/>
    <w:rsid w:val="00001789"/>
    <w:rsid w:val="00013C7B"/>
    <w:rsid w:val="000310DB"/>
    <w:rsid w:val="000424FA"/>
    <w:rsid w:val="00064375"/>
    <w:rsid w:val="0009432D"/>
    <w:rsid w:val="000B2BCD"/>
    <w:rsid w:val="000B2F68"/>
    <w:rsid w:val="000C7381"/>
    <w:rsid w:val="000D263F"/>
    <w:rsid w:val="000E7326"/>
    <w:rsid w:val="000F02BD"/>
    <w:rsid w:val="000F0A54"/>
    <w:rsid w:val="00127752"/>
    <w:rsid w:val="00133ED8"/>
    <w:rsid w:val="00135616"/>
    <w:rsid w:val="00135C41"/>
    <w:rsid w:val="0015770F"/>
    <w:rsid w:val="0016414B"/>
    <w:rsid w:val="0018183D"/>
    <w:rsid w:val="00197965"/>
    <w:rsid w:val="001B348E"/>
    <w:rsid w:val="001C1476"/>
    <w:rsid w:val="001D1372"/>
    <w:rsid w:val="001D1880"/>
    <w:rsid w:val="002110C1"/>
    <w:rsid w:val="00234DD0"/>
    <w:rsid w:val="0023592D"/>
    <w:rsid w:val="002507B8"/>
    <w:rsid w:val="00250B94"/>
    <w:rsid w:val="00252876"/>
    <w:rsid w:val="00253DC7"/>
    <w:rsid w:val="002543B9"/>
    <w:rsid w:val="002554AC"/>
    <w:rsid w:val="002606FF"/>
    <w:rsid w:val="00264D9C"/>
    <w:rsid w:val="002668D2"/>
    <w:rsid w:val="002B236B"/>
    <w:rsid w:val="002C3548"/>
    <w:rsid w:val="002C3D80"/>
    <w:rsid w:val="002D385B"/>
    <w:rsid w:val="002F7409"/>
    <w:rsid w:val="00302283"/>
    <w:rsid w:val="00303A9E"/>
    <w:rsid w:val="003055D2"/>
    <w:rsid w:val="00306DB3"/>
    <w:rsid w:val="00310CA0"/>
    <w:rsid w:val="00312BFC"/>
    <w:rsid w:val="00325C16"/>
    <w:rsid w:val="00331BA4"/>
    <w:rsid w:val="00356D49"/>
    <w:rsid w:val="00357909"/>
    <w:rsid w:val="00360DF2"/>
    <w:rsid w:val="00364295"/>
    <w:rsid w:val="00365458"/>
    <w:rsid w:val="003736DE"/>
    <w:rsid w:val="003C073F"/>
    <w:rsid w:val="003C76FC"/>
    <w:rsid w:val="003D0829"/>
    <w:rsid w:val="003D4FFE"/>
    <w:rsid w:val="003D7182"/>
    <w:rsid w:val="003E043E"/>
    <w:rsid w:val="003E4D3A"/>
    <w:rsid w:val="0040475C"/>
    <w:rsid w:val="00405D7D"/>
    <w:rsid w:val="00420BB0"/>
    <w:rsid w:val="004352B1"/>
    <w:rsid w:val="00452B9E"/>
    <w:rsid w:val="00465E51"/>
    <w:rsid w:val="00470AFB"/>
    <w:rsid w:val="00486BDC"/>
    <w:rsid w:val="00491830"/>
    <w:rsid w:val="004B0940"/>
    <w:rsid w:val="004C41F4"/>
    <w:rsid w:val="004C526E"/>
    <w:rsid w:val="004D0A9D"/>
    <w:rsid w:val="004F333B"/>
    <w:rsid w:val="005048E9"/>
    <w:rsid w:val="005216C5"/>
    <w:rsid w:val="00524991"/>
    <w:rsid w:val="0053110D"/>
    <w:rsid w:val="00531CA9"/>
    <w:rsid w:val="00544C6A"/>
    <w:rsid w:val="00546E11"/>
    <w:rsid w:val="00557A49"/>
    <w:rsid w:val="00561AE7"/>
    <w:rsid w:val="00567C53"/>
    <w:rsid w:val="00571EC3"/>
    <w:rsid w:val="00575C23"/>
    <w:rsid w:val="005850A7"/>
    <w:rsid w:val="00586A26"/>
    <w:rsid w:val="005879A5"/>
    <w:rsid w:val="00587DC8"/>
    <w:rsid w:val="00593C30"/>
    <w:rsid w:val="005E43CB"/>
    <w:rsid w:val="005F0F38"/>
    <w:rsid w:val="005F2D03"/>
    <w:rsid w:val="00627685"/>
    <w:rsid w:val="00636AB9"/>
    <w:rsid w:val="00650DA3"/>
    <w:rsid w:val="0067182B"/>
    <w:rsid w:val="006831E7"/>
    <w:rsid w:val="00684C89"/>
    <w:rsid w:val="006B2654"/>
    <w:rsid w:val="006C1E71"/>
    <w:rsid w:val="006D27D8"/>
    <w:rsid w:val="006E3C76"/>
    <w:rsid w:val="006F7F55"/>
    <w:rsid w:val="00713FF6"/>
    <w:rsid w:val="00741FAD"/>
    <w:rsid w:val="00743AF3"/>
    <w:rsid w:val="00752847"/>
    <w:rsid w:val="00752B21"/>
    <w:rsid w:val="00791933"/>
    <w:rsid w:val="00793036"/>
    <w:rsid w:val="007C00AD"/>
    <w:rsid w:val="007C7AAF"/>
    <w:rsid w:val="007D1EC4"/>
    <w:rsid w:val="007D2F6F"/>
    <w:rsid w:val="007E74C3"/>
    <w:rsid w:val="007F146F"/>
    <w:rsid w:val="00823920"/>
    <w:rsid w:val="00847B25"/>
    <w:rsid w:val="008521B6"/>
    <w:rsid w:val="00871200"/>
    <w:rsid w:val="008748E8"/>
    <w:rsid w:val="00875F66"/>
    <w:rsid w:val="0088461F"/>
    <w:rsid w:val="00890C64"/>
    <w:rsid w:val="00896865"/>
    <w:rsid w:val="008A3CE1"/>
    <w:rsid w:val="008B1F00"/>
    <w:rsid w:val="008E6EC4"/>
    <w:rsid w:val="009333A4"/>
    <w:rsid w:val="00956673"/>
    <w:rsid w:val="00957E42"/>
    <w:rsid w:val="009644D5"/>
    <w:rsid w:val="00970A13"/>
    <w:rsid w:val="00971298"/>
    <w:rsid w:val="009809A3"/>
    <w:rsid w:val="00980A79"/>
    <w:rsid w:val="0098653E"/>
    <w:rsid w:val="0098688D"/>
    <w:rsid w:val="009A6C90"/>
    <w:rsid w:val="009B1463"/>
    <w:rsid w:val="009B3AC6"/>
    <w:rsid w:val="009C6C64"/>
    <w:rsid w:val="009D0A2C"/>
    <w:rsid w:val="009D234E"/>
    <w:rsid w:val="009E3A9C"/>
    <w:rsid w:val="009E721E"/>
    <w:rsid w:val="009F58BE"/>
    <w:rsid w:val="00A0225C"/>
    <w:rsid w:val="00A03C78"/>
    <w:rsid w:val="00A42D9E"/>
    <w:rsid w:val="00A451BE"/>
    <w:rsid w:val="00A52FA3"/>
    <w:rsid w:val="00A61C3E"/>
    <w:rsid w:val="00A67240"/>
    <w:rsid w:val="00A81EF0"/>
    <w:rsid w:val="00A95464"/>
    <w:rsid w:val="00AA022C"/>
    <w:rsid w:val="00AA1899"/>
    <w:rsid w:val="00AA30B8"/>
    <w:rsid w:val="00AA4BF8"/>
    <w:rsid w:val="00AA67FE"/>
    <w:rsid w:val="00AB0108"/>
    <w:rsid w:val="00AC5056"/>
    <w:rsid w:val="00AC7643"/>
    <w:rsid w:val="00AD44E4"/>
    <w:rsid w:val="00AE1945"/>
    <w:rsid w:val="00B0464F"/>
    <w:rsid w:val="00B12DB5"/>
    <w:rsid w:val="00B24101"/>
    <w:rsid w:val="00B25823"/>
    <w:rsid w:val="00B64668"/>
    <w:rsid w:val="00B72F61"/>
    <w:rsid w:val="00B744E8"/>
    <w:rsid w:val="00B83EF2"/>
    <w:rsid w:val="00B84694"/>
    <w:rsid w:val="00B9161C"/>
    <w:rsid w:val="00B9161E"/>
    <w:rsid w:val="00B946E3"/>
    <w:rsid w:val="00B94A4C"/>
    <w:rsid w:val="00BA7579"/>
    <w:rsid w:val="00BB4293"/>
    <w:rsid w:val="00BD6857"/>
    <w:rsid w:val="00BD7598"/>
    <w:rsid w:val="00BF72B8"/>
    <w:rsid w:val="00BF77C0"/>
    <w:rsid w:val="00C622F6"/>
    <w:rsid w:val="00C64E7D"/>
    <w:rsid w:val="00C659C5"/>
    <w:rsid w:val="00C72DD3"/>
    <w:rsid w:val="00C840FA"/>
    <w:rsid w:val="00CB3298"/>
    <w:rsid w:val="00CB6EC3"/>
    <w:rsid w:val="00CC1326"/>
    <w:rsid w:val="00CC6C87"/>
    <w:rsid w:val="00CC753D"/>
    <w:rsid w:val="00CD216C"/>
    <w:rsid w:val="00CD5343"/>
    <w:rsid w:val="00CF0646"/>
    <w:rsid w:val="00CF1386"/>
    <w:rsid w:val="00D07A5F"/>
    <w:rsid w:val="00D22A46"/>
    <w:rsid w:val="00D447DE"/>
    <w:rsid w:val="00D507FD"/>
    <w:rsid w:val="00D51856"/>
    <w:rsid w:val="00D5236F"/>
    <w:rsid w:val="00D524D4"/>
    <w:rsid w:val="00D64943"/>
    <w:rsid w:val="00D80164"/>
    <w:rsid w:val="00D83D0B"/>
    <w:rsid w:val="00D9561D"/>
    <w:rsid w:val="00DB3BA0"/>
    <w:rsid w:val="00DC2CF5"/>
    <w:rsid w:val="00DC48A7"/>
    <w:rsid w:val="00DE74F8"/>
    <w:rsid w:val="00E04F33"/>
    <w:rsid w:val="00E16ACE"/>
    <w:rsid w:val="00E317AB"/>
    <w:rsid w:val="00E31D73"/>
    <w:rsid w:val="00E32CED"/>
    <w:rsid w:val="00E36ECC"/>
    <w:rsid w:val="00E600FC"/>
    <w:rsid w:val="00E853D1"/>
    <w:rsid w:val="00E94A6A"/>
    <w:rsid w:val="00EA0105"/>
    <w:rsid w:val="00EA7B70"/>
    <w:rsid w:val="00ED3F8B"/>
    <w:rsid w:val="00ED586F"/>
    <w:rsid w:val="00EF06AD"/>
    <w:rsid w:val="00EF1EC5"/>
    <w:rsid w:val="00EF66AA"/>
    <w:rsid w:val="00F167C5"/>
    <w:rsid w:val="00F20EC6"/>
    <w:rsid w:val="00F4323B"/>
    <w:rsid w:val="00F47092"/>
    <w:rsid w:val="00FB5599"/>
    <w:rsid w:val="00FC1535"/>
    <w:rsid w:val="00FC3240"/>
    <w:rsid w:val="00FF46BB"/>
    <w:rsid w:val="00FF6CE1"/>
    <w:rsid w:val="00FF6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29B51"/>
  <w15:docId w15:val="{F205897D-9BA3-49A5-93AB-82979B40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4375"/>
    <w:pPr>
      <w:ind w:leftChars="200" w:left="480"/>
    </w:pPr>
  </w:style>
  <w:style w:type="paragraph" w:styleId="HTML">
    <w:name w:val="HTML Preformatted"/>
    <w:basedOn w:val="a"/>
    <w:link w:val="HTML0"/>
    <w:uiPriority w:val="99"/>
    <w:unhideWhenUsed/>
    <w:rsid w:val="00593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593C30"/>
    <w:rPr>
      <w:rFonts w:ascii="細明體" w:eastAsia="細明體" w:hAnsi="細明體" w:cs="細明體"/>
      <w:kern w:val="0"/>
      <w:sz w:val="22"/>
    </w:rPr>
  </w:style>
  <w:style w:type="paragraph" w:styleId="a5">
    <w:name w:val="header"/>
    <w:basedOn w:val="a"/>
    <w:link w:val="a6"/>
    <w:uiPriority w:val="99"/>
    <w:unhideWhenUsed/>
    <w:rsid w:val="00310CA0"/>
    <w:pPr>
      <w:tabs>
        <w:tab w:val="center" w:pos="4153"/>
        <w:tab w:val="right" w:pos="8306"/>
      </w:tabs>
      <w:snapToGrid w:val="0"/>
    </w:pPr>
    <w:rPr>
      <w:sz w:val="20"/>
      <w:szCs w:val="20"/>
    </w:rPr>
  </w:style>
  <w:style w:type="character" w:customStyle="1" w:styleId="a6">
    <w:name w:val="頁首 字元"/>
    <w:basedOn w:val="a0"/>
    <w:link w:val="a5"/>
    <w:uiPriority w:val="99"/>
    <w:rsid w:val="00310CA0"/>
    <w:rPr>
      <w:sz w:val="20"/>
      <w:szCs w:val="20"/>
    </w:rPr>
  </w:style>
  <w:style w:type="paragraph" w:styleId="a7">
    <w:name w:val="footer"/>
    <w:basedOn w:val="a"/>
    <w:link w:val="a8"/>
    <w:uiPriority w:val="99"/>
    <w:unhideWhenUsed/>
    <w:rsid w:val="00310CA0"/>
    <w:pPr>
      <w:tabs>
        <w:tab w:val="center" w:pos="4153"/>
        <w:tab w:val="right" w:pos="8306"/>
      </w:tabs>
      <w:snapToGrid w:val="0"/>
    </w:pPr>
    <w:rPr>
      <w:sz w:val="20"/>
      <w:szCs w:val="20"/>
    </w:rPr>
  </w:style>
  <w:style w:type="character" w:customStyle="1" w:styleId="a8">
    <w:name w:val="頁尾 字元"/>
    <w:basedOn w:val="a0"/>
    <w:link w:val="a7"/>
    <w:uiPriority w:val="99"/>
    <w:rsid w:val="00310CA0"/>
    <w:rPr>
      <w:sz w:val="20"/>
      <w:szCs w:val="20"/>
    </w:rPr>
  </w:style>
  <w:style w:type="paragraph" w:styleId="a9">
    <w:name w:val="Balloon Text"/>
    <w:basedOn w:val="a"/>
    <w:link w:val="aa"/>
    <w:uiPriority w:val="99"/>
    <w:semiHidden/>
    <w:unhideWhenUsed/>
    <w:rsid w:val="00D518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518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646">
      <w:bodyDiv w:val="1"/>
      <w:marLeft w:val="0"/>
      <w:marRight w:val="0"/>
      <w:marTop w:val="0"/>
      <w:marBottom w:val="0"/>
      <w:divBdr>
        <w:top w:val="none" w:sz="0" w:space="0" w:color="auto"/>
        <w:left w:val="none" w:sz="0" w:space="0" w:color="auto"/>
        <w:bottom w:val="none" w:sz="0" w:space="0" w:color="auto"/>
        <w:right w:val="none" w:sz="0" w:space="0" w:color="auto"/>
      </w:divBdr>
    </w:div>
    <w:div w:id="1347365252">
      <w:bodyDiv w:val="1"/>
      <w:marLeft w:val="0"/>
      <w:marRight w:val="0"/>
      <w:marTop w:val="0"/>
      <w:marBottom w:val="0"/>
      <w:divBdr>
        <w:top w:val="none" w:sz="0" w:space="0" w:color="auto"/>
        <w:left w:val="none" w:sz="0" w:space="0" w:color="auto"/>
        <w:bottom w:val="none" w:sz="0" w:space="0" w:color="auto"/>
        <w:right w:val="none" w:sz="0" w:space="0" w:color="auto"/>
      </w:divBdr>
    </w:div>
    <w:div w:id="1490554485">
      <w:bodyDiv w:val="1"/>
      <w:marLeft w:val="0"/>
      <w:marRight w:val="0"/>
      <w:marTop w:val="0"/>
      <w:marBottom w:val="0"/>
      <w:divBdr>
        <w:top w:val="none" w:sz="0" w:space="0" w:color="auto"/>
        <w:left w:val="none" w:sz="0" w:space="0" w:color="auto"/>
        <w:bottom w:val="none" w:sz="0" w:space="0" w:color="auto"/>
        <w:right w:val="none" w:sz="0" w:space="0" w:color="auto"/>
      </w:divBdr>
    </w:div>
    <w:div w:id="2049182523">
      <w:bodyDiv w:val="1"/>
      <w:marLeft w:val="0"/>
      <w:marRight w:val="0"/>
      <w:marTop w:val="0"/>
      <w:marBottom w:val="0"/>
      <w:divBdr>
        <w:top w:val="none" w:sz="0" w:space="0" w:color="auto"/>
        <w:left w:val="none" w:sz="0" w:space="0" w:color="auto"/>
        <w:bottom w:val="none" w:sz="0" w:space="0" w:color="auto"/>
        <w:right w:val="none" w:sz="0" w:space="0" w:color="auto"/>
      </w:divBdr>
    </w:div>
    <w:div w:id="212071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BB11-3037-461C-8562-FEA7507E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1594</Characters>
  <Application>Microsoft Office Word</Application>
  <DocSecurity>0</DocSecurity>
  <Lines>13</Lines>
  <Paragraphs>3</Paragraphs>
  <ScaleCrop>false</ScaleCrop>
  <Company>TWSE 臺灣證券交易所</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楊哲倫</dc:creator>
  <cp:keywords/>
  <dc:description/>
  <cp:lastModifiedBy>翁珮玹</cp:lastModifiedBy>
  <cp:revision>2</cp:revision>
  <cp:lastPrinted>2024-03-22T01:46:00Z</cp:lastPrinted>
  <dcterms:created xsi:type="dcterms:W3CDTF">2024-03-26T08:10:00Z</dcterms:created>
  <dcterms:modified xsi:type="dcterms:W3CDTF">2024-03-26T08:10:00Z</dcterms:modified>
</cp:coreProperties>
</file>