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E7C49" w14:textId="77777777" w:rsidR="00E6781A" w:rsidRPr="00692B09" w:rsidRDefault="00E6781A" w:rsidP="00E6781A">
      <w:pPr>
        <w:spacing w:line="440" w:lineRule="exact"/>
        <w:jc w:val="center"/>
        <w:rPr>
          <w:rFonts w:ascii="標楷體" w:eastAsia="標楷體" w:hAnsi="標楷體"/>
          <w:b/>
          <w:sz w:val="31"/>
          <w:szCs w:val="31"/>
        </w:rPr>
      </w:pPr>
      <w:r>
        <w:rPr>
          <w:rFonts w:ascii="標楷體" w:eastAsia="標楷體" w:hAnsi="標楷體" w:hint="eastAsia"/>
          <w:b/>
          <w:sz w:val="31"/>
          <w:szCs w:val="31"/>
        </w:rPr>
        <w:t>臺灣證券交易所股份有限公司</w:t>
      </w:r>
    </w:p>
    <w:p w14:paraId="3877EE2A" w14:textId="700CCE58" w:rsidR="00DB2A46" w:rsidRDefault="00E67DCB" w:rsidP="00DB2A46">
      <w:pPr>
        <w:spacing w:line="440" w:lineRule="exact"/>
        <w:jc w:val="center"/>
        <w:rPr>
          <w:rFonts w:ascii="標楷體" w:eastAsia="標楷體" w:hAnsi="標楷體"/>
          <w:b/>
          <w:sz w:val="31"/>
          <w:szCs w:val="31"/>
        </w:rPr>
      </w:pPr>
      <w:r w:rsidRPr="00DE262C">
        <w:rPr>
          <w:rFonts w:ascii="標楷體" w:eastAsia="標楷體" w:hAnsi="標楷體" w:hint="eastAsia"/>
          <w:b/>
          <w:sz w:val="32"/>
          <w:szCs w:val="32"/>
        </w:rPr>
        <w:t>證券商受理線上開戶委託人身分認證及額度分級管理標準</w:t>
      </w:r>
      <w:r w:rsidR="00CA6395" w:rsidRPr="00DE262C">
        <w:rPr>
          <w:rFonts w:ascii="標楷體" w:eastAsia="標楷體" w:hAnsi="標楷體" w:hint="eastAsia"/>
          <w:b/>
          <w:sz w:val="32"/>
          <w:szCs w:val="32"/>
        </w:rPr>
        <w:t>第</w:t>
      </w:r>
      <w:r w:rsidRPr="00DE262C">
        <w:rPr>
          <w:rFonts w:ascii="標楷體" w:eastAsia="標楷體" w:hAnsi="標楷體" w:hint="eastAsia"/>
          <w:b/>
          <w:sz w:val="32"/>
          <w:szCs w:val="32"/>
        </w:rPr>
        <w:t>二</w:t>
      </w:r>
      <w:r w:rsidR="004B65DF">
        <w:rPr>
          <w:rFonts w:ascii="標楷體" w:eastAsia="標楷體" w:hAnsi="標楷體" w:hint="eastAsia"/>
          <w:b/>
          <w:sz w:val="32"/>
          <w:szCs w:val="32"/>
        </w:rPr>
        <w:t>、三</w:t>
      </w:r>
      <w:r w:rsidR="00CA6395" w:rsidRPr="00DE262C">
        <w:rPr>
          <w:rFonts w:ascii="標楷體" w:eastAsia="標楷體" w:hAnsi="標楷體" w:hint="eastAsia"/>
          <w:b/>
          <w:sz w:val="32"/>
          <w:szCs w:val="32"/>
        </w:rPr>
        <w:t>條</w:t>
      </w:r>
      <w:r w:rsidR="00DB2A46" w:rsidRPr="00DE262C">
        <w:rPr>
          <w:rFonts w:ascii="標楷體" w:eastAsia="標楷體" w:hAnsi="標楷體" w:hint="eastAsia"/>
          <w:b/>
          <w:sz w:val="32"/>
          <w:szCs w:val="32"/>
        </w:rPr>
        <w:t>修正條文對照表</w:t>
      </w:r>
    </w:p>
    <w:tbl>
      <w:tblPr>
        <w:tblStyle w:val="a3"/>
        <w:tblW w:w="9640" w:type="dxa"/>
        <w:jc w:val="center"/>
        <w:tblLayout w:type="fixed"/>
        <w:tblLook w:val="04A0" w:firstRow="1" w:lastRow="0" w:firstColumn="1" w:lastColumn="0" w:noHBand="0" w:noVBand="1"/>
      </w:tblPr>
      <w:tblGrid>
        <w:gridCol w:w="3213"/>
        <w:gridCol w:w="3213"/>
        <w:gridCol w:w="3214"/>
      </w:tblGrid>
      <w:tr w:rsidR="00DB2A46" w:rsidRPr="000B2FA6" w14:paraId="5AAF65C4" w14:textId="77777777" w:rsidTr="00BE3C15">
        <w:trPr>
          <w:tblHeader/>
          <w:jc w:val="center"/>
        </w:trPr>
        <w:tc>
          <w:tcPr>
            <w:tcW w:w="3213" w:type="dxa"/>
          </w:tcPr>
          <w:p w14:paraId="37D9687E" w14:textId="77777777" w:rsidR="00DB2A46" w:rsidRPr="000B2FA6" w:rsidRDefault="00DB2A46" w:rsidP="00BE3C15">
            <w:pPr>
              <w:snapToGrid w:val="0"/>
              <w:spacing w:line="440" w:lineRule="exact"/>
              <w:ind w:firstLineChars="200" w:firstLine="480"/>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14:paraId="2A8A7D05" w14:textId="77777777" w:rsidR="00DB2A46" w:rsidRPr="000B2FA6" w:rsidRDefault="00DB2A46" w:rsidP="00BE3C15">
            <w:pPr>
              <w:snapToGrid w:val="0"/>
              <w:spacing w:line="440" w:lineRule="exact"/>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14:paraId="1DEAFB17" w14:textId="77777777" w:rsidR="00DB2A46" w:rsidRPr="000B2FA6" w:rsidRDefault="00DB2A46" w:rsidP="00BE3C15">
            <w:pPr>
              <w:snapToGrid w:val="0"/>
              <w:spacing w:line="440" w:lineRule="exact"/>
              <w:jc w:val="center"/>
              <w:rPr>
                <w:rFonts w:ascii="標楷體" w:eastAsia="標楷體" w:hAnsi="標楷體"/>
                <w:szCs w:val="24"/>
              </w:rPr>
            </w:pPr>
            <w:r>
              <w:rPr>
                <w:rFonts w:ascii="標楷體" w:eastAsia="標楷體" w:hAnsi="標楷體" w:hint="eastAsia"/>
                <w:szCs w:val="24"/>
              </w:rPr>
              <w:t>說明</w:t>
            </w:r>
          </w:p>
        </w:tc>
      </w:tr>
      <w:tr w:rsidR="00F12F0F" w:rsidRPr="00B4362B" w14:paraId="30F2B4D7" w14:textId="77777777" w:rsidTr="00BE3C15">
        <w:trPr>
          <w:jc w:val="center"/>
        </w:trPr>
        <w:tc>
          <w:tcPr>
            <w:tcW w:w="3213" w:type="dxa"/>
          </w:tcPr>
          <w:p w14:paraId="05AFE4E1" w14:textId="77777777" w:rsidR="00F12F0F" w:rsidRPr="007A61EC" w:rsidRDefault="00F12F0F" w:rsidP="00F12F0F">
            <w:pPr>
              <w:pStyle w:val="HTML"/>
              <w:snapToGrid w:val="0"/>
              <w:spacing w:line="440" w:lineRule="exact"/>
              <w:jc w:val="both"/>
              <w:rPr>
                <w:rFonts w:ascii="標楷體" w:eastAsia="標楷體" w:hAnsi="標楷體"/>
                <w:color w:val="auto"/>
              </w:rPr>
            </w:pPr>
            <w:r w:rsidRPr="007A61EC">
              <w:rPr>
                <w:rFonts w:ascii="標楷體" w:eastAsia="標楷體" w:hAnsi="標楷體" w:hint="eastAsia"/>
                <w:color w:val="auto"/>
              </w:rPr>
              <w:t>第二條</w:t>
            </w:r>
          </w:p>
          <w:p w14:paraId="5FD9BDBD" w14:textId="0DF1FD39" w:rsidR="004B1930" w:rsidRDefault="004B1930" w:rsidP="004B1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hint="eastAsia"/>
                <w:color w:val="000000" w:themeColor="text1"/>
                <w:kern w:val="0"/>
                <w:szCs w:val="24"/>
              </w:rPr>
            </w:pPr>
            <w:r w:rsidRPr="004B1930">
              <w:rPr>
                <w:rFonts w:ascii="標楷體" w:eastAsia="標楷體" w:hAnsi="標楷體" w:cs="細明體" w:hint="eastAsia"/>
                <w:color w:val="000000" w:themeColor="text1"/>
                <w:kern w:val="0"/>
                <w:szCs w:val="24"/>
              </w:rPr>
              <w:t>（第一項略）</w:t>
            </w:r>
          </w:p>
          <w:p w14:paraId="1C7563C2" w14:textId="73174C5F" w:rsidR="0048514D" w:rsidRPr="0048514D" w:rsidRDefault="0048514D" w:rsidP="008E5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 w:firstLineChars="177" w:firstLine="425"/>
              <w:rPr>
                <w:rFonts w:ascii="標楷體" w:eastAsia="標楷體" w:hAnsi="標楷體" w:cs="細明體"/>
                <w:color w:val="000000" w:themeColor="text1"/>
                <w:kern w:val="0"/>
                <w:szCs w:val="24"/>
              </w:rPr>
            </w:pPr>
            <w:r w:rsidRPr="0048514D">
              <w:rPr>
                <w:rFonts w:ascii="標楷體" w:eastAsia="標楷體" w:hAnsi="標楷體" w:cs="細明體" w:hint="eastAsia"/>
                <w:color w:val="000000" w:themeColor="text1"/>
                <w:kern w:val="0"/>
                <w:szCs w:val="24"/>
              </w:rPr>
              <w:t>以前項</w:t>
            </w:r>
            <w:r w:rsidR="00535EA3" w:rsidRPr="00535EA3">
              <w:rPr>
                <w:rFonts w:ascii="標楷體" w:eastAsia="標楷體" w:hAnsi="標楷體" w:cs="細明體" w:hint="eastAsia"/>
                <w:color w:val="000000" w:themeColor="text1"/>
                <w:kern w:val="0"/>
                <w:szCs w:val="24"/>
                <w:u w:val="single"/>
              </w:rPr>
              <w:t>方式</w:t>
            </w:r>
            <w:r w:rsidRPr="0048514D">
              <w:rPr>
                <w:rFonts w:ascii="標楷體" w:eastAsia="標楷體" w:hAnsi="標楷體" w:cs="細明體" w:hint="eastAsia"/>
                <w:color w:val="000000" w:themeColor="text1"/>
                <w:kern w:val="0"/>
                <w:szCs w:val="24"/>
              </w:rPr>
              <w:t>確認身分者，證券商應</w:t>
            </w:r>
            <w:r w:rsidR="005519D2" w:rsidRPr="005519D2">
              <w:rPr>
                <w:rFonts w:ascii="標楷體" w:eastAsia="標楷體" w:hAnsi="標楷體" w:cs="細明體" w:hint="eastAsia"/>
                <w:color w:val="000000" w:themeColor="text1"/>
                <w:kern w:val="0"/>
                <w:szCs w:val="24"/>
                <w:u w:val="single"/>
              </w:rPr>
              <w:t>輔</w:t>
            </w:r>
            <w:r w:rsidRPr="0048514D">
              <w:rPr>
                <w:rFonts w:ascii="標楷體" w:eastAsia="標楷體" w:hAnsi="標楷體" w:cs="細明體" w:hint="eastAsia"/>
                <w:color w:val="000000" w:themeColor="text1"/>
                <w:kern w:val="0"/>
                <w:szCs w:val="24"/>
              </w:rPr>
              <w:t>以手機簡訊傳送一次性安全密碼（One Time Password –– OTP，下稱「簡訊確認碼」）或由專人電訪等方式強化驗證。</w:t>
            </w:r>
          </w:p>
          <w:p w14:paraId="66CE1995" w14:textId="50B13530" w:rsidR="00882002" w:rsidRPr="00264CFB" w:rsidRDefault="00DC3C9E" w:rsidP="008E5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40" w:lineRule="exact"/>
              <w:ind w:left="28" w:firstLineChars="177" w:firstLine="425"/>
              <w:rPr>
                <w:rFonts w:ascii="標楷體" w:eastAsia="標楷體" w:hAnsi="標楷體"/>
                <w:u w:val="single"/>
              </w:rPr>
            </w:pPr>
            <w:r w:rsidRPr="0048514D">
              <w:rPr>
                <w:rFonts w:ascii="標楷體" w:eastAsia="標楷體" w:hAnsi="標楷體" w:hint="eastAsia"/>
                <w:color w:val="000000" w:themeColor="text1"/>
                <w:u w:val="single"/>
              </w:rPr>
              <w:t>證券商受理</w:t>
            </w:r>
            <w:r w:rsidR="003B4477" w:rsidRPr="0048514D">
              <w:rPr>
                <w:rFonts w:ascii="標楷體" w:eastAsia="標楷體" w:hAnsi="標楷體" w:hint="eastAsia"/>
                <w:color w:val="000000" w:themeColor="text1"/>
                <w:u w:val="single"/>
              </w:rPr>
              <w:t>依</w:t>
            </w:r>
            <w:r w:rsidR="00882002" w:rsidRPr="0048514D">
              <w:rPr>
                <w:rFonts w:ascii="標楷體" w:eastAsia="標楷體" w:hAnsi="標楷體" w:hint="eastAsia"/>
                <w:color w:val="000000" w:themeColor="text1"/>
                <w:u w:val="single"/>
              </w:rPr>
              <w:t>本國公司法登記股東為3人以下之公司，</w:t>
            </w:r>
            <w:r w:rsidR="004E65D6" w:rsidRPr="0048514D">
              <w:rPr>
                <w:rFonts w:ascii="標楷體" w:eastAsia="標楷體" w:hAnsi="標楷體" w:hint="eastAsia"/>
                <w:color w:val="000000" w:themeColor="text1"/>
                <w:u w:val="single"/>
              </w:rPr>
              <w:t>且</w:t>
            </w:r>
            <w:r w:rsidR="00882002" w:rsidRPr="0048514D">
              <w:rPr>
                <w:rFonts w:ascii="標楷體" w:eastAsia="標楷體" w:hAnsi="標楷體" w:hint="eastAsia"/>
                <w:color w:val="000000" w:themeColor="text1"/>
                <w:u w:val="single"/>
              </w:rPr>
              <w:t>其負責人</w:t>
            </w:r>
            <w:r w:rsidR="00AA45AC" w:rsidRPr="0048514D">
              <w:rPr>
                <w:rFonts w:ascii="標楷體" w:eastAsia="標楷體" w:hAnsi="標楷體" w:hint="eastAsia"/>
                <w:color w:val="000000" w:themeColor="text1"/>
                <w:u w:val="single"/>
              </w:rPr>
              <w:t>及</w:t>
            </w:r>
            <w:r w:rsidR="00882002" w:rsidRPr="0048514D">
              <w:rPr>
                <w:rFonts w:ascii="標楷體" w:eastAsia="標楷體" w:hAnsi="標楷體" w:hint="eastAsia"/>
                <w:color w:val="000000" w:themeColor="text1"/>
                <w:u w:val="single"/>
              </w:rPr>
              <w:t>股東</w:t>
            </w:r>
            <w:r w:rsidR="004E65D6" w:rsidRPr="0048514D">
              <w:rPr>
                <w:rFonts w:ascii="標楷體" w:eastAsia="標楷體" w:hAnsi="標楷體" w:hint="eastAsia"/>
                <w:color w:val="000000" w:themeColor="text1"/>
                <w:u w:val="single"/>
              </w:rPr>
              <w:t>均為</w:t>
            </w:r>
            <w:r w:rsidR="00882002" w:rsidRPr="0048514D">
              <w:rPr>
                <w:rFonts w:ascii="標楷體" w:eastAsia="標楷體" w:hAnsi="標楷體" w:hint="eastAsia"/>
                <w:color w:val="000000" w:themeColor="text1"/>
                <w:u w:val="single"/>
              </w:rPr>
              <w:t>本國國籍成年自然人之</w:t>
            </w:r>
            <w:r w:rsidR="00084DE5">
              <w:rPr>
                <w:rFonts w:ascii="標楷體" w:eastAsia="標楷體" w:hAnsi="標楷體" w:hint="eastAsia"/>
                <w:color w:val="000000" w:themeColor="text1"/>
                <w:u w:val="single"/>
              </w:rPr>
              <w:t>公司</w:t>
            </w:r>
            <w:r w:rsidR="00882002" w:rsidRPr="0048514D">
              <w:rPr>
                <w:rFonts w:ascii="標楷體" w:eastAsia="標楷體" w:hAnsi="標楷體" w:hint="eastAsia"/>
                <w:color w:val="000000" w:themeColor="text1"/>
                <w:u w:val="single"/>
              </w:rPr>
              <w:t>採</w:t>
            </w:r>
            <w:r w:rsidRPr="0048514D">
              <w:rPr>
                <w:rFonts w:ascii="標楷體" w:eastAsia="標楷體" w:hAnsi="標楷體" w:hint="eastAsia"/>
                <w:color w:val="000000" w:themeColor="text1"/>
                <w:u w:val="single"/>
              </w:rPr>
              <w:t>線上</w:t>
            </w:r>
            <w:r w:rsidR="00882002" w:rsidRPr="0048514D">
              <w:rPr>
                <w:rFonts w:ascii="標楷體" w:eastAsia="標楷體" w:hAnsi="標楷體" w:hint="eastAsia"/>
                <w:color w:val="000000" w:themeColor="text1"/>
                <w:u w:val="single"/>
              </w:rPr>
              <w:t>開戶者，</w:t>
            </w:r>
            <w:r w:rsidR="004619F8" w:rsidRPr="0048514D">
              <w:rPr>
                <w:rFonts w:ascii="標楷體" w:eastAsia="標楷體" w:hAnsi="標楷體" w:hint="eastAsia"/>
                <w:color w:val="000000" w:themeColor="text1"/>
                <w:u w:val="single"/>
              </w:rPr>
              <w:t>應對</w:t>
            </w:r>
            <w:r w:rsidR="000003CE" w:rsidRPr="0048514D">
              <w:rPr>
                <w:rFonts w:ascii="標楷體" w:eastAsia="標楷體" w:hAnsi="標楷體" w:hint="eastAsia"/>
                <w:color w:val="000000" w:themeColor="text1"/>
                <w:u w:val="single"/>
              </w:rPr>
              <w:t>其負責人採第</w:t>
            </w:r>
            <w:r w:rsidR="00F44FD5" w:rsidRPr="0048514D">
              <w:rPr>
                <w:rFonts w:ascii="標楷體" w:eastAsia="標楷體" w:hAnsi="標楷體" w:hint="eastAsia"/>
                <w:color w:val="000000" w:themeColor="text1"/>
                <w:u w:val="single"/>
              </w:rPr>
              <w:t>一</w:t>
            </w:r>
            <w:r w:rsidR="000003CE" w:rsidRPr="0048514D">
              <w:rPr>
                <w:rFonts w:ascii="標楷體" w:eastAsia="標楷體" w:hAnsi="標楷體" w:hint="eastAsia"/>
                <w:color w:val="000000" w:themeColor="text1"/>
                <w:u w:val="single"/>
              </w:rPr>
              <w:t>項及</w:t>
            </w:r>
            <w:r w:rsidR="00084DE5">
              <w:rPr>
                <w:rFonts w:ascii="標楷體" w:eastAsia="標楷體" w:hAnsi="標楷體" w:hint="eastAsia"/>
                <w:color w:val="000000" w:themeColor="text1"/>
                <w:u w:val="single"/>
              </w:rPr>
              <w:t>公司</w:t>
            </w:r>
            <w:r w:rsidR="000003CE" w:rsidRPr="0048514D">
              <w:rPr>
                <w:rFonts w:ascii="標楷體" w:eastAsia="標楷體" w:hAnsi="標楷體" w:hint="eastAsia"/>
                <w:color w:val="000000" w:themeColor="text1"/>
                <w:u w:val="single"/>
              </w:rPr>
              <w:t>採工商憑證</w:t>
            </w:r>
            <w:r w:rsidR="003B4477" w:rsidRPr="0048514D">
              <w:rPr>
                <w:rFonts w:ascii="標楷體" w:eastAsia="標楷體" w:hAnsi="標楷體" w:hint="eastAsia"/>
                <w:color w:val="000000" w:themeColor="text1"/>
                <w:u w:val="single"/>
              </w:rPr>
              <w:t>進行</w:t>
            </w:r>
            <w:r w:rsidRPr="0048514D">
              <w:rPr>
                <w:rFonts w:ascii="標楷體" w:eastAsia="標楷體" w:hAnsi="標楷體" w:hint="eastAsia"/>
                <w:color w:val="000000" w:themeColor="text1"/>
                <w:u w:val="single"/>
              </w:rPr>
              <w:t>身分驗證。</w:t>
            </w:r>
          </w:p>
        </w:tc>
        <w:tc>
          <w:tcPr>
            <w:tcW w:w="3213" w:type="dxa"/>
          </w:tcPr>
          <w:p w14:paraId="035BE43B" w14:textId="77777777" w:rsidR="00F12F0F" w:rsidRPr="007A61EC" w:rsidRDefault="00F12F0F" w:rsidP="00F12F0F">
            <w:pPr>
              <w:pStyle w:val="HTML"/>
              <w:snapToGrid w:val="0"/>
              <w:spacing w:line="440" w:lineRule="exact"/>
              <w:jc w:val="both"/>
              <w:rPr>
                <w:rFonts w:ascii="標楷體" w:eastAsia="標楷體" w:hAnsi="標楷體"/>
                <w:color w:val="auto"/>
              </w:rPr>
            </w:pPr>
            <w:r w:rsidRPr="007A61EC">
              <w:rPr>
                <w:rFonts w:ascii="標楷體" w:eastAsia="標楷體" w:hAnsi="標楷體" w:hint="eastAsia"/>
                <w:color w:val="auto"/>
              </w:rPr>
              <w:t>第二條</w:t>
            </w:r>
          </w:p>
          <w:p w14:paraId="3635E68D" w14:textId="0AE13F19" w:rsidR="00F12F0F" w:rsidRDefault="004B1930" w:rsidP="008E5F62">
            <w:pPr>
              <w:pStyle w:val="HTML"/>
              <w:snapToGrid w:val="0"/>
              <w:spacing w:line="440" w:lineRule="exact"/>
              <w:rPr>
                <w:rFonts w:ascii="標楷體" w:eastAsia="標楷體" w:hAnsi="標楷體"/>
                <w:color w:val="auto"/>
              </w:rPr>
            </w:pPr>
            <w:r w:rsidRPr="004B1930">
              <w:rPr>
                <w:rFonts w:ascii="標楷體" w:eastAsia="標楷體" w:hAnsi="標楷體" w:hint="eastAsia"/>
                <w:color w:val="auto"/>
              </w:rPr>
              <w:t>（第一項略）</w:t>
            </w:r>
          </w:p>
          <w:p w14:paraId="72DA03F3" w14:textId="3530AACA" w:rsidR="00D03954" w:rsidRDefault="0048514D" w:rsidP="008E5F62">
            <w:pPr>
              <w:pStyle w:val="HTML"/>
              <w:snapToGrid w:val="0"/>
              <w:spacing w:line="440" w:lineRule="exact"/>
              <w:ind w:firstLineChars="151" w:firstLine="362"/>
              <w:rPr>
                <w:rFonts w:ascii="標楷體" w:eastAsia="標楷體" w:hAnsi="標楷體"/>
                <w:color w:val="auto"/>
              </w:rPr>
            </w:pPr>
            <w:r w:rsidRPr="0048514D">
              <w:rPr>
                <w:rFonts w:ascii="標楷體" w:eastAsia="標楷體" w:hAnsi="標楷體" w:hint="eastAsia"/>
                <w:color w:val="000000" w:themeColor="text1"/>
              </w:rPr>
              <w:t>以前項</w:t>
            </w:r>
            <w:r w:rsidRPr="0048514D">
              <w:rPr>
                <w:rFonts w:ascii="標楷體" w:eastAsia="標楷體" w:hAnsi="標楷體" w:hint="eastAsia"/>
                <w:color w:val="000000" w:themeColor="text1"/>
                <w:u w:val="single"/>
              </w:rPr>
              <w:t>第一至五款</w:t>
            </w:r>
            <w:r w:rsidRPr="0048514D">
              <w:rPr>
                <w:rFonts w:ascii="標楷體" w:eastAsia="標楷體" w:hAnsi="標楷體" w:hint="eastAsia"/>
                <w:color w:val="000000" w:themeColor="text1"/>
              </w:rPr>
              <w:t>確認身分者，證券商應</w:t>
            </w:r>
            <w:r w:rsidRPr="0048514D">
              <w:rPr>
                <w:rFonts w:ascii="標楷體" w:eastAsia="標楷體" w:hAnsi="標楷體" w:hint="eastAsia"/>
                <w:color w:val="000000" w:themeColor="text1"/>
                <w:u w:val="single"/>
              </w:rPr>
              <w:t>續</w:t>
            </w:r>
            <w:r w:rsidRPr="0048514D">
              <w:rPr>
                <w:rFonts w:ascii="標楷體" w:eastAsia="標楷體" w:hAnsi="標楷體" w:hint="eastAsia"/>
                <w:color w:val="000000" w:themeColor="text1"/>
              </w:rPr>
              <w:t>以手機簡訊傳送一次性安全密碼（One Time Password –– OTP，下稱「簡訊確認碼」）或由專人電訪等方式強化驗證。</w:t>
            </w:r>
          </w:p>
        </w:tc>
        <w:tc>
          <w:tcPr>
            <w:tcW w:w="3214" w:type="dxa"/>
          </w:tcPr>
          <w:p w14:paraId="2C2679BC" w14:textId="05A0BCC8" w:rsidR="00432C72" w:rsidRDefault="00535EA3" w:rsidP="004B1930">
            <w:pPr>
              <w:pStyle w:val="HTML"/>
              <w:numPr>
                <w:ilvl w:val="0"/>
                <w:numId w:val="6"/>
              </w:numPr>
              <w:snapToGrid w:val="0"/>
              <w:spacing w:line="440" w:lineRule="exact"/>
              <w:jc w:val="both"/>
              <w:rPr>
                <w:rFonts w:ascii="標楷體" w:eastAsia="標楷體" w:hAnsi="標楷體"/>
                <w:color w:val="auto"/>
                <w:lang w:eastAsia="zh-HK"/>
              </w:rPr>
            </w:pPr>
            <w:r>
              <w:rPr>
                <w:rFonts w:ascii="標楷體" w:eastAsia="標楷體" w:hAnsi="標楷體" w:hint="eastAsia"/>
                <w:color w:val="auto"/>
                <w:lang w:eastAsia="zh-HK"/>
              </w:rPr>
              <w:t>配合本公司營業細則第</w:t>
            </w:r>
            <w:r>
              <w:rPr>
                <w:rFonts w:ascii="標楷體" w:eastAsia="標楷體" w:hAnsi="標楷體" w:hint="eastAsia"/>
                <w:color w:val="auto"/>
              </w:rPr>
              <w:t>75</w:t>
            </w:r>
            <w:r>
              <w:rPr>
                <w:rFonts w:ascii="標楷體" w:eastAsia="標楷體" w:hAnsi="標楷體" w:hint="eastAsia"/>
                <w:color w:val="auto"/>
                <w:lang w:eastAsia="zh-HK"/>
              </w:rPr>
              <w:t>條之</w:t>
            </w:r>
            <w:r>
              <w:rPr>
                <w:rFonts w:ascii="標楷體" w:eastAsia="標楷體" w:hAnsi="標楷體" w:hint="eastAsia"/>
                <w:color w:val="auto"/>
              </w:rPr>
              <w:t>1</w:t>
            </w:r>
            <w:r w:rsidRPr="00352185">
              <w:rPr>
                <w:rFonts w:ascii="標楷體" w:eastAsia="標楷體" w:hAnsi="標楷體" w:hint="eastAsia"/>
                <w:color w:val="auto"/>
              </w:rPr>
              <w:t>第</w:t>
            </w:r>
            <w:r>
              <w:rPr>
                <w:rFonts w:ascii="標楷體" w:eastAsia="標楷體" w:hAnsi="標楷體" w:hint="eastAsia"/>
                <w:color w:val="auto"/>
              </w:rPr>
              <w:t>1</w:t>
            </w:r>
            <w:r w:rsidRPr="00352185">
              <w:rPr>
                <w:rFonts w:ascii="標楷體" w:eastAsia="標楷體" w:hAnsi="標楷體" w:hint="eastAsia"/>
                <w:color w:val="auto"/>
              </w:rPr>
              <w:t>項第</w:t>
            </w:r>
            <w:r>
              <w:rPr>
                <w:rFonts w:ascii="標楷體" w:eastAsia="標楷體" w:hAnsi="標楷體" w:hint="eastAsia"/>
                <w:color w:val="auto"/>
              </w:rPr>
              <w:t>2</w:t>
            </w:r>
            <w:r w:rsidRPr="00352185">
              <w:rPr>
                <w:rFonts w:ascii="標楷體" w:eastAsia="標楷體" w:hAnsi="標楷體" w:hint="eastAsia"/>
                <w:color w:val="auto"/>
              </w:rPr>
              <w:t>款</w:t>
            </w:r>
            <w:r>
              <w:rPr>
                <w:rFonts w:ascii="標楷體" w:eastAsia="標楷體" w:hAnsi="標楷體" w:hint="eastAsia"/>
                <w:color w:val="auto"/>
              </w:rPr>
              <w:t>之修正，</w:t>
            </w:r>
            <w:r>
              <w:rPr>
                <w:rFonts w:ascii="標楷體" w:eastAsia="標楷體" w:hAnsi="標楷體" w:hint="eastAsia"/>
                <w:color w:val="auto"/>
                <w:lang w:eastAsia="zh-HK"/>
              </w:rPr>
              <w:t>新增</w:t>
            </w:r>
            <w:r>
              <w:rPr>
                <w:rFonts w:ascii="標楷體" w:eastAsia="標楷體" w:hAnsi="標楷體" w:hint="eastAsia"/>
                <w:color w:val="auto"/>
              </w:rPr>
              <w:t>本條第3項有關特定法人線上開戶之身分確認規定</w:t>
            </w:r>
            <w:r w:rsidR="008040BA" w:rsidRPr="00663B94">
              <w:rPr>
                <w:rFonts w:ascii="標楷體" w:eastAsia="標楷體" w:hAnsi="標楷體" w:hint="eastAsia"/>
                <w:color w:val="auto"/>
                <w:lang w:eastAsia="zh-HK"/>
              </w:rPr>
              <w:t>。</w:t>
            </w:r>
          </w:p>
          <w:p w14:paraId="30D68680" w14:textId="30891FD6" w:rsidR="00B37C45" w:rsidRPr="004B1930" w:rsidRDefault="00535EA3" w:rsidP="004B1930">
            <w:pPr>
              <w:pStyle w:val="HTML"/>
              <w:numPr>
                <w:ilvl w:val="0"/>
                <w:numId w:val="6"/>
              </w:numPr>
              <w:snapToGrid w:val="0"/>
              <w:spacing w:line="440" w:lineRule="exact"/>
              <w:jc w:val="both"/>
              <w:rPr>
                <w:rFonts w:ascii="標楷體" w:eastAsia="標楷體" w:hAnsi="標楷體"/>
                <w:color w:val="auto"/>
                <w:lang w:eastAsia="zh-HK"/>
              </w:rPr>
            </w:pPr>
            <w:r w:rsidRPr="004B1930">
              <w:rPr>
                <w:rFonts w:ascii="標楷體" w:eastAsia="標楷體" w:hAnsi="標楷體" w:hint="eastAsia"/>
                <w:color w:val="auto"/>
              </w:rPr>
              <w:t>餘文字調整。</w:t>
            </w:r>
          </w:p>
        </w:tc>
      </w:tr>
      <w:tr w:rsidR="000928B5" w:rsidRPr="00B4362B" w14:paraId="6BB1F973" w14:textId="77777777" w:rsidTr="00BE3C15">
        <w:trPr>
          <w:jc w:val="center"/>
        </w:trPr>
        <w:tc>
          <w:tcPr>
            <w:tcW w:w="3213" w:type="dxa"/>
          </w:tcPr>
          <w:p w14:paraId="16028868" w14:textId="77777777" w:rsidR="000928B5" w:rsidRDefault="000928B5" w:rsidP="000928B5">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第三條</w:t>
            </w:r>
          </w:p>
          <w:p w14:paraId="57B647C5" w14:textId="77777777" w:rsidR="00DC01EE" w:rsidRDefault="00DC01EE" w:rsidP="00DC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8" w:firstLineChars="177" w:firstLine="425"/>
              <w:rPr>
                <w:rFonts w:ascii="標楷體" w:eastAsia="標楷體" w:hAnsi="標楷體"/>
              </w:rPr>
            </w:pPr>
            <w:r w:rsidRPr="00DC01EE">
              <w:rPr>
                <w:rFonts w:ascii="標楷體" w:eastAsia="標楷體" w:hAnsi="標楷體" w:cs="細明體" w:hint="eastAsia"/>
                <w:kern w:val="0"/>
                <w:szCs w:val="24"/>
              </w:rPr>
              <w:t>證券商應按線上開戶之身分認證程序及約定強度，決定該帳戶之類型並據</w:t>
            </w:r>
            <w:r w:rsidRPr="00DC01EE">
              <w:rPr>
                <w:rFonts w:ascii="標楷體" w:eastAsia="標楷體" w:hAnsi="標楷體" w:hint="eastAsia"/>
              </w:rPr>
              <w:t>以評估委託人單日買賣最高額度（參考附表）。</w:t>
            </w:r>
          </w:p>
          <w:p w14:paraId="7A37CCD4" w14:textId="5DF5A7FB" w:rsidR="000928B5" w:rsidRDefault="000928B5" w:rsidP="00DC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olor w:val="FF0000"/>
                <w:highlight w:val="yellow"/>
                <w:u w:val="single"/>
              </w:rPr>
            </w:pPr>
            <w:r>
              <w:rPr>
                <w:rFonts w:ascii="標楷體" w:eastAsia="標楷體" w:hAnsi="標楷體" w:hint="eastAsia"/>
              </w:rPr>
              <w:t>(第二項略)</w:t>
            </w:r>
          </w:p>
          <w:p w14:paraId="07BD145C" w14:textId="2BB69CC6" w:rsidR="000928B5" w:rsidRPr="000928B5" w:rsidRDefault="000928B5" w:rsidP="00DC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90" w:firstLine="456"/>
              <w:rPr>
                <w:rFonts w:ascii="標楷體" w:eastAsia="標楷體" w:hAnsi="標楷體" w:cs="細明體"/>
                <w:kern w:val="0"/>
                <w:szCs w:val="24"/>
              </w:rPr>
            </w:pPr>
            <w:r w:rsidRPr="000928B5">
              <w:rPr>
                <w:rFonts w:ascii="標楷體" w:eastAsia="標楷體" w:hAnsi="標楷體" w:cs="細明體" w:hint="eastAsia"/>
                <w:kern w:val="0"/>
                <w:szCs w:val="24"/>
              </w:rPr>
              <w:t>第二類帳戶應以自然人憑證申辦，輔以視訊影像確認身分。經檢具</w:t>
            </w:r>
            <w:r w:rsidR="00596F39" w:rsidRPr="000A77ED">
              <w:rPr>
                <w:rFonts w:ascii="標楷體" w:eastAsia="標楷體" w:hAnsi="標楷體" w:cs="細明體" w:hint="eastAsia"/>
                <w:color w:val="000000" w:themeColor="text1"/>
                <w:kern w:val="0"/>
                <w:szCs w:val="24"/>
                <w:u w:val="single"/>
              </w:rPr>
              <w:t>委託</w:t>
            </w:r>
            <w:r w:rsidRPr="000A77ED">
              <w:rPr>
                <w:rFonts w:ascii="標楷體" w:eastAsia="標楷體" w:hAnsi="標楷體" w:cs="細明體" w:hint="eastAsia"/>
                <w:color w:val="000000" w:themeColor="text1"/>
                <w:kern w:val="0"/>
                <w:szCs w:val="24"/>
              </w:rPr>
              <w:t>人</w:t>
            </w:r>
            <w:r w:rsidRPr="000928B5">
              <w:rPr>
                <w:rFonts w:ascii="標楷體" w:eastAsia="標楷體" w:hAnsi="標楷體" w:cs="細明體" w:hint="eastAsia"/>
                <w:kern w:val="0"/>
                <w:szCs w:val="24"/>
              </w:rPr>
              <w:t>資力證明，得不受前項額度限制，由證券商確實按「中華</w:t>
            </w:r>
            <w:r w:rsidRPr="000928B5">
              <w:rPr>
                <w:rFonts w:ascii="標楷體" w:eastAsia="標楷體" w:hAnsi="標楷體" w:cs="細明體" w:hint="eastAsia"/>
                <w:kern w:val="0"/>
                <w:szCs w:val="24"/>
              </w:rPr>
              <w:lastRenderedPageBreak/>
              <w:t>民國證券商業同業公會會員辦理受託買賣業務瞭解委託人及徵信與額度管理自律規則」（下稱「徵信與額度管理自律規」），自行評估單日買賣最高額度。</w:t>
            </w:r>
          </w:p>
          <w:p w14:paraId="345A1A9D" w14:textId="77777777" w:rsidR="00DC01EE" w:rsidRPr="007A61EC" w:rsidRDefault="00DC01EE" w:rsidP="00DC01EE">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（第四項略）</w:t>
            </w:r>
          </w:p>
          <w:p w14:paraId="3B23B9DC" w14:textId="0537BA24" w:rsidR="000928B5" w:rsidRPr="007A61EC" w:rsidRDefault="005E05FD" w:rsidP="00DC3D76">
            <w:pPr>
              <w:pStyle w:val="HTML"/>
              <w:snapToGrid w:val="0"/>
              <w:spacing w:line="440" w:lineRule="exact"/>
              <w:ind w:firstLineChars="189" w:firstLine="454"/>
              <w:jc w:val="both"/>
              <w:rPr>
                <w:rFonts w:ascii="標楷體" w:eastAsia="標楷體" w:hAnsi="標楷體"/>
                <w:color w:val="auto"/>
              </w:rPr>
            </w:pPr>
            <w:r w:rsidRPr="005E05FD">
              <w:rPr>
                <w:rFonts w:ascii="標楷體" w:eastAsia="標楷體" w:hAnsi="標楷體" w:hint="eastAsia"/>
                <w:color w:val="000000" w:themeColor="text1"/>
                <w:u w:val="single"/>
              </w:rPr>
              <w:t>採線上開戶之公司單日買賣最高額度之評估，證券商應</w:t>
            </w:r>
            <w:r w:rsidR="000928B5" w:rsidRPr="00DC3D76">
              <w:rPr>
                <w:rFonts w:ascii="標楷體" w:eastAsia="標楷體" w:hAnsi="標楷體" w:hint="eastAsia"/>
                <w:color w:val="000000" w:themeColor="text1"/>
                <w:u w:val="single"/>
              </w:rPr>
              <w:t>以</w:t>
            </w:r>
            <w:r w:rsidR="00DC3D76" w:rsidRPr="00DC3D76">
              <w:rPr>
                <w:rFonts w:ascii="標楷體" w:eastAsia="標楷體" w:hAnsi="標楷體" w:hint="eastAsia"/>
                <w:color w:val="000000" w:themeColor="text1"/>
                <w:u w:val="single"/>
              </w:rPr>
              <w:t>開戶公司</w:t>
            </w:r>
            <w:r w:rsidR="000928B5" w:rsidRPr="00DC3D76">
              <w:rPr>
                <w:rFonts w:ascii="標楷體" w:eastAsia="標楷體" w:hAnsi="標楷體" w:hint="eastAsia"/>
                <w:color w:val="000000" w:themeColor="text1"/>
                <w:u w:val="single"/>
              </w:rPr>
              <w:t>負</w:t>
            </w:r>
            <w:r w:rsidR="000928B5" w:rsidRPr="009F39B1">
              <w:rPr>
                <w:rFonts w:ascii="標楷體" w:eastAsia="標楷體" w:hAnsi="標楷體" w:hint="eastAsia"/>
                <w:color w:val="000000" w:themeColor="text1"/>
                <w:u w:val="single"/>
              </w:rPr>
              <w:t>責人依第一項規定辦理。</w:t>
            </w:r>
          </w:p>
        </w:tc>
        <w:tc>
          <w:tcPr>
            <w:tcW w:w="3213" w:type="dxa"/>
          </w:tcPr>
          <w:p w14:paraId="4122CFBE" w14:textId="77777777" w:rsidR="000928B5" w:rsidRDefault="000928B5" w:rsidP="000928B5">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lastRenderedPageBreak/>
              <w:t>第三條</w:t>
            </w:r>
          </w:p>
          <w:p w14:paraId="1F5D7EC5" w14:textId="682F9A44" w:rsidR="002C44D1" w:rsidRDefault="002C44D1" w:rsidP="002C44D1">
            <w:pPr>
              <w:pStyle w:val="HTML"/>
              <w:snapToGrid w:val="0"/>
              <w:spacing w:line="440" w:lineRule="exact"/>
              <w:ind w:firstLineChars="211" w:firstLine="506"/>
              <w:jc w:val="both"/>
              <w:rPr>
                <w:rFonts w:ascii="標楷體" w:eastAsia="標楷體" w:hAnsi="標楷體"/>
                <w:color w:val="auto"/>
              </w:rPr>
            </w:pPr>
            <w:r w:rsidRPr="00DC01EE">
              <w:rPr>
                <w:rFonts w:ascii="標楷體" w:eastAsia="標楷體" w:hAnsi="標楷體" w:hint="eastAsia"/>
                <w:color w:val="auto"/>
              </w:rPr>
              <w:t>證券商應按線上開戶之身分認證程序及約定強度，決定該帳戶之類型並據以評估委託人單日買賣最高額度（參考附表）。</w:t>
            </w:r>
          </w:p>
          <w:p w14:paraId="60C6E083" w14:textId="2F5C13B4" w:rsidR="000928B5" w:rsidRPr="007A61EC" w:rsidRDefault="000928B5" w:rsidP="002C44D1">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w:t>
            </w:r>
            <w:r w:rsidRPr="006F2838">
              <w:rPr>
                <w:rFonts w:ascii="標楷體" w:eastAsia="標楷體" w:hAnsi="標楷體" w:hint="eastAsia"/>
                <w:color w:val="auto"/>
              </w:rPr>
              <w:t>第</w:t>
            </w:r>
            <w:r>
              <w:rPr>
                <w:rFonts w:ascii="標楷體" w:eastAsia="標楷體" w:hAnsi="標楷體" w:hint="eastAsia"/>
                <w:color w:val="auto"/>
              </w:rPr>
              <w:t>二項略)</w:t>
            </w:r>
          </w:p>
          <w:p w14:paraId="1515931B" w14:textId="77777777" w:rsidR="000928B5" w:rsidRDefault="000928B5" w:rsidP="002C4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51" w:firstLine="362"/>
              <w:rPr>
                <w:rFonts w:ascii="標楷體" w:eastAsia="標楷體" w:hAnsi="標楷體" w:cs="細明體"/>
                <w:kern w:val="0"/>
                <w:szCs w:val="24"/>
              </w:rPr>
            </w:pPr>
            <w:r w:rsidRPr="000928B5">
              <w:rPr>
                <w:rFonts w:ascii="標楷體" w:eastAsia="標楷體" w:hAnsi="標楷體" w:cs="細明體" w:hint="eastAsia"/>
                <w:kern w:val="0"/>
                <w:szCs w:val="24"/>
              </w:rPr>
              <w:t>第二類帳戶應以</w:t>
            </w:r>
            <w:r w:rsidRPr="00F44FD5">
              <w:rPr>
                <w:rFonts w:ascii="標楷體" w:eastAsia="標楷體" w:hAnsi="標楷體" w:cs="細明體" w:hint="eastAsia"/>
                <w:kern w:val="0"/>
                <w:szCs w:val="24"/>
              </w:rPr>
              <w:t>自然</w:t>
            </w:r>
            <w:r w:rsidRPr="000928B5">
              <w:rPr>
                <w:rFonts w:ascii="標楷體" w:eastAsia="標楷體" w:hAnsi="標楷體" w:cs="細明體" w:hint="eastAsia"/>
                <w:kern w:val="0"/>
                <w:szCs w:val="24"/>
              </w:rPr>
              <w:t>人憑證申辦，輔以視訊影像確認身分。經檢具</w:t>
            </w:r>
            <w:r w:rsidRPr="000A77ED">
              <w:rPr>
                <w:rFonts w:ascii="標楷體" w:eastAsia="標楷體" w:hAnsi="標楷體" w:cs="細明體" w:hint="eastAsia"/>
                <w:color w:val="000000" w:themeColor="text1"/>
                <w:kern w:val="0"/>
                <w:szCs w:val="24"/>
                <w:u w:val="single"/>
              </w:rPr>
              <w:t>個</w:t>
            </w:r>
            <w:r w:rsidRPr="000928B5">
              <w:rPr>
                <w:rFonts w:ascii="標楷體" w:eastAsia="標楷體" w:hAnsi="標楷體" w:cs="細明體" w:hint="eastAsia"/>
                <w:kern w:val="0"/>
                <w:szCs w:val="24"/>
              </w:rPr>
              <w:t>人資力證明，得不受前項額度限制，由證券商確實按「中華民國</w:t>
            </w:r>
            <w:r w:rsidRPr="000928B5">
              <w:rPr>
                <w:rFonts w:ascii="標楷體" w:eastAsia="標楷體" w:hAnsi="標楷體" w:cs="細明體" w:hint="eastAsia"/>
                <w:kern w:val="0"/>
                <w:szCs w:val="24"/>
              </w:rPr>
              <w:lastRenderedPageBreak/>
              <w:t>證券商業同業公會會員辦理受託買賣業務瞭解委託人及徵信與額度管理自律規則」（下稱「徵信與額度管理自律規」），自行評估單日買賣最高額度。</w:t>
            </w:r>
          </w:p>
          <w:p w14:paraId="649DF081" w14:textId="3B6A6B1C" w:rsidR="00DC01EE" w:rsidRPr="007A61EC" w:rsidRDefault="00DC01EE" w:rsidP="008E5F62">
            <w:pPr>
              <w:pStyle w:val="HTML"/>
              <w:snapToGrid w:val="0"/>
              <w:spacing w:line="440" w:lineRule="exact"/>
              <w:jc w:val="both"/>
              <w:rPr>
                <w:rFonts w:ascii="標楷體" w:eastAsia="標楷體" w:hAnsi="標楷體"/>
              </w:rPr>
            </w:pPr>
            <w:r>
              <w:rPr>
                <w:rFonts w:ascii="標楷體" w:eastAsia="標楷體" w:hAnsi="標楷體" w:hint="eastAsia"/>
                <w:color w:val="auto"/>
              </w:rPr>
              <w:t>（第四項略）</w:t>
            </w:r>
          </w:p>
        </w:tc>
        <w:tc>
          <w:tcPr>
            <w:tcW w:w="3214" w:type="dxa"/>
          </w:tcPr>
          <w:p w14:paraId="3D2722A8" w14:textId="5CE8274F" w:rsidR="002C44D1" w:rsidRDefault="002C44D1" w:rsidP="002C44D1">
            <w:pPr>
              <w:pStyle w:val="HTML"/>
              <w:snapToGrid w:val="0"/>
              <w:spacing w:line="440" w:lineRule="exact"/>
              <w:ind w:left="480" w:hangingChars="200" w:hanging="480"/>
              <w:jc w:val="both"/>
              <w:rPr>
                <w:rFonts w:ascii="標楷體" w:eastAsia="標楷體" w:hAnsi="標楷體"/>
                <w:color w:val="auto"/>
              </w:rPr>
            </w:pPr>
            <w:r>
              <w:rPr>
                <w:rFonts w:ascii="標楷體" w:eastAsia="標楷體" w:hAnsi="標楷體" w:hint="eastAsia"/>
                <w:color w:val="auto"/>
              </w:rPr>
              <w:lastRenderedPageBreak/>
              <w:t>一、證券商受理特定</w:t>
            </w:r>
            <w:r w:rsidRPr="005D7875">
              <w:rPr>
                <w:rFonts w:ascii="標楷體" w:eastAsia="標楷體" w:hAnsi="標楷體" w:hint="eastAsia"/>
                <w:color w:val="auto"/>
              </w:rPr>
              <w:t>法人採線上開</w:t>
            </w:r>
            <w:r>
              <w:rPr>
                <w:rFonts w:ascii="標楷體" w:eastAsia="標楷體" w:hAnsi="標楷體" w:hint="eastAsia"/>
                <w:color w:val="auto"/>
              </w:rPr>
              <w:t>戶</w:t>
            </w:r>
            <w:r w:rsidRPr="005D7875">
              <w:rPr>
                <w:rFonts w:ascii="標楷體" w:eastAsia="標楷體" w:hAnsi="標楷體" w:hint="eastAsia"/>
                <w:color w:val="auto"/>
              </w:rPr>
              <w:t>單日買賣最高額度</w:t>
            </w:r>
            <w:r>
              <w:rPr>
                <w:rFonts w:ascii="標楷體" w:eastAsia="標楷體" w:hAnsi="標楷體" w:hint="eastAsia"/>
                <w:color w:val="auto"/>
              </w:rPr>
              <w:t>之決定方式，為</w:t>
            </w:r>
            <w:r w:rsidRPr="0079150F">
              <w:rPr>
                <w:rFonts w:ascii="標楷體" w:eastAsia="標楷體" w:hAnsi="標楷體" w:hint="eastAsia"/>
                <w:color w:val="auto"/>
              </w:rPr>
              <w:t>依其負責人</w:t>
            </w:r>
            <w:r w:rsidRPr="006F2838">
              <w:rPr>
                <w:rFonts w:ascii="標楷體" w:eastAsia="標楷體" w:hAnsi="標楷體" w:hint="eastAsia"/>
                <w:color w:val="auto"/>
              </w:rPr>
              <w:t>按線上開戶之身分認證程序及約定強度，決定該帳戶之類型並據以評估委託人單日買賣最高額度</w:t>
            </w:r>
            <w:r>
              <w:rPr>
                <w:rFonts w:ascii="標楷體" w:eastAsia="標楷體" w:hAnsi="標楷體" w:hint="eastAsia"/>
                <w:color w:val="auto"/>
              </w:rPr>
              <w:t>，爰增</w:t>
            </w:r>
            <w:r w:rsidR="00FF0B0E">
              <w:rPr>
                <w:rFonts w:ascii="標楷體" w:eastAsia="標楷體" w:hAnsi="標楷體" w:hint="eastAsia"/>
                <w:color w:val="auto"/>
              </w:rPr>
              <w:t>訂</w:t>
            </w:r>
            <w:r>
              <w:rPr>
                <w:rFonts w:ascii="標楷體" w:eastAsia="標楷體" w:hAnsi="標楷體" w:hint="eastAsia"/>
                <w:color w:val="auto"/>
              </w:rPr>
              <w:t>第</w:t>
            </w:r>
            <w:r w:rsidR="00475665">
              <w:rPr>
                <w:rFonts w:ascii="標楷體" w:eastAsia="標楷體" w:hAnsi="標楷體" w:hint="eastAsia"/>
                <w:color w:val="auto"/>
              </w:rPr>
              <w:t>5</w:t>
            </w:r>
            <w:r>
              <w:rPr>
                <w:rFonts w:ascii="標楷體" w:eastAsia="標楷體" w:hAnsi="標楷體" w:hint="eastAsia"/>
                <w:color w:val="auto"/>
              </w:rPr>
              <w:t>項。</w:t>
            </w:r>
          </w:p>
          <w:p w14:paraId="1A207EED" w14:textId="49F93ADA" w:rsidR="000928B5" w:rsidRDefault="002C44D1" w:rsidP="001C78AA">
            <w:pPr>
              <w:pStyle w:val="HTML"/>
              <w:snapToGrid w:val="0"/>
              <w:spacing w:line="440" w:lineRule="exact"/>
              <w:ind w:left="480" w:hangingChars="200" w:hanging="480"/>
              <w:jc w:val="both"/>
              <w:rPr>
                <w:rFonts w:ascii="標楷體" w:eastAsia="標楷體" w:hAnsi="標楷體"/>
                <w:color w:val="auto"/>
              </w:rPr>
            </w:pPr>
            <w:r>
              <w:rPr>
                <w:rFonts w:ascii="標楷體" w:eastAsia="標楷體" w:hAnsi="標楷體" w:hint="eastAsia"/>
                <w:color w:val="auto"/>
              </w:rPr>
              <w:t>二、配合特定</w:t>
            </w:r>
            <w:r w:rsidRPr="005D7875">
              <w:rPr>
                <w:rFonts w:ascii="標楷體" w:eastAsia="標楷體" w:hAnsi="標楷體" w:hint="eastAsia"/>
                <w:color w:val="auto"/>
              </w:rPr>
              <w:t>法人</w:t>
            </w:r>
            <w:r>
              <w:rPr>
                <w:rFonts w:ascii="標楷體" w:eastAsia="標楷體" w:hAnsi="標楷體" w:hint="eastAsia"/>
                <w:color w:val="auto"/>
              </w:rPr>
              <w:t>得採</w:t>
            </w:r>
            <w:r w:rsidRPr="005D7875">
              <w:rPr>
                <w:rFonts w:ascii="標楷體" w:eastAsia="標楷體" w:hAnsi="標楷體" w:hint="eastAsia"/>
                <w:color w:val="auto"/>
              </w:rPr>
              <w:t>線上開</w:t>
            </w:r>
            <w:r>
              <w:rPr>
                <w:rFonts w:ascii="標楷體" w:eastAsia="標楷體" w:hAnsi="標楷體" w:hint="eastAsia"/>
                <w:color w:val="auto"/>
              </w:rPr>
              <w:t>戶，修正第</w:t>
            </w:r>
            <w:r w:rsidR="001C78AA">
              <w:rPr>
                <w:rFonts w:ascii="標楷體" w:eastAsia="標楷體" w:hAnsi="標楷體" w:hint="eastAsia"/>
                <w:color w:val="auto"/>
              </w:rPr>
              <w:t>3</w:t>
            </w:r>
            <w:r>
              <w:rPr>
                <w:rFonts w:ascii="標楷體" w:eastAsia="標楷體" w:hAnsi="標楷體" w:hint="eastAsia"/>
                <w:color w:val="auto"/>
              </w:rPr>
              <w:t>項部分文字。</w:t>
            </w:r>
          </w:p>
        </w:tc>
      </w:tr>
    </w:tbl>
    <w:p w14:paraId="55F3919F" w14:textId="3A92B6A9" w:rsidR="000A7F41" w:rsidRPr="000A7F41" w:rsidRDefault="00A12B78" w:rsidP="00A12B78">
      <w:pPr>
        <w:spacing w:line="440" w:lineRule="exact"/>
      </w:pPr>
      <w:bookmarkStart w:id="0" w:name="_GoBack"/>
      <w:bookmarkEnd w:id="0"/>
      <w:r w:rsidRPr="000A7F41">
        <w:t xml:space="preserve"> </w:t>
      </w:r>
    </w:p>
    <w:sectPr w:rsidR="000A7F41" w:rsidRPr="000A7F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95D2" w14:textId="77777777" w:rsidR="005B1548" w:rsidRDefault="005B1548" w:rsidP="00505ACC">
      <w:r>
        <w:separator/>
      </w:r>
    </w:p>
  </w:endnote>
  <w:endnote w:type="continuationSeparator" w:id="0">
    <w:p w14:paraId="72F008FE" w14:textId="77777777" w:rsidR="005B1548" w:rsidRDefault="005B1548" w:rsidP="0050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10 Pitch"/>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E46A" w14:textId="77777777" w:rsidR="005B1548" w:rsidRDefault="005B1548" w:rsidP="00505ACC">
      <w:r>
        <w:separator/>
      </w:r>
    </w:p>
  </w:footnote>
  <w:footnote w:type="continuationSeparator" w:id="0">
    <w:p w14:paraId="1D45A05B" w14:textId="77777777" w:rsidR="005B1548" w:rsidRDefault="005B1548" w:rsidP="0050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695"/>
    <w:multiLevelType w:val="hybridMultilevel"/>
    <w:tmpl w:val="AE2418E4"/>
    <w:lvl w:ilvl="0" w:tplc="FA7E6394">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932118"/>
    <w:multiLevelType w:val="hybridMultilevel"/>
    <w:tmpl w:val="02945856"/>
    <w:lvl w:ilvl="0" w:tplc="5B82ECDA">
      <w:start w:val="2"/>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47D69"/>
    <w:multiLevelType w:val="hybridMultilevel"/>
    <w:tmpl w:val="30C0866E"/>
    <w:lvl w:ilvl="0" w:tplc="9EDA899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3C36F8"/>
    <w:multiLevelType w:val="hybridMultilevel"/>
    <w:tmpl w:val="8DEAB3B8"/>
    <w:lvl w:ilvl="0" w:tplc="D4124FF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CA3BA2"/>
    <w:multiLevelType w:val="hybridMultilevel"/>
    <w:tmpl w:val="4698A222"/>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666C0B8E"/>
    <w:multiLevelType w:val="hybridMultilevel"/>
    <w:tmpl w:val="10F8387E"/>
    <w:lvl w:ilvl="0" w:tplc="B4CA387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46"/>
    <w:rsid w:val="000003CE"/>
    <w:rsid w:val="0001089C"/>
    <w:rsid w:val="00012754"/>
    <w:rsid w:val="00055929"/>
    <w:rsid w:val="00081B97"/>
    <w:rsid w:val="00084DE5"/>
    <w:rsid w:val="000928B5"/>
    <w:rsid w:val="00092D63"/>
    <w:rsid w:val="000A4EE7"/>
    <w:rsid w:val="000A77ED"/>
    <w:rsid w:val="000A7F41"/>
    <w:rsid w:val="000C7AC5"/>
    <w:rsid w:val="000E53C1"/>
    <w:rsid w:val="000F24E3"/>
    <w:rsid w:val="00100A86"/>
    <w:rsid w:val="00136C64"/>
    <w:rsid w:val="00153197"/>
    <w:rsid w:val="001B732B"/>
    <w:rsid w:val="001C78AA"/>
    <w:rsid w:val="0020264F"/>
    <w:rsid w:val="00206185"/>
    <w:rsid w:val="00264CFB"/>
    <w:rsid w:val="002A0A7D"/>
    <w:rsid w:val="002C44D1"/>
    <w:rsid w:val="002C4799"/>
    <w:rsid w:val="002F600B"/>
    <w:rsid w:val="00333F48"/>
    <w:rsid w:val="00352185"/>
    <w:rsid w:val="0037591E"/>
    <w:rsid w:val="003B40A7"/>
    <w:rsid w:val="003B4477"/>
    <w:rsid w:val="003D2B72"/>
    <w:rsid w:val="00404ACD"/>
    <w:rsid w:val="00413F4D"/>
    <w:rsid w:val="00432C72"/>
    <w:rsid w:val="00435A01"/>
    <w:rsid w:val="004619F8"/>
    <w:rsid w:val="00475665"/>
    <w:rsid w:val="0048514D"/>
    <w:rsid w:val="00493881"/>
    <w:rsid w:val="004A673E"/>
    <w:rsid w:val="004B1930"/>
    <w:rsid w:val="004B65DF"/>
    <w:rsid w:val="004D7230"/>
    <w:rsid w:val="004E65D6"/>
    <w:rsid w:val="00505ACC"/>
    <w:rsid w:val="00522CEE"/>
    <w:rsid w:val="00535EA3"/>
    <w:rsid w:val="005519D2"/>
    <w:rsid w:val="005543F8"/>
    <w:rsid w:val="005633EA"/>
    <w:rsid w:val="00582888"/>
    <w:rsid w:val="00596F39"/>
    <w:rsid w:val="005A515B"/>
    <w:rsid w:val="005B0CDB"/>
    <w:rsid w:val="005B1548"/>
    <w:rsid w:val="005B404C"/>
    <w:rsid w:val="005C4FCC"/>
    <w:rsid w:val="005D26EE"/>
    <w:rsid w:val="005D568F"/>
    <w:rsid w:val="005E05FD"/>
    <w:rsid w:val="00602406"/>
    <w:rsid w:val="00602858"/>
    <w:rsid w:val="006305B7"/>
    <w:rsid w:val="00632DA2"/>
    <w:rsid w:val="00663B94"/>
    <w:rsid w:val="00671043"/>
    <w:rsid w:val="00672FFA"/>
    <w:rsid w:val="0068592F"/>
    <w:rsid w:val="00691CA8"/>
    <w:rsid w:val="006A0230"/>
    <w:rsid w:val="006B2175"/>
    <w:rsid w:val="006B6604"/>
    <w:rsid w:val="006C20AA"/>
    <w:rsid w:val="006D27B5"/>
    <w:rsid w:val="006F34D4"/>
    <w:rsid w:val="0070340B"/>
    <w:rsid w:val="00707079"/>
    <w:rsid w:val="007075A6"/>
    <w:rsid w:val="00717091"/>
    <w:rsid w:val="00742B35"/>
    <w:rsid w:val="00747AC1"/>
    <w:rsid w:val="0076761D"/>
    <w:rsid w:val="007B3996"/>
    <w:rsid w:val="007E54F7"/>
    <w:rsid w:val="008040BA"/>
    <w:rsid w:val="00811627"/>
    <w:rsid w:val="00813816"/>
    <w:rsid w:val="00817960"/>
    <w:rsid w:val="00882002"/>
    <w:rsid w:val="00882FE1"/>
    <w:rsid w:val="008D39C3"/>
    <w:rsid w:val="008D696C"/>
    <w:rsid w:val="008E5F62"/>
    <w:rsid w:val="008F16BB"/>
    <w:rsid w:val="009103C8"/>
    <w:rsid w:val="009256A7"/>
    <w:rsid w:val="0094058A"/>
    <w:rsid w:val="009429FF"/>
    <w:rsid w:val="009664DB"/>
    <w:rsid w:val="00974FD6"/>
    <w:rsid w:val="009C667A"/>
    <w:rsid w:val="009F39B1"/>
    <w:rsid w:val="00A12B78"/>
    <w:rsid w:val="00AA45AC"/>
    <w:rsid w:val="00AB03E4"/>
    <w:rsid w:val="00AB37DB"/>
    <w:rsid w:val="00B361D0"/>
    <w:rsid w:val="00B37C45"/>
    <w:rsid w:val="00B47220"/>
    <w:rsid w:val="00BA4BAE"/>
    <w:rsid w:val="00C13945"/>
    <w:rsid w:val="00C7737A"/>
    <w:rsid w:val="00C84BC9"/>
    <w:rsid w:val="00C9591A"/>
    <w:rsid w:val="00CA6395"/>
    <w:rsid w:val="00CA6501"/>
    <w:rsid w:val="00CB1821"/>
    <w:rsid w:val="00CB25F4"/>
    <w:rsid w:val="00CD02C5"/>
    <w:rsid w:val="00CE3C4B"/>
    <w:rsid w:val="00D03954"/>
    <w:rsid w:val="00D32F42"/>
    <w:rsid w:val="00DA1EBA"/>
    <w:rsid w:val="00DB2A46"/>
    <w:rsid w:val="00DC01EE"/>
    <w:rsid w:val="00DC3C9E"/>
    <w:rsid w:val="00DC3D76"/>
    <w:rsid w:val="00DC7C3C"/>
    <w:rsid w:val="00DE262C"/>
    <w:rsid w:val="00E36D4A"/>
    <w:rsid w:val="00E44733"/>
    <w:rsid w:val="00E6781A"/>
    <w:rsid w:val="00E67DCB"/>
    <w:rsid w:val="00E842BF"/>
    <w:rsid w:val="00EA247B"/>
    <w:rsid w:val="00EC1E05"/>
    <w:rsid w:val="00F12F0F"/>
    <w:rsid w:val="00F171E6"/>
    <w:rsid w:val="00F3104F"/>
    <w:rsid w:val="00F44FD5"/>
    <w:rsid w:val="00F708F5"/>
    <w:rsid w:val="00F744D6"/>
    <w:rsid w:val="00FC34E9"/>
    <w:rsid w:val="00FC4968"/>
    <w:rsid w:val="00FC7FEC"/>
    <w:rsid w:val="00FF0B0E"/>
    <w:rsid w:val="00FF4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4FA76"/>
  <w15:chartTrackingRefBased/>
  <w15:docId w15:val="{6BA63FC4-50FA-48EE-A603-D3EFFA38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A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B2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DB2A46"/>
    <w:rPr>
      <w:rFonts w:ascii="細明體" w:eastAsia="細明體" w:hAnsi="細明體" w:cs="細明體"/>
      <w:color w:val="333333"/>
      <w:kern w:val="0"/>
      <w:szCs w:val="24"/>
    </w:rPr>
  </w:style>
  <w:style w:type="paragraph" w:styleId="a4">
    <w:name w:val="header"/>
    <w:basedOn w:val="a"/>
    <w:link w:val="a5"/>
    <w:uiPriority w:val="99"/>
    <w:unhideWhenUsed/>
    <w:rsid w:val="00505ACC"/>
    <w:pPr>
      <w:tabs>
        <w:tab w:val="center" w:pos="4153"/>
        <w:tab w:val="right" w:pos="8306"/>
      </w:tabs>
      <w:snapToGrid w:val="0"/>
    </w:pPr>
    <w:rPr>
      <w:sz w:val="20"/>
      <w:szCs w:val="20"/>
    </w:rPr>
  </w:style>
  <w:style w:type="character" w:customStyle="1" w:styleId="a5">
    <w:name w:val="頁首 字元"/>
    <w:basedOn w:val="a0"/>
    <w:link w:val="a4"/>
    <w:uiPriority w:val="99"/>
    <w:rsid w:val="00505ACC"/>
    <w:rPr>
      <w:sz w:val="20"/>
      <w:szCs w:val="20"/>
    </w:rPr>
  </w:style>
  <w:style w:type="paragraph" w:styleId="a6">
    <w:name w:val="footer"/>
    <w:basedOn w:val="a"/>
    <w:link w:val="a7"/>
    <w:uiPriority w:val="99"/>
    <w:unhideWhenUsed/>
    <w:rsid w:val="00505ACC"/>
    <w:pPr>
      <w:tabs>
        <w:tab w:val="center" w:pos="4153"/>
        <w:tab w:val="right" w:pos="8306"/>
      </w:tabs>
      <w:snapToGrid w:val="0"/>
    </w:pPr>
    <w:rPr>
      <w:sz w:val="20"/>
      <w:szCs w:val="20"/>
    </w:rPr>
  </w:style>
  <w:style w:type="character" w:customStyle="1" w:styleId="a7">
    <w:name w:val="頁尾 字元"/>
    <w:basedOn w:val="a0"/>
    <w:link w:val="a6"/>
    <w:uiPriority w:val="99"/>
    <w:rsid w:val="00505ACC"/>
    <w:rPr>
      <w:sz w:val="20"/>
      <w:szCs w:val="20"/>
    </w:rPr>
  </w:style>
  <w:style w:type="paragraph" w:styleId="a8">
    <w:name w:val="Balloon Text"/>
    <w:basedOn w:val="a"/>
    <w:link w:val="a9"/>
    <w:uiPriority w:val="99"/>
    <w:semiHidden/>
    <w:unhideWhenUsed/>
    <w:rsid w:val="00CA65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65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張翠蘭</dc:creator>
  <cp:keywords/>
  <dc:description/>
  <cp:lastModifiedBy>廖恩廷</cp:lastModifiedBy>
  <cp:revision>4</cp:revision>
  <cp:lastPrinted>2022-08-23T08:28:00Z</cp:lastPrinted>
  <dcterms:created xsi:type="dcterms:W3CDTF">2022-10-07T01:22:00Z</dcterms:created>
  <dcterms:modified xsi:type="dcterms:W3CDTF">2022-10-07T01:36:00Z</dcterms:modified>
</cp:coreProperties>
</file>