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C7C14" w14:textId="3F42022A" w:rsidR="00845DF2" w:rsidRDefault="001E2EF5" w:rsidP="00B77253">
      <w:pPr>
        <w:spacing w:line="440" w:lineRule="exact"/>
        <w:jc w:val="center"/>
        <w:rPr>
          <w:rFonts w:ascii="標楷體" w:eastAsia="標楷體" w:hAnsi="標楷體"/>
          <w:b/>
          <w:sz w:val="31"/>
          <w:szCs w:val="31"/>
        </w:rPr>
      </w:pPr>
      <w:bookmarkStart w:id="0" w:name="_Hlk93506119"/>
      <w:r>
        <w:rPr>
          <w:rFonts w:ascii="標楷體" w:eastAsia="標楷體" w:hAnsi="標楷體" w:hint="eastAsia"/>
          <w:b/>
          <w:sz w:val="31"/>
          <w:szCs w:val="31"/>
        </w:rPr>
        <w:t>臺灣證券交易所股份有限公司營業細則第五十八條</w:t>
      </w:r>
      <w:r w:rsidR="00000FFC">
        <w:rPr>
          <w:rFonts w:ascii="標楷體" w:eastAsia="標楷體" w:hAnsi="標楷體" w:hint="eastAsia"/>
          <w:b/>
          <w:sz w:val="31"/>
          <w:szCs w:val="31"/>
        </w:rPr>
        <w:t>之三</w:t>
      </w:r>
    </w:p>
    <w:p w14:paraId="59A9DAC8" w14:textId="2BEC4077" w:rsidR="00972B31" w:rsidRDefault="00B77253" w:rsidP="00B77253">
      <w:pPr>
        <w:spacing w:line="440" w:lineRule="exact"/>
        <w:jc w:val="center"/>
        <w:rPr>
          <w:rFonts w:ascii="標楷體" w:eastAsia="標楷體" w:hAnsi="標楷體"/>
          <w:b/>
          <w:sz w:val="31"/>
          <w:szCs w:val="31"/>
        </w:rPr>
      </w:pPr>
      <w:r w:rsidRPr="00692B09">
        <w:rPr>
          <w:rFonts w:ascii="標楷體" w:eastAsia="標楷體" w:hAnsi="標楷體" w:hint="eastAsia"/>
          <w:b/>
          <w:sz w:val="31"/>
          <w:szCs w:val="31"/>
        </w:rPr>
        <w:t>修正</w:t>
      </w:r>
      <w:r>
        <w:rPr>
          <w:rFonts w:ascii="標楷體" w:eastAsia="標楷體" w:hAnsi="標楷體" w:hint="eastAsia"/>
          <w:b/>
          <w:sz w:val="31"/>
          <w:szCs w:val="31"/>
        </w:rPr>
        <w:t>條文</w:t>
      </w:r>
      <w:r w:rsidRPr="00692B09">
        <w:rPr>
          <w:rFonts w:ascii="標楷體" w:eastAsia="標楷體" w:hAnsi="標楷體" w:hint="eastAsia"/>
          <w:b/>
          <w:sz w:val="31"/>
          <w:szCs w:val="31"/>
        </w:rPr>
        <w:t>對照表</w:t>
      </w:r>
    </w:p>
    <w:p w14:paraId="4710F86C" w14:textId="77777777" w:rsidR="00921D85" w:rsidRPr="00692B09" w:rsidRDefault="00921D85" w:rsidP="00B77253">
      <w:pPr>
        <w:spacing w:line="440" w:lineRule="exact"/>
        <w:jc w:val="center"/>
        <w:rPr>
          <w:rFonts w:ascii="標楷體" w:eastAsia="標楷體" w:hAnsi="標楷體"/>
          <w:b/>
          <w:sz w:val="31"/>
          <w:szCs w:val="31"/>
        </w:rPr>
      </w:pPr>
    </w:p>
    <w:tbl>
      <w:tblPr>
        <w:tblStyle w:val="a3"/>
        <w:tblW w:w="9640" w:type="dxa"/>
        <w:jc w:val="center"/>
        <w:tblLayout w:type="fixed"/>
        <w:tblLook w:val="04A0" w:firstRow="1" w:lastRow="0" w:firstColumn="1" w:lastColumn="0" w:noHBand="0" w:noVBand="1"/>
      </w:tblPr>
      <w:tblGrid>
        <w:gridCol w:w="3213"/>
        <w:gridCol w:w="3213"/>
        <w:gridCol w:w="3214"/>
      </w:tblGrid>
      <w:tr w:rsidR="00B77253" w:rsidRPr="000B2FA6" w14:paraId="2720DF2A" w14:textId="77777777" w:rsidTr="00370357">
        <w:trPr>
          <w:tblHeader/>
          <w:jc w:val="center"/>
        </w:trPr>
        <w:tc>
          <w:tcPr>
            <w:tcW w:w="3213" w:type="dxa"/>
          </w:tcPr>
          <w:p w14:paraId="3E0AD460" w14:textId="77777777" w:rsidR="00B77253" w:rsidRPr="000B2FA6" w:rsidRDefault="00B77253" w:rsidP="00F831E7">
            <w:pPr>
              <w:snapToGrid w:val="0"/>
              <w:spacing w:line="440" w:lineRule="exact"/>
              <w:ind w:firstLineChars="200" w:firstLine="480"/>
              <w:jc w:val="center"/>
              <w:rPr>
                <w:rFonts w:ascii="標楷體" w:eastAsia="標楷體" w:hAnsi="標楷體"/>
                <w:szCs w:val="24"/>
              </w:rPr>
            </w:pPr>
            <w:r w:rsidRPr="000B2FA6">
              <w:rPr>
                <w:rFonts w:ascii="標楷體" w:eastAsia="標楷體" w:hAnsi="標楷體" w:hint="eastAsia"/>
                <w:szCs w:val="24"/>
              </w:rPr>
              <w:t>修正條文</w:t>
            </w:r>
          </w:p>
        </w:tc>
        <w:tc>
          <w:tcPr>
            <w:tcW w:w="3213" w:type="dxa"/>
          </w:tcPr>
          <w:p w14:paraId="408234A7" w14:textId="77777777" w:rsidR="00B77253" w:rsidRPr="000B2FA6" w:rsidRDefault="00B77253" w:rsidP="00EF573E">
            <w:pPr>
              <w:snapToGrid w:val="0"/>
              <w:spacing w:line="440" w:lineRule="exact"/>
              <w:jc w:val="center"/>
              <w:rPr>
                <w:rFonts w:ascii="標楷體" w:eastAsia="標楷體" w:hAnsi="標楷體"/>
                <w:szCs w:val="24"/>
              </w:rPr>
            </w:pPr>
            <w:r w:rsidRPr="000B2FA6">
              <w:rPr>
                <w:rFonts w:ascii="標楷體" w:eastAsia="標楷體" w:hAnsi="標楷體" w:hint="eastAsia"/>
                <w:szCs w:val="24"/>
              </w:rPr>
              <w:t>現行條文</w:t>
            </w:r>
          </w:p>
        </w:tc>
        <w:tc>
          <w:tcPr>
            <w:tcW w:w="3214" w:type="dxa"/>
          </w:tcPr>
          <w:p w14:paraId="5E2AB2F9" w14:textId="292730FF" w:rsidR="00B77253" w:rsidRPr="000B2FA6" w:rsidRDefault="002147D1" w:rsidP="00EF573E">
            <w:pPr>
              <w:snapToGrid w:val="0"/>
              <w:spacing w:line="440" w:lineRule="exact"/>
              <w:jc w:val="center"/>
              <w:rPr>
                <w:rFonts w:ascii="標楷體" w:eastAsia="標楷體" w:hAnsi="標楷體"/>
                <w:szCs w:val="24"/>
              </w:rPr>
            </w:pPr>
            <w:r>
              <w:rPr>
                <w:rFonts w:ascii="標楷體" w:eastAsia="標楷體" w:hAnsi="標楷體" w:hint="eastAsia"/>
                <w:szCs w:val="24"/>
              </w:rPr>
              <w:t>說明</w:t>
            </w:r>
          </w:p>
        </w:tc>
      </w:tr>
      <w:bookmarkEnd w:id="0"/>
      <w:tr w:rsidR="004834D1" w:rsidRPr="00D851E5" w14:paraId="3EA9A3D0" w14:textId="77777777" w:rsidTr="00370357">
        <w:trPr>
          <w:jc w:val="center"/>
        </w:trPr>
        <w:tc>
          <w:tcPr>
            <w:tcW w:w="3213" w:type="dxa"/>
          </w:tcPr>
          <w:p w14:paraId="0FE8E86A" w14:textId="4D8F4412" w:rsidR="004834D1" w:rsidRPr="00722421" w:rsidRDefault="004834D1" w:rsidP="004834D1">
            <w:pPr>
              <w:pStyle w:val="HTML"/>
              <w:snapToGrid w:val="0"/>
              <w:spacing w:line="440" w:lineRule="exact"/>
              <w:jc w:val="both"/>
              <w:rPr>
                <w:rFonts w:ascii="標楷體" w:eastAsia="標楷體" w:hAnsi="標楷體"/>
                <w:color w:val="auto"/>
              </w:rPr>
            </w:pPr>
            <w:r w:rsidRPr="00722421">
              <w:rPr>
                <w:rFonts w:ascii="標楷體" w:eastAsia="標楷體" w:hAnsi="標楷體" w:hint="eastAsia"/>
                <w:color w:val="auto"/>
              </w:rPr>
              <w:t>第</w:t>
            </w:r>
            <w:r>
              <w:rPr>
                <w:rFonts w:ascii="標楷體" w:eastAsia="標楷體" w:hAnsi="標楷體" w:hint="eastAsia"/>
                <w:color w:val="auto"/>
              </w:rPr>
              <w:t>五十八</w:t>
            </w:r>
            <w:r w:rsidRPr="00722421">
              <w:rPr>
                <w:rFonts w:ascii="標楷體" w:eastAsia="標楷體" w:hAnsi="標楷體" w:hint="eastAsia"/>
                <w:color w:val="auto"/>
              </w:rPr>
              <w:t>條</w:t>
            </w:r>
            <w:r w:rsidR="00000FFC">
              <w:rPr>
                <w:rFonts w:ascii="標楷體" w:eastAsia="標楷體" w:hAnsi="標楷體" w:hint="eastAsia"/>
                <w:color w:val="auto"/>
              </w:rPr>
              <w:t>之三</w:t>
            </w:r>
          </w:p>
          <w:p w14:paraId="7528EB51" w14:textId="7EF1E239" w:rsidR="004834D1" w:rsidRPr="00722421" w:rsidRDefault="004834D1" w:rsidP="004834D1">
            <w:pPr>
              <w:pStyle w:val="HTML"/>
              <w:snapToGrid w:val="0"/>
              <w:spacing w:line="440" w:lineRule="exact"/>
              <w:rPr>
                <w:rFonts w:ascii="標楷體" w:eastAsia="標楷體" w:hAnsi="標楷體"/>
                <w:color w:val="auto"/>
              </w:rPr>
            </w:pPr>
            <w:r w:rsidRPr="00722421">
              <w:rPr>
                <w:rFonts w:ascii="標楷體" w:eastAsia="標楷體" w:hAnsi="標楷體" w:hint="eastAsia"/>
                <w:color w:val="auto"/>
              </w:rPr>
              <w:t>(第一項至</w:t>
            </w:r>
            <w:proofErr w:type="gramStart"/>
            <w:r w:rsidRPr="00722421">
              <w:rPr>
                <w:rFonts w:ascii="標楷體" w:eastAsia="標楷體" w:hAnsi="標楷體" w:hint="eastAsia"/>
                <w:color w:val="auto"/>
              </w:rPr>
              <w:t>第</w:t>
            </w:r>
            <w:r>
              <w:rPr>
                <w:rFonts w:ascii="標楷體" w:eastAsia="標楷體" w:hAnsi="標楷體" w:hint="eastAsia"/>
                <w:color w:val="auto"/>
              </w:rPr>
              <w:t>七</w:t>
            </w:r>
            <w:r w:rsidRPr="00722421">
              <w:rPr>
                <w:rFonts w:ascii="標楷體" w:eastAsia="標楷體" w:hAnsi="標楷體" w:hint="eastAsia"/>
                <w:color w:val="auto"/>
              </w:rPr>
              <w:t>項</w:t>
            </w:r>
            <w:r w:rsidR="00000FFC">
              <w:rPr>
                <w:rFonts w:ascii="標楷體" w:eastAsia="標楷體" w:hAnsi="標楷體" w:hint="eastAsia"/>
                <w:color w:val="auto"/>
              </w:rPr>
              <w:t>略</w:t>
            </w:r>
            <w:proofErr w:type="gramEnd"/>
            <w:r w:rsidRPr="00722421">
              <w:rPr>
                <w:rFonts w:ascii="標楷體" w:eastAsia="標楷體" w:hAnsi="標楷體" w:hint="eastAsia"/>
                <w:color w:val="auto"/>
              </w:rPr>
              <w:t>)</w:t>
            </w:r>
          </w:p>
          <w:p w14:paraId="39518CC2" w14:textId="51B6ED41" w:rsidR="004834D1" w:rsidRPr="00722421" w:rsidRDefault="004834D1" w:rsidP="00AE2090">
            <w:pPr>
              <w:pStyle w:val="HTML"/>
              <w:snapToGrid w:val="0"/>
              <w:spacing w:line="440" w:lineRule="exact"/>
              <w:ind w:firstLineChars="200" w:firstLine="480"/>
              <w:jc w:val="both"/>
              <w:rPr>
                <w:rFonts w:ascii="標楷體" w:eastAsia="標楷體" w:hAnsi="標楷體"/>
                <w:color w:val="auto"/>
              </w:rPr>
            </w:pPr>
            <w:r w:rsidRPr="00174ADB">
              <w:rPr>
                <w:rFonts w:ascii="標楷體" w:eastAsia="標楷體" w:hAnsi="標楷體" w:hint="eastAsia"/>
                <w:color w:val="auto"/>
              </w:rPr>
              <w:t>有價證券開市或收市前一分鐘，如任一次與其前一次之試算成交價格</w:t>
            </w:r>
            <w:proofErr w:type="gramStart"/>
            <w:r w:rsidRPr="00174ADB">
              <w:rPr>
                <w:rFonts w:ascii="標楷體" w:eastAsia="標楷體" w:hAnsi="標楷體" w:hint="eastAsia"/>
                <w:color w:val="auto"/>
              </w:rPr>
              <w:t>漲跌超逾</w:t>
            </w:r>
            <w:proofErr w:type="gramEnd"/>
            <w:r w:rsidRPr="00174ADB">
              <w:rPr>
                <w:rFonts w:ascii="標楷體" w:eastAsia="標楷體" w:hAnsi="標楷體" w:hint="eastAsia"/>
                <w:color w:val="auto"/>
              </w:rPr>
              <w:t>百分之三點五</w:t>
            </w:r>
            <w:proofErr w:type="gramStart"/>
            <w:r w:rsidRPr="00174ADB">
              <w:rPr>
                <w:rFonts w:ascii="標楷體" w:eastAsia="標楷體" w:hAnsi="標楷體" w:hint="eastAsia"/>
                <w:color w:val="auto"/>
              </w:rPr>
              <w:t>（</w:t>
            </w:r>
            <w:proofErr w:type="gramEnd"/>
            <w:r w:rsidRPr="00174ADB">
              <w:rPr>
                <w:rFonts w:ascii="標楷體" w:eastAsia="標楷體" w:hAnsi="標楷體" w:hint="eastAsia"/>
                <w:color w:val="auto"/>
              </w:rPr>
              <w:t>開市前之三十分鐘如無前一次試算成交價，則以開盤競價基準為</w:t>
            </w:r>
            <w:proofErr w:type="gramStart"/>
            <w:r w:rsidRPr="00174ADB">
              <w:rPr>
                <w:rFonts w:ascii="標楷體" w:eastAsia="標楷體" w:hAnsi="標楷體" w:hint="eastAsia"/>
                <w:color w:val="auto"/>
              </w:rPr>
              <w:t>準</w:t>
            </w:r>
            <w:proofErr w:type="gramEnd"/>
            <w:r w:rsidRPr="00174ADB">
              <w:rPr>
                <w:rFonts w:ascii="標楷體" w:eastAsia="標楷體" w:hAnsi="標楷體" w:hint="eastAsia"/>
                <w:color w:val="auto"/>
              </w:rPr>
              <w:t>；收市前一段時間如無前一次試算成交價，則以最近一次成交價為</w:t>
            </w:r>
            <w:proofErr w:type="gramStart"/>
            <w:r w:rsidRPr="00174ADB">
              <w:rPr>
                <w:rFonts w:ascii="標楷體" w:eastAsia="標楷體" w:hAnsi="標楷體" w:hint="eastAsia"/>
                <w:color w:val="auto"/>
              </w:rPr>
              <w:t>準</w:t>
            </w:r>
            <w:proofErr w:type="gramEnd"/>
            <w:r w:rsidRPr="00174ADB">
              <w:rPr>
                <w:rFonts w:ascii="標楷體" w:eastAsia="標楷體" w:hAnsi="標楷體" w:hint="eastAsia"/>
                <w:color w:val="auto"/>
              </w:rPr>
              <w:t>，如仍無最近一次成交價，則以開盤競價基準為</w:t>
            </w:r>
            <w:proofErr w:type="gramStart"/>
            <w:r w:rsidRPr="00174ADB">
              <w:rPr>
                <w:rFonts w:ascii="標楷體" w:eastAsia="標楷體" w:hAnsi="標楷體" w:hint="eastAsia"/>
                <w:color w:val="auto"/>
              </w:rPr>
              <w:t>準）</w:t>
            </w:r>
            <w:proofErr w:type="gramEnd"/>
            <w:r w:rsidR="004D1884">
              <w:rPr>
                <w:rFonts w:ascii="標楷體" w:eastAsia="標楷體" w:hAnsi="標楷體" w:hint="eastAsia"/>
                <w:color w:val="FF0000"/>
                <w:u w:val="single"/>
              </w:rPr>
              <w:t>，或</w:t>
            </w:r>
            <w:r w:rsidRPr="00113E19">
              <w:rPr>
                <w:rFonts w:ascii="標楷體" w:eastAsia="標楷體" w:hAnsi="標楷體" w:hint="eastAsia"/>
                <w:color w:val="FF0000"/>
                <w:u w:val="single"/>
              </w:rPr>
              <w:t>開市前一分鐘</w:t>
            </w:r>
            <w:r w:rsidR="00AE2090">
              <w:rPr>
                <w:rFonts w:ascii="標楷體" w:eastAsia="標楷體" w:hAnsi="標楷體" w:hint="eastAsia"/>
                <w:color w:val="FF0000"/>
                <w:u w:val="single"/>
              </w:rPr>
              <w:t>取消</w:t>
            </w:r>
            <w:r w:rsidR="000C789C">
              <w:rPr>
                <w:rFonts w:ascii="標楷體" w:eastAsia="標楷體" w:hAnsi="標楷體" w:hint="eastAsia"/>
                <w:color w:val="FF0000"/>
                <w:u w:val="single"/>
              </w:rPr>
              <w:t>及</w:t>
            </w:r>
            <w:r w:rsidRPr="00113E19">
              <w:rPr>
                <w:rFonts w:ascii="標楷體" w:eastAsia="標楷體" w:hAnsi="標楷體" w:hint="eastAsia"/>
                <w:color w:val="FF0000"/>
                <w:u w:val="single"/>
              </w:rPr>
              <w:t>變更</w:t>
            </w:r>
            <w:r>
              <w:rPr>
                <w:rFonts w:ascii="標楷體" w:eastAsia="標楷體" w:hAnsi="標楷體" w:hint="eastAsia"/>
                <w:color w:val="FF0000"/>
                <w:u w:val="single"/>
              </w:rPr>
              <w:t>買賣</w:t>
            </w:r>
            <w:r w:rsidRPr="00113E19">
              <w:rPr>
                <w:rFonts w:ascii="標楷體" w:eastAsia="標楷體" w:hAnsi="標楷體" w:hint="eastAsia"/>
                <w:color w:val="FF0000"/>
                <w:u w:val="single"/>
              </w:rPr>
              <w:t>申報</w:t>
            </w:r>
            <w:r>
              <w:rPr>
                <w:rFonts w:ascii="標楷體" w:eastAsia="標楷體" w:hAnsi="標楷體" w:hint="eastAsia"/>
                <w:color w:val="FF0000"/>
                <w:u w:val="single"/>
              </w:rPr>
              <w:t>數量</w:t>
            </w:r>
            <w:r w:rsidRPr="00113E19">
              <w:rPr>
                <w:rFonts w:ascii="標楷體" w:eastAsia="標楷體" w:hAnsi="標楷體" w:hint="eastAsia"/>
                <w:color w:val="FF0000"/>
                <w:u w:val="single"/>
              </w:rPr>
              <w:t>達</w:t>
            </w:r>
            <w:r>
              <w:rPr>
                <w:rFonts w:ascii="標楷體" w:eastAsia="標楷體" w:hAnsi="標楷體" w:hint="eastAsia"/>
                <w:color w:val="FF0000"/>
                <w:u w:val="single"/>
              </w:rPr>
              <w:t>開</w:t>
            </w:r>
            <w:proofErr w:type="gramStart"/>
            <w:r>
              <w:rPr>
                <w:rFonts w:ascii="標楷體" w:eastAsia="標楷體" w:hAnsi="標楷體" w:hint="eastAsia"/>
                <w:color w:val="FF0000"/>
                <w:u w:val="single"/>
              </w:rPr>
              <w:t>巿</w:t>
            </w:r>
            <w:proofErr w:type="gramEnd"/>
            <w:r>
              <w:rPr>
                <w:rFonts w:ascii="標楷體" w:eastAsia="標楷體" w:hAnsi="標楷體" w:hint="eastAsia"/>
                <w:color w:val="FF0000"/>
                <w:u w:val="single"/>
              </w:rPr>
              <w:t>前買賣申報數量</w:t>
            </w:r>
            <w:r w:rsidR="00304E9E">
              <w:rPr>
                <w:rFonts w:ascii="標楷體" w:eastAsia="標楷體" w:hAnsi="標楷體" w:hint="eastAsia"/>
                <w:color w:val="FF0000"/>
                <w:u w:val="single"/>
              </w:rPr>
              <w:t>之</w:t>
            </w:r>
            <w:r w:rsidR="000C07A7">
              <w:rPr>
                <w:rFonts w:ascii="標楷體" w:eastAsia="標楷體" w:hAnsi="標楷體" w:hint="eastAsia"/>
                <w:color w:val="FF0000"/>
                <w:u w:val="single"/>
              </w:rPr>
              <w:t>百分之三十以上</w:t>
            </w:r>
            <w:r w:rsidRPr="00113E19">
              <w:rPr>
                <w:rFonts w:ascii="標楷體" w:eastAsia="標楷體" w:hAnsi="標楷體" w:hint="eastAsia"/>
                <w:color w:val="FF0000"/>
                <w:u w:val="single"/>
              </w:rPr>
              <w:t>時</w:t>
            </w:r>
            <w:r w:rsidRPr="00722421">
              <w:rPr>
                <w:rFonts w:ascii="標楷體" w:eastAsia="標楷體" w:hAnsi="標楷體" w:hint="eastAsia"/>
                <w:color w:val="auto"/>
              </w:rPr>
              <w:t>，</w:t>
            </w:r>
            <w:r w:rsidRPr="00174ADB">
              <w:rPr>
                <w:rFonts w:ascii="標楷體" w:eastAsia="標楷體" w:hAnsi="標楷體" w:hint="eastAsia"/>
                <w:color w:val="auto"/>
              </w:rPr>
              <w:t>該有價證券暫緩當市第一次撮合或收市撮合。暫緩當市第一次撮合之有價證券，延緩二分鐘後依序撮合成交。暫緩收市撮合之有價證券，於一時三十一分起至一時三十三分繼續接受其買賣申報之輸入、取消及變更，</w:t>
            </w:r>
            <w:proofErr w:type="gramStart"/>
            <w:r w:rsidRPr="00174ADB">
              <w:rPr>
                <w:rFonts w:ascii="標楷體" w:eastAsia="標楷體" w:hAnsi="標楷體" w:hint="eastAsia"/>
                <w:color w:val="auto"/>
              </w:rPr>
              <w:t>俟</w:t>
            </w:r>
            <w:proofErr w:type="gramEnd"/>
            <w:r w:rsidRPr="00174ADB">
              <w:rPr>
                <w:rFonts w:ascii="標楷體" w:eastAsia="標楷體" w:hAnsi="標楷體" w:hint="eastAsia"/>
                <w:color w:val="auto"/>
              </w:rPr>
              <w:t>一時三十三分依序撮合成交。但當市開盤競價基準低於一元之有價證券、認購（售）權證及分離後認股權憑證，不在此限。</w:t>
            </w:r>
          </w:p>
        </w:tc>
        <w:tc>
          <w:tcPr>
            <w:tcW w:w="3213" w:type="dxa"/>
          </w:tcPr>
          <w:p w14:paraId="3A1E7FF2" w14:textId="21F239BE" w:rsidR="004834D1" w:rsidRPr="00722421" w:rsidRDefault="004834D1" w:rsidP="004834D1">
            <w:pPr>
              <w:pStyle w:val="HTML"/>
              <w:snapToGrid w:val="0"/>
              <w:spacing w:line="440" w:lineRule="exact"/>
              <w:jc w:val="both"/>
              <w:rPr>
                <w:rFonts w:ascii="標楷體" w:eastAsia="標楷體" w:hAnsi="標楷體"/>
                <w:color w:val="auto"/>
              </w:rPr>
            </w:pPr>
            <w:r w:rsidRPr="00722421">
              <w:rPr>
                <w:rFonts w:ascii="標楷體" w:eastAsia="標楷體" w:hAnsi="標楷體" w:hint="eastAsia"/>
                <w:color w:val="auto"/>
              </w:rPr>
              <w:t>第</w:t>
            </w:r>
            <w:r>
              <w:rPr>
                <w:rFonts w:ascii="標楷體" w:eastAsia="標楷體" w:hAnsi="標楷體" w:hint="eastAsia"/>
                <w:color w:val="auto"/>
              </w:rPr>
              <w:t>五十八</w:t>
            </w:r>
            <w:r w:rsidRPr="00722421">
              <w:rPr>
                <w:rFonts w:ascii="標楷體" w:eastAsia="標楷體" w:hAnsi="標楷體" w:hint="eastAsia"/>
                <w:color w:val="auto"/>
              </w:rPr>
              <w:t>條</w:t>
            </w:r>
            <w:r w:rsidR="00000FFC">
              <w:rPr>
                <w:rFonts w:ascii="標楷體" w:eastAsia="標楷體" w:hAnsi="標楷體" w:hint="eastAsia"/>
                <w:color w:val="auto"/>
              </w:rPr>
              <w:t>之三</w:t>
            </w:r>
          </w:p>
          <w:p w14:paraId="3F1F4A0B" w14:textId="7D698210" w:rsidR="004834D1" w:rsidRPr="00722421" w:rsidRDefault="004834D1" w:rsidP="004834D1">
            <w:pPr>
              <w:pStyle w:val="HTML"/>
              <w:snapToGrid w:val="0"/>
              <w:spacing w:line="440" w:lineRule="exact"/>
              <w:rPr>
                <w:rFonts w:ascii="標楷體" w:eastAsia="標楷體" w:hAnsi="標楷體"/>
                <w:color w:val="auto"/>
              </w:rPr>
            </w:pPr>
            <w:r w:rsidRPr="00722421">
              <w:rPr>
                <w:rFonts w:ascii="標楷體" w:eastAsia="標楷體" w:hAnsi="標楷體" w:hint="eastAsia"/>
                <w:color w:val="auto"/>
              </w:rPr>
              <w:t>(第一項至</w:t>
            </w:r>
            <w:proofErr w:type="gramStart"/>
            <w:r w:rsidRPr="00722421">
              <w:rPr>
                <w:rFonts w:ascii="標楷體" w:eastAsia="標楷體" w:hAnsi="標楷體" w:hint="eastAsia"/>
                <w:color w:val="auto"/>
              </w:rPr>
              <w:t>第</w:t>
            </w:r>
            <w:r>
              <w:rPr>
                <w:rFonts w:ascii="標楷體" w:eastAsia="標楷體" w:hAnsi="標楷體" w:hint="eastAsia"/>
                <w:color w:val="auto"/>
              </w:rPr>
              <w:t>七</w:t>
            </w:r>
            <w:r w:rsidRPr="00722421">
              <w:rPr>
                <w:rFonts w:ascii="標楷體" w:eastAsia="標楷體" w:hAnsi="標楷體" w:hint="eastAsia"/>
                <w:color w:val="auto"/>
              </w:rPr>
              <w:t>項</w:t>
            </w:r>
            <w:r w:rsidR="00000FFC">
              <w:rPr>
                <w:rFonts w:ascii="標楷體" w:eastAsia="標楷體" w:hAnsi="標楷體" w:hint="eastAsia"/>
                <w:color w:val="auto"/>
              </w:rPr>
              <w:t>略</w:t>
            </w:r>
            <w:proofErr w:type="gramEnd"/>
            <w:r w:rsidRPr="00722421">
              <w:rPr>
                <w:rFonts w:ascii="標楷體" w:eastAsia="標楷體" w:hAnsi="標楷體" w:hint="eastAsia"/>
                <w:color w:val="auto"/>
              </w:rPr>
              <w:t>)</w:t>
            </w:r>
          </w:p>
          <w:p w14:paraId="0891C3F9" w14:textId="2B6970FC" w:rsidR="004834D1" w:rsidRPr="00722421" w:rsidRDefault="004834D1" w:rsidP="004834D1">
            <w:pPr>
              <w:pStyle w:val="HTML"/>
              <w:snapToGrid w:val="0"/>
              <w:spacing w:line="440" w:lineRule="exact"/>
              <w:ind w:firstLineChars="200" w:firstLine="480"/>
              <w:jc w:val="both"/>
              <w:rPr>
                <w:rFonts w:ascii="標楷體" w:eastAsia="標楷體" w:hAnsi="標楷體"/>
                <w:color w:val="auto"/>
              </w:rPr>
            </w:pPr>
            <w:r w:rsidRPr="00174ADB">
              <w:rPr>
                <w:rFonts w:ascii="標楷體" w:eastAsia="標楷體" w:hAnsi="標楷體" w:hint="eastAsia"/>
                <w:color w:val="auto"/>
              </w:rPr>
              <w:t>有價證券開市或收市前一分鐘，如任一次與其前一次之試算成交價格</w:t>
            </w:r>
            <w:proofErr w:type="gramStart"/>
            <w:r w:rsidRPr="00174ADB">
              <w:rPr>
                <w:rFonts w:ascii="標楷體" w:eastAsia="標楷體" w:hAnsi="標楷體" w:hint="eastAsia"/>
                <w:color w:val="auto"/>
              </w:rPr>
              <w:t>漲跌超逾</w:t>
            </w:r>
            <w:proofErr w:type="gramEnd"/>
            <w:r w:rsidRPr="00174ADB">
              <w:rPr>
                <w:rFonts w:ascii="標楷體" w:eastAsia="標楷體" w:hAnsi="標楷體" w:hint="eastAsia"/>
                <w:color w:val="auto"/>
              </w:rPr>
              <w:t>百分之三點五</w:t>
            </w:r>
            <w:r w:rsidRPr="00E60573">
              <w:rPr>
                <w:rFonts w:ascii="標楷體" w:eastAsia="標楷體" w:hAnsi="標楷體" w:hint="eastAsia"/>
                <w:color w:val="FF0000"/>
                <w:u w:val="single"/>
              </w:rPr>
              <w:t>時</w:t>
            </w:r>
            <w:proofErr w:type="gramStart"/>
            <w:r w:rsidRPr="00174ADB">
              <w:rPr>
                <w:rFonts w:ascii="標楷體" w:eastAsia="標楷體" w:hAnsi="標楷體" w:hint="eastAsia"/>
                <w:color w:val="auto"/>
              </w:rPr>
              <w:t>（</w:t>
            </w:r>
            <w:proofErr w:type="gramEnd"/>
            <w:r w:rsidRPr="00174ADB">
              <w:rPr>
                <w:rFonts w:ascii="標楷體" w:eastAsia="標楷體" w:hAnsi="標楷體" w:hint="eastAsia"/>
                <w:color w:val="auto"/>
              </w:rPr>
              <w:t>開市前之三十分鐘如無前一次試算成交價，則以開盤競價基準為</w:t>
            </w:r>
            <w:proofErr w:type="gramStart"/>
            <w:r w:rsidRPr="00174ADB">
              <w:rPr>
                <w:rFonts w:ascii="標楷體" w:eastAsia="標楷體" w:hAnsi="標楷體" w:hint="eastAsia"/>
                <w:color w:val="auto"/>
              </w:rPr>
              <w:t>準</w:t>
            </w:r>
            <w:proofErr w:type="gramEnd"/>
            <w:r w:rsidRPr="00174ADB">
              <w:rPr>
                <w:rFonts w:ascii="標楷體" w:eastAsia="標楷體" w:hAnsi="標楷體" w:hint="eastAsia"/>
                <w:color w:val="auto"/>
              </w:rPr>
              <w:t>；收市前一段時間如無前一次試算成交價，則以最近一次成交價為</w:t>
            </w:r>
            <w:proofErr w:type="gramStart"/>
            <w:r w:rsidRPr="00174ADB">
              <w:rPr>
                <w:rFonts w:ascii="標楷體" w:eastAsia="標楷體" w:hAnsi="標楷體" w:hint="eastAsia"/>
                <w:color w:val="auto"/>
              </w:rPr>
              <w:t>準</w:t>
            </w:r>
            <w:proofErr w:type="gramEnd"/>
            <w:r w:rsidRPr="00174ADB">
              <w:rPr>
                <w:rFonts w:ascii="標楷體" w:eastAsia="標楷體" w:hAnsi="標楷體" w:hint="eastAsia"/>
                <w:color w:val="auto"/>
              </w:rPr>
              <w:t>，如仍無最近一次成交價，則以開盤競價基準為</w:t>
            </w:r>
            <w:proofErr w:type="gramStart"/>
            <w:r w:rsidRPr="00174ADB">
              <w:rPr>
                <w:rFonts w:ascii="標楷體" w:eastAsia="標楷體" w:hAnsi="標楷體" w:hint="eastAsia"/>
                <w:color w:val="auto"/>
              </w:rPr>
              <w:t>準）</w:t>
            </w:r>
            <w:proofErr w:type="gramEnd"/>
            <w:r w:rsidRPr="00174ADB">
              <w:rPr>
                <w:rFonts w:ascii="標楷體" w:eastAsia="標楷體" w:hAnsi="標楷體" w:hint="eastAsia"/>
                <w:color w:val="auto"/>
              </w:rPr>
              <w:t>，該有價證券暫緩當市第一次撮合或收市撮合。暫緩當市第一次撮合之有價證券，延緩二分鐘後依序撮合成交。暫緩收市撮合之有價證券，於一時三十一分起至一時三十三分繼續接受其買賣申報之輸入、取消及變更，</w:t>
            </w:r>
            <w:proofErr w:type="gramStart"/>
            <w:r w:rsidRPr="00174ADB">
              <w:rPr>
                <w:rFonts w:ascii="標楷體" w:eastAsia="標楷體" w:hAnsi="標楷體" w:hint="eastAsia"/>
                <w:color w:val="auto"/>
              </w:rPr>
              <w:t>俟</w:t>
            </w:r>
            <w:proofErr w:type="gramEnd"/>
            <w:r w:rsidRPr="00174ADB">
              <w:rPr>
                <w:rFonts w:ascii="標楷體" w:eastAsia="標楷體" w:hAnsi="標楷體" w:hint="eastAsia"/>
                <w:color w:val="auto"/>
              </w:rPr>
              <w:t>一時三十三分依序撮合成交。但當市開盤競價基準低於一元之有價證券、認購（售）權證及分離後認股權憑證，不在此限。</w:t>
            </w:r>
          </w:p>
        </w:tc>
        <w:tc>
          <w:tcPr>
            <w:tcW w:w="3214" w:type="dxa"/>
          </w:tcPr>
          <w:p w14:paraId="5B17E499" w14:textId="007BD47A" w:rsidR="004834D1" w:rsidRPr="00AF35F4" w:rsidRDefault="003B53DA" w:rsidP="00C44BAF">
            <w:pPr>
              <w:pStyle w:val="HTML"/>
              <w:snapToGrid w:val="0"/>
              <w:spacing w:line="440" w:lineRule="exact"/>
              <w:jc w:val="both"/>
              <w:rPr>
                <w:rFonts w:ascii="標楷體" w:eastAsia="標楷體" w:hAnsi="標楷體"/>
                <w:color w:val="auto"/>
              </w:rPr>
            </w:pPr>
            <w:r w:rsidRPr="003B53DA">
              <w:rPr>
                <w:rFonts w:ascii="標楷體" w:eastAsia="標楷體" w:hAnsi="標楷體" w:hint="eastAsia"/>
                <w:color w:val="auto"/>
              </w:rPr>
              <w:t>為避免開盤前出現大量委託後撤銷委託影響投資人對市場行情之判斷</w:t>
            </w:r>
            <w:r w:rsidR="004834D1" w:rsidRPr="0014028F">
              <w:rPr>
                <w:rFonts w:ascii="標楷體" w:eastAsia="標楷體" w:hAnsi="標楷體" w:hint="eastAsia"/>
                <w:color w:val="auto"/>
              </w:rPr>
              <w:t>，</w:t>
            </w:r>
            <w:r w:rsidR="004834D1">
              <w:rPr>
                <w:rFonts w:ascii="標楷體" w:eastAsia="標楷體" w:hAnsi="標楷體" w:hint="eastAsia"/>
                <w:color w:val="auto"/>
              </w:rPr>
              <w:t>將</w:t>
            </w:r>
            <w:r w:rsidR="004834D1" w:rsidRPr="0014028F">
              <w:rPr>
                <w:rFonts w:ascii="標楷體" w:eastAsia="標楷體" w:hAnsi="標楷體" w:hint="eastAsia"/>
                <w:color w:val="auto"/>
              </w:rPr>
              <w:t>開盤前一分鐘撤銷</w:t>
            </w:r>
            <w:r w:rsidR="00C44BAF">
              <w:rPr>
                <w:rFonts w:ascii="標楷體" w:eastAsia="標楷體" w:hAnsi="標楷體" w:hint="eastAsia"/>
                <w:color w:val="auto"/>
              </w:rPr>
              <w:t>及</w:t>
            </w:r>
            <w:bookmarkStart w:id="1" w:name="_GoBack"/>
            <w:bookmarkEnd w:id="1"/>
            <w:r w:rsidR="004834D1" w:rsidRPr="0014028F">
              <w:rPr>
                <w:rFonts w:ascii="標楷體" w:eastAsia="標楷體" w:hAnsi="標楷體" w:hint="eastAsia"/>
                <w:color w:val="auto"/>
              </w:rPr>
              <w:t>變更買賣申報數量達開巿前買賣申報數量之</w:t>
            </w:r>
            <w:r w:rsidR="007144E1" w:rsidRPr="007144E1">
              <w:rPr>
                <w:rFonts w:ascii="標楷體" w:eastAsia="標楷體" w:hAnsi="標楷體" w:hint="eastAsia"/>
                <w:color w:val="auto"/>
              </w:rPr>
              <w:t>一定比率</w:t>
            </w:r>
            <w:r w:rsidR="004834D1">
              <w:rPr>
                <w:rFonts w:ascii="標楷體" w:eastAsia="標楷體" w:hAnsi="標楷體" w:hint="eastAsia"/>
                <w:color w:val="auto"/>
              </w:rPr>
              <w:t>之有價證券，</w:t>
            </w:r>
            <w:r w:rsidR="004834D1" w:rsidRPr="0014028F">
              <w:rPr>
                <w:rFonts w:ascii="標楷體" w:eastAsia="標楷體" w:hAnsi="標楷體" w:hint="eastAsia"/>
                <w:color w:val="auto"/>
              </w:rPr>
              <w:t>納入暫緩開盤措施</w:t>
            </w:r>
            <w:r w:rsidR="004834D1">
              <w:rPr>
                <w:rFonts w:ascii="標楷體" w:eastAsia="標楷體" w:hAnsi="標楷體" w:hint="eastAsia"/>
                <w:color w:val="auto"/>
              </w:rPr>
              <w:t>，</w:t>
            </w:r>
            <w:r w:rsidR="004834D1" w:rsidRPr="0014028F">
              <w:rPr>
                <w:rFonts w:ascii="標楷體" w:eastAsia="標楷體" w:hAnsi="標楷體" w:hint="eastAsia"/>
                <w:color w:val="auto"/>
              </w:rPr>
              <w:t>爰</w:t>
            </w:r>
            <w:r w:rsidR="004834D1">
              <w:rPr>
                <w:rFonts w:ascii="標楷體" w:eastAsia="標楷體" w:hAnsi="標楷體" w:hint="eastAsia"/>
                <w:color w:val="auto"/>
              </w:rPr>
              <w:t>修正第</w:t>
            </w:r>
            <w:r>
              <w:rPr>
                <w:rFonts w:ascii="標楷體" w:eastAsia="標楷體" w:hAnsi="標楷體" w:hint="eastAsia"/>
                <w:color w:val="auto"/>
              </w:rPr>
              <w:t>八</w:t>
            </w:r>
            <w:r w:rsidR="004834D1">
              <w:rPr>
                <w:rFonts w:ascii="標楷體" w:eastAsia="標楷體" w:hAnsi="標楷體" w:hint="eastAsia"/>
                <w:color w:val="auto"/>
              </w:rPr>
              <w:t>項規定。</w:t>
            </w:r>
          </w:p>
        </w:tc>
      </w:tr>
    </w:tbl>
    <w:p w14:paraId="0D6F2E5E" w14:textId="484868D0" w:rsidR="008511C3" w:rsidRPr="003B1CF3" w:rsidRDefault="008511C3" w:rsidP="00921D85">
      <w:pPr>
        <w:snapToGrid w:val="0"/>
      </w:pPr>
    </w:p>
    <w:sectPr w:rsidR="008511C3" w:rsidRPr="003B1CF3" w:rsidSect="00921D85">
      <w:footerReference w:type="default" r:id="rId8"/>
      <w:pgSz w:w="11906" w:h="16838"/>
      <w:pgMar w:top="851" w:right="1797" w:bottom="99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9BF8C" w14:textId="77777777" w:rsidR="00D826A6" w:rsidRDefault="00D826A6" w:rsidP="004178C0">
      <w:r>
        <w:separator/>
      </w:r>
    </w:p>
  </w:endnote>
  <w:endnote w:type="continuationSeparator" w:id="0">
    <w:p w14:paraId="41E84CEC" w14:textId="77777777" w:rsidR="00D826A6" w:rsidRDefault="00D826A6" w:rsidP="0041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233327"/>
      <w:docPartObj>
        <w:docPartGallery w:val="Page Numbers (Bottom of Page)"/>
        <w:docPartUnique/>
      </w:docPartObj>
    </w:sdtPr>
    <w:sdtEndPr/>
    <w:sdtContent>
      <w:p w14:paraId="6A5DDC17" w14:textId="41B9D452" w:rsidR="00350C8F" w:rsidRDefault="00350C8F">
        <w:pPr>
          <w:pStyle w:val="a7"/>
          <w:jc w:val="center"/>
        </w:pPr>
        <w:r>
          <w:fldChar w:fldCharType="begin"/>
        </w:r>
        <w:r>
          <w:instrText>PAGE   \* MERGEFORMAT</w:instrText>
        </w:r>
        <w:r>
          <w:fldChar w:fldCharType="separate"/>
        </w:r>
        <w:r w:rsidR="00C44BAF" w:rsidRPr="00C44BAF">
          <w:rPr>
            <w:noProof/>
            <w:lang w:val="zh-TW"/>
          </w:rPr>
          <w:t>1</w:t>
        </w:r>
        <w:r>
          <w:fldChar w:fldCharType="end"/>
        </w:r>
      </w:p>
    </w:sdtContent>
  </w:sdt>
  <w:p w14:paraId="76F79A07" w14:textId="77777777" w:rsidR="00350C8F" w:rsidRDefault="00350C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CD6F" w14:textId="77777777" w:rsidR="00D826A6" w:rsidRDefault="00D826A6" w:rsidP="004178C0">
      <w:r>
        <w:separator/>
      </w:r>
    </w:p>
  </w:footnote>
  <w:footnote w:type="continuationSeparator" w:id="0">
    <w:p w14:paraId="02CCC1AF" w14:textId="77777777" w:rsidR="00D826A6" w:rsidRDefault="00D826A6" w:rsidP="00417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4A84"/>
    <w:multiLevelType w:val="hybridMultilevel"/>
    <w:tmpl w:val="B9A8057A"/>
    <w:lvl w:ilvl="0" w:tplc="F75C3D2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87299E"/>
    <w:multiLevelType w:val="hybridMultilevel"/>
    <w:tmpl w:val="1DF80E3A"/>
    <w:lvl w:ilvl="0" w:tplc="EC1C8FE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3B74B39"/>
    <w:multiLevelType w:val="hybridMultilevel"/>
    <w:tmpl w:val="0CEC077A"/>
    <w:lvl w:ilvl="0" w:tplc="FF4EFDD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FD3589"/>
    <w:multiLevelType w:val="hybridMultilevel"/>
    <w:tmpl w:val="36D04B3E"/>
    <w:lvl w:ilvl="0" w:tplc="E6DE904C">
      <w:start w:val="1"/>
      <w:numFmt w:val="taiwaneseCountingThousand"/>
      <w:lvlText w:val="(%1)"/>
      <w:lvlJc w:val="left"/>
      <w:pPr>
        <w:ind w:left="1020" w:hanging="516"/>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 w15:restartNumberingAfterBreak="0">
    <w:nsid w:val="67CB3611"/>
    <w:multiLevelType w:val="hybridMultilevel"/>
    <w:tmpl w:val="8C58B12C"/>
    <w:lvl w:ilvl="0" w:tplc="5C6898D8">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F8D3C58"/>
    <w:multiLevelType w:val="hybridMultilevel"/>
    <w:tmpl w:val="F560FF2E"/>
    <w:lvl w:ilvl="0" w:tplc="D6806C5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253"/>
    <w:rsid w:val="00000FFC"/>
    <w:rsid w:val="00003B29"/>
    <w:rsid w:val="00006F81"/>
    <w:rsid w:val="00024973"/>
    <w:rsid w:val="00031CF2"/>
    <w:rsid w:val="00034F64"/>
    <w:rsid w:val="00035D30"/>
    <w:rsid w:val="00040905"/>
    <w:rsid w:val="00044EDE"/>
    <w:rsid w:val="00047751"/>
    <w:rsid w:val="00047E29"/>
    <w:rsid w:val="00053DD2"/>
    <w:rsid w:val="0005588B"/>
    <w:rsid w:val="000617E7"/>
    <w:rsid w:val="0006575C"/>
    <w:rsid w:val="00070A63"/>
    <w:rsid w:val="000800B6"/>
    <w:rsid w:val="00084956"/>
    <w:rsid w:val="000A335C"/>
    <w:rsid w:val="000A7485"/>
    <w:rsid w:val="000B28F8"/>
    <w:rsid w:val="000B5867"/>
    <w:rsid w:val="000C07A7"/>
    <w:rsid w:val="000C2378"/>
    <w:rsid w:val="000C2B17"/>
    <w:rsid w:val="000C4232"/>
    <w:rsid w:val="000C6202"/>
    <w:rsid w:val="000C789C"/>
    <w:rsid w:val="000C78E2"/>
    <w:rsid w:val="000E202B"/>
    <w:rsid w:val="000F0A27"/>
    <w:rsid w:val="000F1960"/>
    <w:rsid w:val="000F69BD"/>
    <w:rsid w:val="00104AA3"/>
    <w:rsid w:val="00113E19"/>
    <w:rsid w:val="001306EC"/>
    <w:rsid w:val="00133573"/>
    <w:rsid w:val="00136963"/>
    <w:rsid w:val="0014028F"/>
    <w:rsid w:val="00142288"/>
    <w:rsid w:val="00142E9F"/>
    <w:rsid w:val="00144011"/>
    <w:rsid w:val="00145460"/>
    <w:rsid w:val="00145AFA"/>
    <w:rsid w:val="00160162"/>
    <w:rsid w:val="00161481"/>
    <w:rsid w:val="00164570"/>
    <w:rsid w:val="00174ADB"/>
    <w:rsid w:val="00182486"/>
    <w:rsid w:val="0018284C"/>
    <w:rsid w:val="001837D6"/>
    <w:rsid w:val="00183EAB"/>
    <w:rsid w:val="00195C41"/>
    <w:rsid w:val="00197D61"/>
    <w:rsid w:val="001B5FA1"/>
    <w:rsid w:val="001C269C"/>
    <w:rsid w:val="001D2FC2"/>
    <w:rsid w:val="001D71EA"/>
    <w:rsid w:val="001E2EF5"/>
    <w:rsid w:val="001E64C4"/>
    <w:rsid w:val="001F30EB"/>
    <w:rsid w:val="00200D2C"/>
    <w:rsid w:val="00211A97"/>
    <w:rsid w:val="002147D1"/>
    <w:rsid w:val="00222200"/>
    <w:rsid w:val="00222871"/>
    <w:rsid w:val="002244EF"/>
    <w:rsid w:val="00225BAA"/>
    <w:rsid w:val="00226A98"/>
    <w:rsid w:val="00240F1C"/>
    <w:rsid w:val="00244D7F"/>
    <w:rsid w:val="00247973"/>
    <w:rsid w:val="0025646C"/>
    <w:rsid w:val="00262FDE"/>
    <w:rsid w:val="002633B0"/>
    <w:rsid w:val="00266BE9"/>
    <w:rsid w:val="00267897"/>
    <w:rsid w:val="00270C17"/>
    <w:rsid w:val="0027744D"/>
    <w:rsid w:val="002A7A58"/>
    <w:rsid w:val="002A7FCD"/>
    <w:rsid w:val="002D1BCB"/>
    <w:rsid w:val="002E07F3"/>
    <w:rsid w:val="002E24D8"/>
    <w:rsid w:val="002E449A"/>
    <w:rsid w:val="002F1B90"/>
    <w:rsid w:val="002F72BE"/>
    <w:rsid w:val="00302B6B"/>
    <w:rsid w:val="00304E9E"/>
    <w:rsid w:val="00310F43"/>
    <w:rsid w:val="00320110"/>
    <w:rsid w:val="003275A2"/>
    <w:rsid w:val="003378BE"/>
    <w:rsid w:val="00347C4A"/>
    <w:rsid w:val="00350500"/>
    <w:rsid w:val="00350A33"/>
    <w:rsid w:val="00350C8F"/>
    <w:rsid w:val="00356EEA"/>
    <w:rsid w:val="00361BA1"/>
    <w:rsid w:val="003642E8"/>
    <w:rsid w:val="00364E6C"/>
    <w:rsid w:val="00370357"/>
    <w:rsid w:val="0037591E"/>
    <w:rsid w:val="003B1CF3"/>
    <w:rsid w:val="003B53DA"/>
    <w:rsid w:val="003C2C7B"/>
    <w:rsid w:val="003C4B79"/>
    <w:rsid w:val="003D7268"/>
    <w:rsid w:val="003E292A"/>
    <w:rsid w:val="003F08BA"/>
    <w:rsid w:val="003F5E96"/>
    <w:rsid w:val="00401C71"/>
    <w:rsid w:val="004032C1"/>
    <w:rsid w:val="00413538"/>
    <w:rsid w:val="004178C0"/>
    <w:rsid w:val="00421EBE"/>
    <w:rsid w:val="00427E07"/>
    <w:rsid w:val="0043508C"/>
    <w:rsid w:val="004427D1"/>
    <w:rsid w:val="00445477"/>
    <w:rsid w:val="004524AC"/>
    <w:rsid w:val="004834D1"/>
    <w:rsid w:val="00491A8C"/>
    <w:rsid w:val="00491B35"/>
    <w:rsid w:val="004930DC"/>
    <w:rsid w:val="004A45B0"/>
    <w:rsid w:val="004B427F"/>
    <w:rsid w:val="004C09DE"/>
    <w:rsid w:val="004C0F4C"/>
    <w:rsid w:val="004D1884"/>
    <w:rsid w:val="004E0A23"/>
    <w:rsid w:val="004E2E8B"/>
    <w:rsid w:val="00502B4B"/>
    <w:rsid w:val="005108C4"/>
    <w:rsid w:val="00511959"/>
    <w:rsid w:val="00520F43"/>
    <w:rsid w:val="00521CE4"/>
    <w:rsid w:val="00524225"/>
    <w:rsid w:val="00527D68"/>
    <w:rsid w:val="00531A83"/>
    <w:rsid w:val="00532F4B"/>
    <w:rsid w:val="00546579"/>
    <w:rsid w:val="00547259"/>
    <w:rsid w:val="005503FC"/>
    <w:rsid w:val="005728DF"/>
    <w:rsid w:val="005763F8"/>
    <w:rsid w:val="00577717"/>
    <w:rsid w:val="005801E5"/>
    <w:rsid w:val="005810FB"/>
    <w:rsid w:val="00583B0F"/>
    <w:rsid w:val="00587FCF"/>
    <w:rsid w:val="00591077"/>
    <w:rsid w:val="00592C57"/>
    <w:rsid w:val="005A0476"/>
    <w:rsid w:val="005A4829"/>
    <w:rsid w:val="005A783B"/>
    <w:rsid w:val="005B40B2"/>
    <w:rsid w:val="005D027E"/>
    <w:rsid w:val="005D6109"/>
    <w:rsid w:val="005E0C34"/>
    <w:rsid w:val="005E6715"/>
    <w:rsid w:val="005F2192"/>
    <w:rsid w:val="00600316"/>
    <w:rsid w:val="00607D94"/>
    <w:rsid w:val="006110C5"/>
    <w:rsid w:val="00615F6D"/>
    <w:rsid w:val="0063517C"/>
    <w:rsid w:val="00645FBC"/>
    <w:rsid w:val="0064670F"/>
    <w:rsid w:val="006476BC"/>
    <w:rsid w:val="006521DA"/>
    <w:rsid w:val="00660022"/>
    <w:rsid w:val="006645B9"/>
    <w:rsid w:val="00664BA4"/>
    <w:rsid w:val="00671F09"/>
    <w:rsid w:val="006767A6"/>
    <w:rsid w:val="006C1E39"/>
    <w:rsid w:val="006C3910"/>
    <w:rsid w:val="00704959"/>
    <w:rsid w:val="007073EF"/>
    <w:rsid w:val="0070770C"/>
    <w:rsid w:val="0071307D"/>
    <w:rsid w:val="00713691"/>
    <w:rsid w:val="007144E1"/>
    <w:rsid w:val="00721200"/>
    <w:rsid w:val="00722421"/>
    <w:rsid w:val="00725BC4"/>
    <w:rsid w:val="00733DB3"/>
    <w:rsid w:val="0073507B"/>
    <w:rsid w:val="00737E18"/>
    <w:rsid w:val="00742E83"/>
    <w:rsid w:val="0075378E"/>
    <w:rsid w:val="00755D26"/>
    <w:rsid w:val="00767B53"/>
    <w:rsid w:val="00777333"/>
    <w:rsid w:val="007909C3"/>
    <w:rsid w:val="00791DCE"/>
    <w:rsid w:val="007A0C77"/>
    <w:rsid w:val="007A22A8"/>
    <w:rsid w:val="007E3029"/>
    <w:rsid w:val="007E3854"/>
    <w:rsid w:val="00803270"/>
    <w:rsid w:val="00805EA5"/>
    <w:rsid w:val="00817C76"/>
    <w:rsid w:val="00825E28"/>
    <w:rsid w:val="008311B8"/>
    <w:rsid w:val="00837CEF"/>
    <w:rsid w:val="00845DF2"/>
    <w:rsid w:val="008505B5"/>
    <w:rsid w:val="008511C3"/>
    <w:rsid w:val="00855EE1"/>
    <w:rsid w:val="0086229D"/>
    <w:rsid w:val="00872911"/>
    <w:rsid w:val="008756C0"/>
    <w:rsid w:val="00883A37"/>
    <w:rsid w:val="00883F47"/>
    <w:rsid w:val="008933F5"/>
    <w:rsid w:val="008A0FF9"/>
    <w:rsid w:val="008A4C97"/>
    <w:rsid w:val="008A787A"/>
    <w:rsid w:val="008B1B3A"/>
    <w:rsid w:val="008C47ED"/>
    <w:rsid w:val="008D01AF"/>
    <w:rsid w:val="008D0FE9"/>
    <w:rsid w:val="008E0C47"/>
    <w:rsid w:val="008E647B"/>
    <w:rsid w:val="008F12C4"/>
    <w:rsid w:val="008F1C1F"/>
    <w:rsid w:val="00900D39"/>
    <w:rsid w:val="009039D1"/>
    <w:rsid w:val="00905942"/>
    <w:rsid w:val="0090710D"/>
    <w:rsid w:val="009132DD"/>
    <w:rsid w:val="009163F5"/>
    <w:rsid w:val="00921D85"/>
    <w:rsid w:val="0092428B"/>
    <w:rsid w:val="009260B2"/>
    <w:rsid w:val="009370C9"/>
    <w:rsid w:val="00940723"/>
    <w:rsid w:val="0094302D"/>
    <w:rsid w:val="009454CC"/>
    <w:rsid w:val="00964795"/>
    <w:rsid w:val="00972B31"/>
    <w:rsid w:val="0097394A"/>
    <w:rsid w:val="00984DB2"/>
    <w:rsid w:val="00986272"/>
    <w:rsid w:val="009A76A4"/>
    <w:rsid w:val="009D37B0"/>
    <w:rsid w:val="009F732D"/>
    <w:rsid w:val="009F76CA"/>
    <w:rsid w:val="00A034AA"/>
    <w:rsid w:val="00A041F4"/>
    <w:rsid w:val="00A05254"/>
    <w:rsid w:val="00A05290"/>
    <w:rsid w:val="00A306F3"/>
    <w:rsid w:val="00A322E7"/>
    <w:rsid w:val="00A406D4"/>
    <w:rsid w:val="00A51493"/>
    <w:rsid w:val="00A60EB7"/>
    <w:rsid w:val="00A62209"/>
    <w:rsid w:val="00A63C33"/>
    <w:rsid w:val="00A647BA"/>
    <w:rsid w:val="00A6582A"/>
    <w:rsid w:val="00A67174"/>
    <w:rsid w:val="00A845D7"/>
    <w:rsid w:val="00A92109"/>
    <w:rsid w:val="00A9554B"/>
    <w:rsid w:val="00A97F67"/>
    <w:rsid w:val="00AA060B"/>
    <w:rsid w:val="00AA2B3D"/>
    <w:rsid w:val="00AC7428"/>
    <w:rsid w:val="00AD0AEB"/>
    <w:rsid w:val="00AE1EB9"/>
    <w:rsid w:val="00AE2090"/>
    <w:rsid w:val="00AE2A6F"/>
    <w:rsid w:val="00AE5221"/>
    <w:rsid w:val="00AF35F4"/>
    <w:rsid w:val="00AF6C99"/>
    <w:rsid w:val="00B04ED3"/>
    <w:rsid w:val="00B069BA"/>
    <w:rsid w:val="00B2188F"/>
    <w:rsid w:val="00B22928"/>
    <w:rsid w:val="00B36BC9"/>
    <w:rsid w:val="00B37314"/>
    <w:rsid w:val="00B37567"/>
    <w:rsid w:val="00B376E3"/>
    <w:rsid w:val="00B42857"/>
    <w:rsid w:val="00B42F7C"/>
    <w:rsid w:val="00B430A3"/>
    <w:rsid w:val="00B56AAE"/>
    <w:rsid w:val="00B77253"/>
    <w:rsid w:val="00B77AD0"/>
    <w:rsid w:val="00B82228"/>
    <w:rsid w:val="00B85EC9"/>
    <w:rsid w:val="00BB2F16"/>
    <w:rsid w:val="00BC5738"/>
    <w:rsid w:val="00BD1308"/>
    <w:rsid w:val="00BD6AE2"/>
    <w:rsid w:val="00BE008E"/>
    <w:rsid w:val="00BE3BD8"/>
    <w:rsid w:val="00BF384D"/>
    <w:rsid w:val="00BF7B4B"/>
    <w:rsid w:val="00C007B1"/>
    <w:rsid w:val="00C017E6"/>
    <w:rsid w:val="00C252A7"/>
    <w:rsid w:val="00C3550A"/>
    <w:rsid w:val="00C42542"/>
    <w:rsid w:val="00C44BAF"/>
    <w:rsid w:val="00C45F96"/>
    <w:rsid w:val="00C63669"/>
    <w:rsid w:val="00C64886"/>
    <w:rsid w:val="00C7086E"/>
    <w:rsid w:val="00C753B2"/>
    <w:rsid w:val="00C86086"/>
    <w:rsid w:val="00C8728A"/>
    <w:rsid w:val="00CB6056"/>
    <w:rsid w:val="00CB68BF"/>
    <w:rsid w:val="00CD3BDF"/>
    <w:rsid w:val="00CE6DA4"/>
    <w:rsid w:val="00CF350C"/>
    <w:rsid w:val="00D1042C"/>
    <w:rsid w:val="00D11D53"/>
    <w:rsid w:val="00D32F42"/>
    <w:rsid w:val="00D347B5"/>
    <w:rsid w:val="00D530D6"/>
    <w:rsid w:val="00D56D19"/>
    <w:rsid w:val="00D61A34"/>
    <w:rsid w:val="00D70D6D"/>
    <w:rsid w:val="00D75854"/>
    <w:rsid w:val="00D80BD0"/>
    <w:rsid w:val="00D826A6"/>
    <w:rsid w:val="00D851E5"/>
    <w:rsid w:val="00D87800"/>
    <w:rsid w:val="00D940E7"/>
    <w:rsid w:val="00DA282C"/>
    <w:rsid w:val="00DA4E0F"/>
    <w:rsid w:val="00DC3526"/>
    <w:rsid w:val="00DC4861"/>
    <w:rsid w:val="00DD5CF8"/>
    <w:rsid w:val="00DE40A3"/>
    <w:rsid w:val="00DF0A4B"/>
    <w:rsid w:val="00DF47D6"/>
    <w:rsid w:val="00E07394"/>
    <w:rsid w:val="00E118BA"/>
    <w:rsid w:val="00E26800"/>
    <w:rsid w:val="00E30D1D"/>
    <w:rsid w:val="00E31F39"/>
    <w:rsid w:val="00E45078"/>
    <w:rsid w:val="00E55C38"/>
    <w:rsid w:val="00E60573"/>
    <w:rsid w:val="00E60F99"/>
    <w:rsid w:val="00E66ED5"/>
    <w:rsid w:val="00E77BFA"/>
    <w:rsid w:val="00E861AB"/>
    <w:rsid w:val="00E91C61"/>
    <w:rsid w:val="00E93668"/>
    <w:rsid w:val="00EA4287"/>
    <w:rsid w:val="00EB5C64"/>
    <w:rsid w:val="00EC161D"/>
    <w:rsid w:val="00EC62C0"/>
    <w:rsid w:val="00EF430D"/>
    <w:rsid w:val="00F026B5"/>
    <w:rsid w:val="00F05F6F"/>
    <w:rsid w:val="00F12596"/>
    <w:rsid w:val="00F22514"/>
    <w:rsid w:val="00F31819"/>
    <w:rsid w:val="00F34498"/>
    <w:rsid w:val="00F443C0"/>
    <w:rsid w:val="00F62FE7"/>
    <w:rsid w:val="00F772E9"/>
    <w:rsid w:val="00F831E7"/>
    <w:rsid w:val="00F83DB1"/>
    <w:rsid w:val="00FA00B5"/>
    <w:rsid w:val="00FB4E17"/>
    <w:rsid w:val="00FB62B8"/>
    <w:rsid w:val="00FD46C5"/>
    <w:rsid w:val="00FE1BD1"/>
    <w:rsid w:val="00FE5B07"/>
    <w:rsid w:val="00FF20E4"/>
    <w:rsid w:val="00FF5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D52BC"/>
  <w15:chartTrackingRefBased/>
  <w15:docId w15:val="{7DC0E089-2F91-4644-BE80-B152838B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2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77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B77253"/>
    <w:rPr>
      <w:rFonts w:ascii="細明體" w:eastAsia="細明體" w:hAnsi="細明體" w:cs="細明體"/>
      <w:color w:val="333333"/>
      <w:kern w:val="0"/>
      <w:szCs w:val="24"/>
    </w:rPr>
  </w:style>
  <w:style w:type="paragraph" w:styleId="a4">
    <w:name w:val="List Paragraph"/>
    <w:basedOn w:val="a"/>
    <w:uiPriority w:val="34"/>
    <w:qFormat/>
    <w:rsid w:val="00B77253"/>
    <w:pPr>
      <w:ind w:leftChars="200" w:left="480"/>
    </w:pPr>
  </w:style>
  <w:style w:type="paragraph" w:styleId="a5">
    <w:name w:val="header"/>
    <w:basedOn w:val="a"/>
    <w:link w:val="a6"/>
    <w:uiPriority w:val="99"/>
    <w:unhideWhenUsed/>
    <w:rsid w:val="004178C0"/>
    <w:pPr>
      <w:tabs>
        <w:tab w:val="center" w:pos="4153"/>
        <w:tab w:val="right" w:pos="8306"/>
      </w:tabs>
      <w:snapToGrid w:val="0"/>
    </w:pPr>
    <w:rPr>
      <w:sz w:val="20"/>
      <w:szCs w:val="20"/>
    </w:rPr>
  </w:style>
  <w:style w:type="character" w:customStyle="1" w:styleId="a6">
    <w:name w:val="頁首 字元"/>
    <w:basedOn w:val="a0"/>
    <w:link w:val="a5"/>
    <w:uiPriority w:val="99"/>
    <w:rsid w:val="004178C0"/>
    <w:rPr>
      <w:sz w:val="20"/>
      <w:szCs w:val="20"/>
    </w:rPr>
  </w:style>
  <w:style w:type="paragraph" w:styleId="a7">
    <w:name w:val="footer"/>
    <w:basedOn w:val="a"/>
    <w:link w:val="a8"/>
    <w:uiPriority w:val="99"/>
    <w:unhideWhenUsed/>
    <w:rsid w:val="004178C0"/>
    <w:pPr>
      <w:tabs>
        <w:tab w:val="center" w:pos="4153"/>
        <w:tab w:val="right" w:pos="8306"/>
      </w:tabs>
      <w:snapToGrid w:val="0"/>
    </w:pPr>
    <w:rPr>
      <w:sz w:val="20"/>
      <w:szCs w:val="20"/>
    </w:rPr>
  </w:style>
  <w:style w:type="character" w:customStyle="1" w:styleId="a8">
    <w:name w:val="頁尾 字元"/>
    <w:basedOn w:val="a0"/>
    <w:link w:val="a7"/>
    <w:uiPriority w:val="99"/>
    <w:rsid w:val="004178C0"/>
    <w:rPr>
      <w:sz w:val="20"/>
      <w:szCs w:val="20"/>
    </w:rPr>
  </w:style>
  <w:style w:type="character" w:styleId="a9">
    <w:name w:val="annotation reference"/>
    <w:basedOn w:val="a0"/>
    <w:uiPriority w:val="99"/>
    <w:semiHidden/>
    <w:unhideWhenUsed/>
    <w:rsid w:val="00195C41"/>
    <w:rPr>
      <w:sz w:val="18"/>
      <w:szCs w:val="18"/>
    </w:rPr>
  </w:style>
  <w:style w:type="paragraph" w:styleId="aa">
    <w:name w:val="annotation text"/>
    <w:basedOn w:val="a"/>
    <w:link w:val="ab"/>
    <w:uiPriority w:val="99"/>
    <w:semiHidden/>
    <w:unhideWhenUsed/>
    <w:rsid w:val="00195C41"/>
  </w:style>
  <w:style w:type="character" w:customStyle="1" w:styleId="ab">
    <w:name w:val="註解文字 字元"/>
    <w:basedOn w:val="a0"/>
    <w:link w:val="aa"/>
    <w:uiPriority w:val="99"/>
    <w:semiHidden/>
    <w:rsid w:val="00195C41"/>
  </w:style>
  <w:style w:type="paragraph" w:styleId="ac">
    <w:name w:val="annotation subject"/>
    <w:basedOn w:val="aa"/>
    <w:next w:val="aa"/>
    <w:link w:val="ad"/>
    <w:uiPriority w:val="99"/>
    <w:semiHidden/>
    <w:unhideWhenUsed/>
    <w:rsid w:val="00195C41"/>
    <w:rPr>
      <w:b/>
      <w:bCs/>
    </w:rPr>
  </w:style>
  <w:style w:type="character" w:customStyle="1" w:styleId="ad">
    <w:name w:val="註解主旨 字元"/>
    <w:basedOn w:val="ab"/>
    <w:link w:val="ac"/>
    <w:uiPriority w:val="99"/>
    <w:semiHidden/>
    <w:rsid w:val="00195C41"/>
    <w:rPr>
      <w:b/>
      <w:bCs/>
    </w:rPr>
  </w:style>
  <w:style w:type="paragraph" w:styleId="ae">
    <w:name w:val="Revision"/>
    <w:hidden/>
    <w:uiPriority w:val="99"/>
    <w:semiHidden/>
    <w:rsid w:val="002A7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4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A3CBB-E2E0-400A-B375-22ACDB30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張翠蘭</dc:creator>
  <cp:keywords/>
  <dc:description/>
  <cp:lastModifiedBy>林益田</cp:lastModifiedBy>
  <cp:revision>17</cp:revision>
  <cp:lastPrinted>2022-03-07T02:32:00Z</cp:lastPrinted>
  <dcterms:created xsi:type="dcterms:W3CDTF">2022-08-04T00:33:00Z</dcterms:created>
  <dcterms:modified xsi:type="dcterms:W3CDTF">2022-10-06T10:35:00Z</dcterms:modified>
</cp:coreProperties>
</file>