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2B" w:rsidRPr="00DD3B5B" w:rsidRDefault="000B592B" w:rsidP="000B592B">
      <w:pPr>
        <w:spacing w:line="0" w:lineRule="atLeast"/>
        <w:jc w:val="center"/>
        <w:rPr>
          <w:rFonts w:ascii="標楷體" w:eastAsia="標楷體" w:hAnsi="標楷體"/>
          <w:b/>
          <w:sz w:val="31"/>
          <w:szCs w:val="31"/>
        </w:rPr>
      </w:pPr>
      <w:r w:rsidRPr="00DD3B5B">
        <w:rPr>
          <w:rFonts w:ascii="標楷體" w:eastAsia="標楷體" w:hAnsi="標楷體"/>
          <w:b/>
          <w:sz w:val="31"/>
          <w:szCs w:val="31"/>
        </w:rPr>
        <w:t>臺灣證券交易所股份有限公司</w:t>
      </w:r>
      <w:r w:rsidRPr="00DD3B5B">
        <w:rPr>
          <w:rFonts w:ascii="標楷體" w:eastAsia="標楷體" w:hAnsi="標楷體" w:hint="eastAsia"/>
          <w:b/>
          <w:sz w:val="31"/>
          <w:szCs w:val="31"/>
        </w:rPr>
        <w:t>股票造市</w:t>
      </w:r>
      <w:r w:rsidRPr="00DD3B5B">
        <w:rPr>
          <w:rFonts w:ascii="標楷體" w:eastAsia="標楷體" w:hAnsi="標楷體"/>
          <w:b/>
          <w:sz w:val="31"/>
          <w:szCs w:val="31"/>
        </w:rPr>
        <w:t>者</w:t>
      </w:r>
      <w:r w:rsidRPr="00DD3B5B">
        <w:rPr>
          <w:rFonts w:ascii="標楷體" w:eastAsia="標楷體" w:hAnsi="標楷體" w:hint="eastAsia"/>
          <w:b/>
          <w:sz w:val="31"/>
          <w:szCs w:val="31"/>
        </w:rPr>
        <w:t>及</w:t>
      </w:r>
      <w:r w:rsidR="00921B9D">
        <w:rPr>
          <w:rFonts w:ascii="標楷體" w:eastAsia="標楷體" w:hAnsi="標楷體" w:hint="eastAsia"/>
          <w:b/>
          <w:sz w:val="31"/>
          <w:szCs w:val="31"/>
        </w:rPr>
        <w:t>交易獎勵參與者</w:t>
      </w:r>
      <w:proofErr w:type="gramStart"/>
      <w:r w:rsidRPr="00DD3B5B">
        <w:rPr>
          <w:rFonts w:ascii="標楷體" w:eastAsia="標楷體" w:hAnsi="標楷體" w:hint="eastAsia"/>
          <w:b/>
          <w:sz w:val="31"/>
          <w:szCs w:val="31"/>
        </w:rPr>
        <w:t>經手費折讓</w:t>
      </w:r>
      <w:proofErr w:type="gramEnd"/>
      <w:r w:rsidRPr="00DD3B5B">
        <w:rPr>
          <w:rFonts w:ascii="標楷體" w:eastAsia="標楷體" w:hAnsi="標楷體" w:hint="eastAsia"/>
          <w:b/>
          <w:sz w:val="31"/>
          <w:szCs w:val="31"/>
        </w:rPr>
        <w:t>標準</w:t>
      </w:r>
      <w:r w:rsidR="0015787C">
        <w:rPr>
          <w:rFonts w:ascii="標楷體" w:eastAsia="標楷體" w:hAnsi="標楷體" w:hint="eastAsia"/>
          <w:b/>
          <w:sz w:val="31"/>
          <w:szCs w:val="31"/>
        </w:rPr>
        <w:t>總說明</w:t>
      </w:r>
    </w:p>
    <w:p w:rsidR="000B592B" w:rsidRPr="00443538" w:rsidRDefault="000B592B" w:rsidP="000B592B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C54DC">
        <w:rPr>
          <w:rFonts w:ascii="標楷體" w:eastAsia="標楷體" w:hAnsi="標楷體" w:hint="eastAsia"/>
          <w:sz w:val="28"/>
          <w:szCs w:val="28"/>
        </w:rPr>
        <w:t>為</w:t>
      </w:r>
      <w:r w:rsidR="00CC54DC" w:rsidRPr="00CC54DC">
        <w:rPr>
          <w:rFonts w:ascii="標楷體" w:eastAsia="標楷體" w:hAnsi="標楷體" w:hint="eastAsia"/>
          <w:sz w:val="28"/>
          <w:szCs w:val="28"/>
        </w:rPr>
        <w:t>獎勵績效良好之股票造市者及</w:t>
      </w:r>
      <w:r w:rsidR="00921B9D">
        <w:rPr>
          <w:rFonts w:ascii="標楷體" w:eastAsia="標楷體" w:hAnsi="標楷體" w:hint="eastAsia"/>
          <w:sz w:val="28"/>
          <w:szCs w:val="28"/>
        </w:rPr>
        <w:t>交易獎勵參與者</w:t>
      </w:r>
      <w:r w:rsidR="00CC54DC" w:rsidRPr="00CC54DC">
        <w:rPr>
          <w:rFonts w:ascii="標楷體" w:eastAsia="標楷體" w:hAnsi="標楷體" w:hint="eastAsia"/>
          <w:sz w:val="28"/>
          <w:szCs w:val="28"/>
        </w:rPr>
        <w:t>，提高持續參與意願，</w:t>
      </w:r>
      <w:proofErr w:type="gramStart"/>
      <w:r w:rsidRPr="00CC54DC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Pr="00CC54DC">
        <w:rPr>
          <w:rFonts w:ascii="標楷體" w:eastAsia="標楷體" w:hAnsi="標楷體" w:hint="eastAsia"/>
          <w:sz w:val="28"/>
          <w:szCs w:val="28"/>
        </w:rPr>
        <w:t>訂定</w:t>
      </w:r>
      <w:r w:rsidR="00CC54DC" w:rsidRPr="00CC54DC">
        <w:rPr>
          <w:rFonts w:ascii="標楷體" w:eastAsia="標楷體" w:hAnsi="標楷體" w:hint="eastAsia"/>
          <w:sz w:val="28"/>
          <w:szCs w:val="28"/>
        </w:rPr>
        <w:t>本</w:t>
      </w:r>
      <w:proofErr w:type="gramStart"/>
      <w:r w:rsidR="00CC54DC" w:rsidRPr="00CC54DC">
        <w:rPr>
          <w:rFonts w:ascii="標楷體" w:eastAsia="標楷體" w:hAnsi="標楷體" w:hint="eastAsia"/>
          <w:sz w:val="28"/>
          <w:szCs w:val="28"/>
        </w:rPr>
        <w:t>經手費折讓</w:t>
      </w:r>
      <w:proofErr w:type="gramEnd"/>
      <w:r w:rsidR="00CC54DC" w:rsidRPr="00CC54DC">
        <w:rPr>
          <w:rFonts w:ascii="標楷體" w:eastAsia="標楷體" w:hAnsi="標楷體" w:hint="eastAsia"/>
          <w:sz w:val="28"/>
          <w:szCs w:val="28"/>
        </w:rPr>
        <w:t>標準</w:t>
      </w:r>
      <w:r w:rsidRPr="00CC54DC">
        <w:rPr>
          <w:rFonts w:ascii="標楷體" w:eastAsia="標楷體" w:hAnsi="標楷體" w:hint="eastAsia"/>
          <w:sz w:val="28"/>
          <w:szCs w:val="28"/>
        </w:rPr>
        <w:t>，條文共計</w:t>
      </w:r>
      <w:r w:rsidR="00F53AB6">
        <w:rPr>
          <w:rFonts w:ascii="標楷體" w:eastAsia="標楷體" w:hAnsi="標楷體" w:hint="eastAsia"/>
          <w:sz w:val="28"/>
          <w:szCs w:val="28"/>
        </w:rPr>
        <w:t>五</w:t>
      </w:r>
      <w:r w:rsidRPr="00CC54DC">
        <w:rPr>
          <w:rFonts w:ascii="標楷體" w:eastAsia="標楷體" w:hAnsi="標楷體" w:hint="eastAsia"/>
          <w:sz w:val="28"/>
          <w:szCs w:val="28"/>
        </w:rPr>
        <w:t>條，</w:t>
      </w:r>
      <w:proofErr w:type="gramStart"/>
      <w:r w:rsidRPr="00CC54DC">
        <w:rPr>
          <w:rFonts w:ascii="標楷體" w:eastAsia="標楷體" w:hAnsi="標楷體" w:hint="eastAsia"/>
          <w:sz w:val="28"/>
          <w:szCs w:val="28"/>
        </w:rPr>
        <w:t>摘述要點</w:t>
      </w:r>
      <w:proofErr w:type="gramEnd"/>
      <w:r w:rsidRPr="00443538">
        <w:rPr>
          <w:rFonts w:ascii="標楷體" w:eastAsia="標楷體" w:hAnsi="標楷體" w:hint="eastAsia"/>
          <w:sz w:val="28"/>
          <w:szCs w:val="28"/>
        </w:rPr>
        <w:t>如下：</w:t>
      </w:r>
    </w:p>
    <w:p w:rsidR="000B592B" w:rsidRPr="00443538" w:rsidRDefault="000B592B" w:rsidP="000B592B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43538">
        <w:rPr>
          <w:rFonts w:ascii="標楷體" w:eastAsia="標楷體" w:hAnsi="標楷體" w:hint="eastAsia"/>
          <w:sz w:val="28"/>
          <w:szCs w:val="28"/>
        </w:rPr>
        <w:t>一、明定</w:t>
      </w:r>
      <w:r w:rsidR="00443538" w:rsidRPr="00443538">
        <w:rPr>
          <w:rFonts w:ascii="標楷體" w:eastAsia="標楷體" w:hAnsi="標楷體" w:hint="eastAsia"/>
          <w:sz w:val="28"/>
          <w:szCs w:val="28"/>
        </w:rPr>
        <w:t>提供</w:t>
      </w:r>
      <w:r w:rsidRPr="00443538">
        <w:rPr>
          <w:rFonts w:ascii="Times New Roman" w:eastAsia="標楷體" w:hAnsi="Times New Roman" w:hint="eastAsia"/>
          <w:sz w:val="28"/>
          <w:szCs w:val="28"/>
        </w:rPr>
        <w:t>股票造市者及</w:t>
      </w:r>
      <w:r w:rsidR="00921B9D">
        <w:rPr>
          <w:rFonts w:ascii="Times New Roman" w:eastAsia="標楷體" w:hAnsi="Times New Roman" w:hint="eastAsia"/>
          <w:sz w:val="28"/>
          <w:szCs w:val="28"/>
        </w:rPr>
        <w:t>交易獎勵參與者</w:t>
      </w:r>
      <w:proofErr w:type="gramStart"/>
      <w:r w:rsidR="006C69A9" w:rsidRPr="00443538">
        <w:rPr>
          <w:rFonts w:ascii="Times New Roman" w:eastAsia="標楷體" w:hAnsi="Times New Roman" w:hint="eastAsia"/>
          <w:sz w:val="28"/>
          <w:szCs w:val="28"/>
        </w:rPr>
        <w:t>經手費</w:t>
      </w:r>
      <w:r w:rsidR="00443538" w:rsidRPr="00443538">
        <w:rPr>
          <w:rFonts w:ascii="Times New Roman" w:eastAsia="標楷體" w:hAnsi="Times New Roman" w:hint="eastAsia"/>
          <w:sz w:val="28"/>
          <w:szCs w:val="28"/>
        </w:rPr>
        <w:t>折讓</w:t>
      </w:r>
      <w:proofErr w:type="gramEnd"/>
      <w:r w:rsidRPr="00443538">
        <w:rPr>
          <w:rFonts w:ascii="標楷體" w:eastAsia="標楷體" w:hAnsi="標楷體" w:hint="eastAsia"/>
          <w:sz w:val="28"/>
          <w:szCs w:val="28"/>
        </w:rPr>
        <w:t>之依據。(第一條)</w:t>
      </w:r>
    </w:p>
    <w:p w:rsidR="000B592B" w:rsidRPr="00443538" w:rsidRDefault="000B592B" w:rsidP="000B592B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43538">
        <w:rPr>
          <w:rFonts w:ascii="標楷體" w:eastAsia="標楷體" w:hAnsi="標楷體" w:hint="eastAsia"/>
          <w:sz w:val="28"/>
          <w:szCs w:val="28"/>
        </w:rPr>
        <w:t>二、明定</w:t>
      </w:r>
      <w:r w:rsidR="00443538" w:rsidRPr="00443538">
        <w:rPr>
          <w:rFonts w:ascii="標楷體" w:eastAsia="標楷體" w:hAnsi="標楷體" w:hint="eastAsia"/>
          <w:sz w:val="28"/>
          <w:szCs w:val="28"/>
        </w:rPr>
        <w:t>股票</w:t>
      </w:r>
      <w:r w:rsidR="00443538" w:rsidRPr="00443538">
        <w:rPr>
          <w:rFonts w:ascii="Times New Roman" w:eastAsia="標楷體" w:hAnsi="Times New Roman" w:hint="eastAsia"/>
          <w:sz w:val="28"/>
          <w:szCs w:val="28"/>
        </w:rPr>
        <w:t>造市者</w:t>
      </w:r>
      <w:r w:rsidR="007315BA">
        <w:rPr>
          <w:rFonts w:ascii="Times New Roman" w:eastAsia="標楷體" w:hAnsi="Times New Roman" w:hint="eastAsia"/>
          <w:sz w:val="28"/>
          <w:szCs w:val="28"/>
        </w:rPr>
        <w:t>-</w:t>
      </w:r>
      <w:r w:rsidR="00443538" w:rsidRPr="00443538">
        <w:rPr>
          <w:rFonts w:ascii="Times New Roman" w:eastAsia="標楷體" w:hAnsi="Times New Roman" w:hint="eastAsia"/>
          <w:sz w:val="28"/>
          <w:szCs w:val="28"/>
        </w:rPr>
        <w:t>成交獎勵</w:t>
      </w:r>
      <w:proofErr w:type="gramStart"/>
      <w:r w:rsidR="00443538" w:rsidRPr="00443538">
        <w:rPr>
          <w:rFonts w:ascii="Times New Roman" w:eastAsia="標楷體" w:hAnsi="Times New Roman" w:hint="eastAsia"/>
          <w:sz w:val="28"/>
          <w:szCs w:val="28"/>
        </w:rPr>
        <w:t>經手費</w:t>
      </w:r>
      <w:r w:rsidR="00A12578">
        <w:rPr>
          <w:rFonts w:ascii="Times New Roman" w:eastAsia="標楷體" w:hAnsi="Times New Roman" w:hint="eastAsia"/>
          <w:sz w:val="28"/>
          <w:szCs w:val="28"/>
        </w:rPr>
        <w:t>折讓</w:t>
      </w:r>
      <w:proofErr w:type="gramEnd"/>
      <w:r w:rsidR="00443538" w:rsidRPr="00443538">
        <w:rPr>
          <w:rFonts w:ascii="Times New Roman" w:eastAsia="標楷體" w:hAnsi="Times New Roman" w:hint="eastAsia"/>
          <w:sz w:val="28"/>
          <w:szCs w:val="28"/>
        </w:rPr>
        <w:t>方式</w:t>
      </w:r>
      <w:r w:rsidRPr="00443538">
        <w:rPr>
          <w:rFonts w:ascii="標楷體" w:eastAsia="標楷體" w:hAnsi="標楷體" w:hint="eastAsia"/>
          <w:sz w:val="28"/>
          <w:szCs w:val="28"/>
        </w:rPr>
        <w:t>。(第二條)</w:t>
      </w:r>
    </w:p>
    <w:p w:rsidR="000B592B" w:rsidRPr="00443538" w:rsidRDefault="000B592B" w:rsidP="000B592B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43538">
        <w:rPr>
          <w:rFonts w:ascii="標楷體" w:eastAsia="標楷體" w:hAnsi="標楷體" w:hint="eastAsia"/>
          <w:sz w:val="28"/>
          <w:szCs w:val="28"/>
        </w:rPr>
        <w:t>三、明定</w:t>
      </w:r>
      <w:r w:rsidR="00443538" w:rsidRPr="00443538">
        <w:rPr>
          <w:rFonts w:ascii="Times New Roman" w:eastAsia="標楷體" w:hAnsi="Times New Roman" w:hint="eastAsia"/>
          <w:sz w:val="28"/>
          <w:szCs w:val="28"/>
        </w:rPr>
        <w:t>股票造市者</w:t>
      </w:r>
      <w:r w:rsidR="007315BA">
        <w:rPr>
          <w:rFonts w:ascii="Times New Roman" w:eastAsia="標楷體" w:hAnsi="Times New Roman" w:hint="eastAsia"/>
          <w:sz w:val="28"/>
          <w:szCs w:val="28"/>
        </w:rPr>
        <w:t>-</w:t>
      </w:r>
      <w:r w:rsidR="00443538" w:rsidRPr="00443538">
        <w:rPr>
          <w:rFonts w:ascii="Times New Roman" w:eastAsia="標楷體" w:hAnsi="Times New Roman" w:hint="eastAsia"/>
          <w:sz w:val="28"/>
          <w:szCs w:val="28"/>
        </w:rPr>
        <w:t>報價獎勵</w:t>
      </w:r>
      <w:proofErr w:type="gramStart"/>
      <w:r w:rsidR="00443538" w:rsidRPr="00443538">
        <w:rPr>
          <w:rFonts w:ascii="Times New Roman" w:eastAsia="標楷體" w:hAnsi="Times New Roman" w:hint="eastAsia"/>
          <w:sz w:val="28"/>
          <w:szCs w:val="28"/>
        </w:rPr>
        <w:t>經手費</w:t>
      </w:r>
      <w:r w:rsidR="00A12578">
        <w:rPr>
          <w:rFonts w:ascii="Times New Roman" w:eastAsia="標楷體" w:hAnsi="Times New Roman" w:hint="eastAsia"/>
          <w:sz w:val="28"/>
          <w:szCs w:val="28"/>
        </w:rPr>
        <w:t>折讓</w:t>
      </w:r>
      <w:proofErr w:type="gramEnd"/>
      <w:r w:rsidR="00443538" w:rsidRPr="00443538">
        <w:rPr>
          <w:rFonts w:ascii="Times New Roman" w:eastAsia="標楷體" w:hAnsi="Times New Roman" w:hint="eastAsia"/>
          <w:sz w:val="28"/>
          <w:szCs w:val="28"/>
        </w:rPr>
        <w:t>方式。</w:t>
      </w:r>
      <w:r w:rsidRPr="00443538">
        <w:rPr>
          <w:rFonts w:ascii="標楷體" w:eastAsia="標楷體" w:hAnsi="標楷體" w:hint="eastAsia"/>
          <w:sz w:val="28"/>
          <w:szCs w:val="28"/>
        </w:rPr>
        <w:t>(第三條)</w:t>
      </w:r>
    </w:p>
    <w:p w:rsidR="000B592B" w:rsidRPr="00443538" w:rsidRDefault="000B592B" w:rsidP="000B592B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43538">
        <w:rPr>
          <w:rFonts w:ascii="標楷體" w:eastAsia="標楷體" w:hAnsi="標楷體" w:hint="eastAsia"/>
          <w:sz w:val="28"/>
          <w:szCs w:val="28"/>
        </w:rPr>
        <w:t>四、明定</w:t>
      </w:r>
      <w:r w:rsidR="00921B9D">
        <w:rPr>
          <w:rFonts w:ascii="Times New Roman" w:eastAsia="標楷體" w:hAnsi="Times New Roman" w:hint="eastAsia"/>
          <w:sz w:val="28"/>
          <w:szCs w:val="28"/>
        </w:rPr>
        <w:t>交易獎勵參與者</w:t>
      </w:r>
      <w:proofErr w:type="gramStart"/>
      <w:r w:rsidR="00443538" w:rsidRPr="00443538">
        <w:rPr>
          <w:rFonts w:ascii="Times New Roman" w:eastAsia="標楷體" w:hAnsi="Times New Roman" w:hint="eastAsia"/>
          <w:sz w:val="28"/>
          <w:szCs w:val="28"/>
        </w:rPr>
        <w:t>經手費</w:t>
      </w:r>
      <w:r w:rsidR="00A12578">
        <w:rPr>
          <w:rFonts w:ascii="Times New Roman" w:eastAsia="標楷體" w:hAnsi="Times New Roman" w:hint="eastAsia"/>
          <w:sz w:val="28"/>
          <w:szCs w:val="28"/>
        </w:rPr>
        <w:t>折讓</w:t>
      </w:r>
      <w:proofErr w:type="gramEnd"/>
      <w:r w:rsidR="00443538" w:rsidRPr="00443538">
        <w:rPr>
          <w:rFonts w:ascii="Times New Roman" w:eastAsia="標楷體" w:hAnsi="Times New Roman" w:hint="eastAsia"/>
          <w:sz w:val="28"/>
          <w:szCs w:val="28"/>
        </w:rPr>
        <w:t>方式</w:t>
      </w:r>
      <w:r w:rsidRPr="00443538">
        <w:rPr>
          <w:rFonts w:ascii="標楷體" w:eastAsia="標楷體" w:hAnsi="標楷體" w:hint="eastAsia"/>
          <w:sz w:val="28"/>
          <w:szCs w:val="28"/>
        </w:rPr>
        <w:t>。(第四條)</w:t>
      </w:r>
    </w:p>
    <w:p w:rsidR="000B592B" w:rsidRPr="00443538" w:rsidRDefault="000B592B" w:rsidP="00464117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315BA">
        <w:rPr>
          <w:rFonts w:ascii="標楷體" w:eastAsia="標楷體" w:hAnsi="標楷體" w:hint="eastAsia"/>
          <w:sz w:val="28"/>
          <w:szCs w:val="28"/>
        </w:rPr>
        <w:t>五、</w:t>
      </w:r>
      <w:r w:rsidR="0031506E" w:rsidRPr="00742B9C">
        <w:rPr>
          <w:rFonts w:ascii="標楷體" w:eastAsia="標楷體" w:hAnsi="標楷體" w:hint="eastAsia"/>
          <w:sz w:val="28"/>
          <w:szCs w:val="28"/>
        </w:rPr>
        <w:t>明定</w:t>
      </w:r>
      <w:r w:rsidR="009529B7">
        <w:rPr>
          <w:rFonts w:ascii="標楷體" w:eastAsia="標楷體" w:hAnsi="標楷體" w:hint="eastAsia"/>
          <w:sz w:val="28"/>
          <w:szCs w:val="28"/>
        </w:rPr>
        <w:t>本標準</w:t>
      </w:r>
      <w:r w:rsidR="0031506E" w:rsidRPr="00742B9C">
        <w:rPr>
          <w:rFonts w:ascii="標楷體" w:eastAsia="標楷體" w:hAnsi="標楷體" w:hint="eastAsia"/>
          <w:sz w:val="28"/>
          <w:szCs w:val="28"/>
        </w:rPr>
        <w:t>於修訂時，須經主管機關備查後方得實施。(</w:t>
      </w:r>
      <w:r w:rsidR="0031506E">
        <w:rPr>
          <w:rFonts w:ascii="標楷體" w:eastAsia="標楷體" w:hAnsi="標楷體" w:hint="eastAsia"/>
          <w:sz w:val="28"/>
          <w:szCs w:val="28"/>
        </w:rPr>
        <w:t>第</w:t>
      </w:r>
      <w:r w:rsidR="00CF5EE0">
        <w:rPr>
          <w:rFonts w:ascii="標楷體" w:eastAsia="標楷體" w:hAnsi="標楷體" w:hint="eastAsia"/>
          <w:sz w:val="28"/>
          <w:szCs w:val="28"/>
        </w:rPr>
        <w:t>五</w:t>
      </w:r>
      <w:r w:rsidR="0031506E" w:rsidRPr="00742B9C">
        <w:rPr>
          <w:rFonts w:ascii="標楷體" w:eastAsia="標楷體" w:hAnsi="標楷體" w:hint="eastAsia"/>
          <w:sz w:val="28"/>
          <w:szCs w:val="28"/>
        </w:rPr>
        <w:t>條)</w:t>
      </w:r>
    </w:p>
    <w:p w:rsidR="000B592B" w:rsidRPr="000B592B" w:rsidRDefault="000B592B" w:rsidP="00443538">
      <w:pPr>
        <w:spacing w:line="44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  <w:sectPr w:rsidR="000B592B" w:rsidRPr="000B592B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036EAD" w:rsidRPr="000B592B" w:rsidRDefault="00AD14A5" w:rsidP="00CC54DC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0B592B">
        <w:rPr>
          <w:rFonts w:ascii="標楷體" w:eastAsia="標楷體" w:hAnsi="標楷體"/>
          <w:b/>
          <w:sz w:val="28"/>
          <w:szCs w:val="28"/>
        </w:rPr>
        <w:lastRenderedPageBreak/>
        <w:t>臺灣證券交易所股份有限公司</w:t>
      </w:r>
      <w:r w:rsidRPr="000B592B">
        <w:rPr>
          <w:rFonts w:ascii="標楷體" w:eastAsia="標楷體" w:hAnsi="標楷體" w:hint="eastAsia"/>
          <w:b/>
          <w:sz w:val="28"/>
          <w:szCs w:val="28"/>
        </w:rPr>
        <w:t>股票造市</w:t>
      </w:r>
      <w:r w:rsidRPr="000B592B">
        <w:rPr>
          <w:rFonts w:ascii="標楷體" w:eastAsia="標楷體" w:hAnsi="標楷體"/>
          <w:b/>
          <w:sz w:val="28"/>
          <w:szCs w:val="28"/>
        </w:rPr>
        <w:t>者</w:t>
      </w:r>
      <w:r w:rsidRPr="000B592B">
        <w:rPr>
          <w:rFonts w:ascii="標楷體" w:eastAsia="標楷體" w:hAnsi="標楷體" w:hint="eastAsia"/>
          <w:b/>
          <w:sz w:val="28"/>
          <w:szCs w:val="28"/>
        </w:rPr>
        <w:t>及</w:t>
      </w:r>
      <w:r w:rsidR="00921B9D">
        <w:rPr>
          <w:rFonts w:ascii="標楷體" w:eastAsia="標楷體" w:hAnsi="標楷體" w:hint="eastAsia"/>
          <w:b/>
          <w:sz w:val="28"/>
          <w:szCs w:val="28"/>
        </w:rPr>
        <w:t>交易獎勵參與者</w:t>
      </w:r>
      <w:proofErr w:type="gramStart"/>
      <w:r w:rsidRPr="000B592B">
        <w:rPr>
          <w:rFonts w:ascii="標楷體" w:eastAsia="標楷體" w:hAnsi="標楷體" w:hint="eastAsia"/>
          <w:b/>
          <w:sz w:val="28"/>
          <w:szCs w:val="28"/>
        </w:rPr>
        <w:t>經手費折讓</w:t>
      </w:r>
      <w:proofErr w:type="gramEnd"/>
      <w:r w:rsidRPr="000B592B">
        <w:rPr>
          <w:rFonts w:ascii="標楷體" w:eastAsia="標楷體" w:hAnsi="標楷體" w:hint="eastAsia"/>
          <w:b/>
          <w:sz w:val="28"/>
          <w:szCs w:val="28"/>
        </w:rPr>
        <w:t>標準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077383" w:rsidRPr="000B592B" w:rsidTr="00116BAC">
        <w:trPr>
          <w:tblHeader/>
        </w:trPr>
        <w:tc>
          <w:tcPr>
            <w:tcW w:w="4148" w:type="dxa"/>
          </w:tcPr>
          <w:p w:rsidR="00077383" w:rsidRPr="000B592B" w:rsidRDefault="00077383" w:rsidP="000B592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B592B">
              <w:rPr>
                <w:rFonts w:ascii="Times New Roman" w:eastAsia="標楷體" w:hAnsi="Times New Roman"/>
                <w:sz w:val="28"/>
                <w:szCs w:val="28"/>
              </w:rPr>
              <w:t>條文</w:t>
            </w:r>
          </w:p>
        </w:tc>
        <w:tc>
          <w:tcPr>
            <w:tcW w:w="4148" w:type="dxa"/>
          </w:tcPr>
          <w:p w:rsidR="00077383" w:rsidRPr="000B592B" w:rsidRDefault="00077383" w:rsidP="000B592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B592B">
              <w:rPr>
                <w:rFonts w:ascii="Times New Roman" w:eastAsia="標楷體" w:hAnsi="Times New Roman"/>
                <w:sz w:val="28"/>
                <w:szCs w:val="28"/>
              </w:rPr>
              <w:t>說明</w:t>
            </w:r>
          </w:p>
        </w:tc>
      </w:tr>
      <w:tr w:rsidR="00B356B4" w:rsidRPr="000B592B" w:rsidTr="00116BAC">
        <w:tc>
          <w:tcPr>
            <w:tcW w:w="4148" w:type="dxa"/>
          </w:tcPr>
          <w:p w:rsidR="009529B7" w:rsidRDefault="009529B7" w:rsidP="00CC54DC">
            <w:pPr>
              <w:spacing w:line="0" w:lineRule="atLeast"/>
              <w:ind w:left="567" w:hanging="56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</w:t>
            </w:r>
            <w:r w:rsidR="006B4A9E" w:rsidRPr="000B5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條</w:t>
            </w:r>
          </w:p>
          <w:p w:rsidR="00B356B4" w:rsidRPr="000B592B" w:rsidRDefault="00B356B4" w:rsidP="00046EBC">
            <w:pPr>
              <w:spacing w:line="0" w:lineRule="atLeast"/>
              <w:ind w:firstLine="56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5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本標準依本公司「股票造市者及</w:t>
            </w:r>
            <w:r w:rsidR="00921B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交易獎勵參與</w:t>
            </w:r>
            <w:bookmarkStart w:id="0" w:name="_GoBack"/>
            <w:bookmarkEnd w:id="0"/>
            <w:r w:rsidR="00921B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者</w:t>
            </w:r>
            <w:r w:rsidRPr="000B5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作業辦法</w:t>
            </w:r>
            <w:r w:rsidR="000F73D7" w:rsidRPr="000B5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」</w:t>
            </w:r>
            <w:r w:rsidR="00116BA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（以下簡稱本辦法）</w:t>
            </w:r>
            <w:r w:rsidR="000F73D7" w:rsidRPr="000B5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</w:t>
            </w:r>
            <w:r w:rsidR="009529B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六</w:t>
            </w:r>
            <w:r w:rsidRPr="000B5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條規定</w:t>
            </w:r>
            <w:r w:rsidR="00DC219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訂定之</w:t>
            </w:r>
            <w:r w:rsidRPr="000B5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4148" w:type="dxa"/>
          </w:tcPr>
          <w:p w:rsidR="00B356B4" w:rsidRPr="000B592B" w:rsidRDefault="00E61A99" w:rsidP="000D65EC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B592B">
              <w:rPr>
                <w:rFonts w:ascii="Times New Roman" w:eastAsia="標楷體" w:hAnsi="Times New Roman" w:hint="eastAsia"/>
                <w:sz w:val="28"/>
                <w:szCs w:val="28"/>
              </w:rPr>
              <w:t>明訂本標準之訂定依據。</w:t>
            </w:r>
          </w:p>
        </w:tc>
      </w:tr>
      <w:tr w:rsidR="002D69BF" w:rsidRPr="000B592B" w:rsidTr="00116BAC">
        <w:tc>
          <w:tcPr>
            <w:tcW w:w="4148" w:type="dxa"/>
          </w:tcPr>
          <w:p w:rsidR="009529B7" w:rsidRDefault="009529B7" w:rsidP="00CC54DC">
            <w:pPr>
              <w:spacing w:line="0" w:lineRule="atLeast"/>
              <w:ind w:left="567" w:hanging="56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第二條</w:t>
            </w:r>
          </w:p>
          <w:p w:rsidR="009B7467" w:rsidRPr="000B592B" w:rsidRDefault="009B7467" w:rsidP="00046EBC">
            <w:pPr>
              <w:spacing w:line="0" w:lineRule="atLeast"/>
              <w:ind w:firstLine="56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5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股票造市者當月</w:t>
            </w:r>
            <w:r w:rsidR="00B272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買賣報價</w:t>
            </w:r>
            <w:r w:rsidRPr="000B5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符合本辦法</w:t>
            </w:r>
            <w:r w:rsidR="001C7690" w:rsidRPr="000B5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</w:t>
            </w:r>
            <w:r w:rsidR="00164C2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</w:t>
            </w:r>
            <w:r w:rsidR="001C7690" w:rsidRPr="000B5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條</w:t>
            </w:r>
            <w:r w:rsidR="00B272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規定</w:t>
            </w:r>
            <w:r w:rsidR="00CA1E9C" w:rsidRPr="000B5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者，本公司依下列標準折讓</w:t>
            </w:r>
            <w:r w:rsidR="00C33B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</w:t>
            </w:r>
            <w:r w:rsidR="00567DB5">
              <w:rPr>
                <w:rFonts w:ascii="Times New Roman" w:eastAsia="標楷體" w:hAnsi="Times New Roman" w:hint="eastAsia"/>
                <w:sz w:val="28"/>
                <w:szCs w:val="28"/>
              </w:rPr>
              <w:t>選定股票</w:t>
            </w:r>
            <w:r w:rsidR="00567D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當月</w:t>
            </w:r>
            <w:r w:rsidR="00567DB5" w:rsidRPr="000B5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經手費</w:t>
            </w:r>
            <w:r w:rsidR="00973118" w:rsidRPr="000B5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="00973118" w:rsidRPr="000B592B">
              <w:rPr>
                <w:rFonts w:ascii="Times New Roman" w:eastAsia="標楷體" w:hAnsi="Times New Roman" w:hint="eastAsia"/>
                <w:sz w:val="28"/>
                <w:szCs w:val="28"/>
              </w:rPr>
              <w:t>證券商</w:t>
            </w:r>
            <w:r w:rsidR="00973118" w:rsidRPr="000B592B">
              <w:rPr>
                <w:rFonts w:ascii="Times New Roman" w:eastAsia="標楷體" w:hAnsi="Times New Roman"/>
                <w:sz w:val="28"/>
                <w:szCs w:val="28"/>
              </w:rPr>
              <w:t>帳號為</w:t>
            </w:r>
            <w:r w:rsidR="00973118" w:rsidRPr="000B592B">
              <w:rPr>
                <w:rFonts w:ascii="Times New Roman" w:eastAsia="標楷體" w:hAnsi="Times New Roman" w:hint="eastAsia"/>
                <w:sz w:val="28"/>
                <w:szCs w:val="28"/>
              </w:rPr>
              <w:t>五五五五五五</w:t>
            </w:r>
            <w:r w:rsidR="00973118" w:rsidRPr="000B592B">
              <w:rPr>
                <w:rFonts w:ascii="Times New Roman" w:eastAsia="標楷體" w:hAnsi="Times New Roman"/>
                <w:sz w:val="28"/>
                <w:szCs w:val="28"/>
              </w:rPr>
              <w:t>-</w:t>
            </w:r>
            <w:r w:rsidR="00973118" w:rsidRPr="000B592B">
              <w:rPr>
                <w:rFonts w:ascii="Times New Roman" w:eastAsia="標楷體" w:hAnsi="Times New Roman"/>
                <w:sz w:val="28"/>
                <w:szCs w:val="28"/>
              </w:rPr>
              <w:t>五</w:t>
            </w:r>
            <w:r w:rsidR="00973118" w:rsidRPr="000B5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r w:rsidR="00CA1E9C" w:rsidRPr="000B5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  <w:p w:rsidR="00E878B3" w:rsidRPr="000B592B" w:rsidRDefault="00E878B3" w:rsidP="000B592B">
            <w:pPr>
              <w:spacing w:line="0" w:lineRule="atLeast"/>
              <w:ind w:left="482" w:hanging="482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482" w:type="dxa"/>
              <w:tblLook w:val="04A0" w:firstRow="1" w:lastRow="0" w:firstColumn="1" w:lastColumn="0" w:noHBand="0" w:noVBand="1"/>
            </w:tblPr>
            <w:tblGrid>
              <w:gridCol w:w="1720"/>
              <w:gridCol w:w="1720"/>
            </w:tblGrid>
            <w:tr w:rsidR="00CA1E9C" w:rsidRPr="000B592B" w:rsidTr="00CA1E9C">
              <w:tc>
                <w:tcPr>
                  <w:tcW w:w="1720" w:type="dxa"/>
                </w:tcPr>
                <w:p w:rsidR="00CA1E9C" w:rsidRPr="000B592B" w:rsidRDefault="00CA1E9C" w:rsidP="000B592B">
                  <w:pPr>
                    <w:spacing w:line="0" w:lineRule="atLeas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B59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月成交量比重</w:t>
                  </w:r>
                </w:p>
              </w:tc>
              <w:tc>
                <w:tcPr>
                  <w:tcW w:w="1720" w:type="dxa"/>
                </w:tcPr>
                <w:p w:rsidR="00CA1E9C" w:rsidRPr="000B592B" w:rsidRDefault="00B272CF" w:rsidP="000B592B">
                  <w:pPr>
                    <w:spacing w:line="0" w:lineRule="atLeas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當月</w:t>
                  </w:r>
                  <w:proofErr w:type="gramStart"/>
                  <w:r w:rsidR="00CA1E9C" w:rsidRPr="000B59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經手費折讓</w:t>
                  </w:r>
                  <w:proofErr w:type="gramEnd"/>
                  <w:r w:rsidR="00781A2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比率</w:t>
                  </w:r>
                </w:p>
              </w:tc>
            </w:tr>
            <w:tr w:rsidR="00CA1E9C" w:rsidRPr="000B592B" w:rsidTr="00CA1E9C">
              <w:tc>
                <w:tcPr>
                  <w:tcW w:w="1720" w:type="dxa"/>
                </w:tcPr>
                <w:p w:rsidR="00CA1E9C" w:rsidRPr="000B592B" w:rsidRDefault="00CA1E9C" w:rsidP="000B592B">
                  <w:pPr>
                    <w:spacing w:line="0" w:lineRule="atLeas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B59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未滿</w:t>
                  </w:r>
                  <w:r w:rsidRPr="000B59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10%</w:t>
                  </w:r>
                </w:p>
              </w:tc>
              <w:tc>
                <w:tcPr>
                  <w:tcW w:w="1720" w:type="dxa"/>
                </w:tcPr>
                <w:p w:rsidR="00CA1E9C" w:rsidRPr="000B592B" w:rsidRDefault="00CA1E9C" w:rsidP="000B592B">
                  <w:pPr>
                    <w:spacing w:line="0" w:lineRule="atLeas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B59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10%</w:t>
                  </w:r>
                </w:p>
              </w:tc>
            </w:tr>
            <w:tr w:rsidR="00CA1E9C" w:rsidRPr="000B592B" w:rsidTr="00CA1E9C">
              <w:tc>
                <w:tcPr>
                  <w:tcW w:w="1720" w:type="dxa"/>
                </w:tcPr>
                <w:p w:rsidR="00CA1E9C" w:rsidRPr="000B592B" w:rsidRDefault="00CA1E9C" w:rsidP="000B592B">
                  <w:pPr>
                    <w:spacing w:line="0" w:lineRule="atLeas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B59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10%</w:t>
                  </w:r>
                  <w:r w:rsidRPr="000B59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以上</w:t>
                  </w:r>
                </w:p>
              </w:tc>
              <w:tc>
                <w:tcPr>
                  <w:tcW w:w="1720" w:type="dxa"/>
                </w:tcPr>
                <w:p w:rsidR="00CA1E9C" w:rsidRPr="000B592B" w:rsidRDefault="00CA1E9C" w:rsidP="000B592B">
                  <w:pPr>
                    <w:spacing w:line="0" w:lineRule="atLeas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B59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月成交量比重</w:t>
                  </w:r>
                </w:p>
              </w:tc>
            </w:tr>
            <w:tr w:rsidR="00CA1E9C" w:rsidRPr="000B592B" w:rsidTr="00FB48C7">
              <w:tc>
                <w:tcPr>
                  <w:tcW w:w="3440" w:type="dxa"/>
                  <w:gridSpan w:val="2"/>
                </w:tcPr>
                <w:p w:rsidR="00CA6C27" w:rsidRPr="000B592B" w:rsidRDefault="00CA1E9C" w:rsidP="00413854">
                  <w:pPr>
                    <w:spacing w:line="0" w:lineRule="atLeas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0B59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註</w:t>
                  </w:r>
                  <w:proofErr w:type="gramEnd"/>
                  <w:r w:rsidRPr="000B59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：（月成交量比重）＝（</w:t>
                  </w:r>
                  <w:r w:rsidR="001E6533" w:rsidRPr="000B59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股票</w:t>
                  </w:r>
                  <w:r w:rsidRPr="000B59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造市者當月</w:t>
                  </w:r>
                  <w:r w:rsidR="00413854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普通交易</w:t>
                  </w:r>
                  <w:r w:rsidRPr="000B59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買賣該</w:t>
                  </w:r>
                  <w:r w:rsidR="00703283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選定</w:t>
                  </w:r>
                  <w:r w:rsidR="00ED65FA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股票</w:t>
                  </w:r>
                  <w:r w:rsidRPr="000B59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成交量）÷（當月該</w:t>
                  </w:r>
                  <w:r w:rsidR="00703283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選定</w:t>
                  </w:r>
                  <w:r w:rsidR="00ED65FA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股票</w:t>
                  </w:r>
                  <w:r w:rsidR="00413854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普通交易</w:t>
                  </w:r>
                  <w:r w:rsidRPr="000B59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總成交量）。總成交量＝（買進成交量＋賣出成交量）</w:t>
                  </w:r>
                </w:p>
              </w:tc>
            </w:tr>
          </w:tbl>
          <w:p w:rsidR="00E878B3" w:rsidRDefault="00E878B3" w:rsidP="000B592B">
            <w:pPr>
              <w:spacing w:line="0" w:lineRule="atLeast"/>
              <w:ind w:leftChars="200" w:left="4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878B3" w:rsidRDefault="00203B82" w:rsidP="00046EBC">
            <w:pPr>
              <w:spacing w:line="0" w:lineRule="atLeast"/>
              <w:ind w:firstLine="56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前項</w:t>
            </w:r>
            <w:r w:rsidR="00E878B3" w:rsidRPr="006C6C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月成交量</w:t>
            </w:r>
            <w:r w:rsidR="00DC219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E878B3" w:rsidRPr="006C6C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不含該專戶</w:t>
            </w:r>
            <w:r w:rsidR="006C6CF5" w:rsidRPr="006C6C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自行</w:t>
            </w:r>
            <w:r w:rsidR="00E878B3" w:rsidRPr="006C6C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或與其他自有名義開立之帳戶相互買賣成交之數量</w:t>
            </w:r>
            <w:r w:rsidR="006C6CF5" w:rsidRPr="006C6C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2D69BF" w:rsidRPr="000B592B" w:rsidRDefault="00896917" w:rsidP="00046EBC">
            <w:pPr>
              <w:spacing w:line="0" w:lineRule="atLeast"/>
              <w:ind w:firstLine="56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特</w:t>
            </w:r>
            <w:r w:rsidR="00FB48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定股票</w:t>
            </w:r>
            <w:r w:rsidR="00C33B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除依</w:t>
            </w:r>
            <w:r w:rsidR="00FB48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第一項</w:t>
            </w:r>
            <w:r w:rsidR="00CC6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規定計算</w:t>
            </w:r>
            <w:proofErr w:type="gramStart"/>
            <w:r w:rsidR="00CC6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經手費</w:t>
            </w:r>
            <w:r w:rsidR="00CC6B0F" w:rsidRPr="000B5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折讓</w:t>
            </w:r>
            <w:proofErr w:type="gramEnd"/>
            <w:r w:rsidR="00CC6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比率</w:t>
            </w:r>
            <w:r w:rsidR="00C33B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外，另加計</w:t>
            </w:r>
            <w:r w:rsidR="00A60C33" w:rsidRPr="000B5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10%</w:t>
            </w:r>
            <w:proofErr w:type="gramStart"/>
            <w:r w:rsidR="00A60C33" w:rsidRPr="000B5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經手費折讓</w:t>
            </w:r>
            <w:proofErr w:type="gramEnd"/>
            <w:r w:rsidR="00A60C33" w:rsidRPr="000B5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比率。</w:t>
            </w:r>
          </w:p>
        </w:tc>
        <w:tc>
          <w:tcPr>
            <w:tcW w:w="4148" w:type="dxa"/>
          </w:tcPr>
          <w:p w:rsidR="002D69BF" w:rsidRDefault="009529B7" w:rsidP="00046EBC">
            <w:pPr>
              <w:spacing w:line="0" w:lineRule="atLeast"/>
              <w:ind w:left="567" w:hanging="567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一、</w:t>
            </w:r>
            <w:r w:rsidR="00443538">
              <w:rPr>
                <w:rFonts w:ascii="Times New Roman" w:eastAsia="標楷體" w:hAnsi="Times New Roman" w:hint="eastAsia"/>
                <w:sz w:val="28"/>
                <w:szCs w:val="28"/>
              </w:rPr>
              <w:t>股票</w:t>
            </w:r>
            <w:r w:rsidR="00413854">
              <w:rPr>
                <w:rFonts w:ascii="Times New Roman" w:eastAsia="標楷體" w:hAnsi="Times New Roman" w:hint="eastAsia"/>
                <w:sz w:val="28"/>
                <w:szCs w:val="28"/>
              </w:rPr>
              <w:t>造市者成交獎勵</w:t>
            </w:r>
            <w:proofErr w:type="gramStart"/>
            <w:r w:rsidR="00413854">
              <w:rPr>
                <w:rFonts w:ascii="Times New Roman" w:eastAsia="標楷體" w:hAnsi="Times New Roman" w:hint="eastAsia"/>
                <w:sz w:val="28"/>
                <w:szCs w:val="28"/>
              </w:rPr>
              <w:t>經手費折讓</w:t>
            </w:r>
            <w:proofErr w:type="gramEnd"/>
            <w:r w:rsidR="00413854">
              <w:rPr>
                <w:rFonts w:ascii="Times New Roman" w:eastAsia="標楷體" w:hAnsi="Times New Roman" w:hint="eastAsia"/>
                <w:sz w:val="28"/>
                <w:szCs w:val="28"/>
              </w:rPr>
              <w:t>比率</w:t>
            </w:r>
            <w:r w:rsidR="00C33B61"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  <w:r w:rsidR="00413854">
              <w:rPr>
                <w:rFonts w:ascii="Times New Roman" w:eastAsia="標楷體" w:hAnsi="Times New Roman" w:hint="eastAsia"/>
                <w:sz w:val="28"/>
                <w:szCs w:val="28"/>
              </w:rPr>
              <w:t>係視股票造市者對</w:t>
            </w:r>
            <w:r w:rsidR="00703283">
              <w:rPr>
                <w:rFonts w:ascii="Times New Roman" w:eastAsia="標楷體" w:hAnsi="Times New Roman" w:hint="eastAsia"/>
                <w:sz w:val="28"/>
                <w:szCs w:val="28"/>
              </w:rPr>
              <w:t>選定</w:t>
            </w:r>
            <w:r w:rsidR="00ED65FA">
              <w:rPr>
                <w:rFonts w:ascii="Times New Roman" w:eastAsia="標楷體" w:hAnsi="Times New Roman" w:hint="eastAsia"/>
                <w:sz w:val="28"/>
                <w:szCs w:val="28"/>
              </w:rPr>
              <w:t>股票</w:t>
            </w:r>
            <w:r w:rsidR="00413854">
              <w:rPr>
                <w:rFonts w:ascii="Times New Roman" w:eastAsia="標楷體" w:hAnsi="Times New Roman" w:hint="eastAsia"/>
                <w:sz w:val="28"/>
                <w:szCs w:val="28"/>
              </w:rPr>
              <w:t>當月普通交易成交量貢獻程度而定，</w:t>
            </w:r>
            <w:r w:rsidR="00703283">
              <w:rPr>
                <w:rFonts w:ascii="Times New Roman" w:eastAsia="標楷體" w:hAnsi="Times New Roman" w:hint="eastAsia"/>
                <w:sz w:val="28"/>
                <w:szCs w:val="28"/>
              </w:rPr>
              <w:t>選定</w:t>
            </w:r>
            <w:r w:rsidR="00ED65FA">
              <w:rPr>
                <w:rFonts w:ascii="Times New Roman" w:eastAsia="標楷體" w:hAnsi="Times New Roman" w:hint="eastAsia"/>
                <w:sz w:val="28"/>
                <w:szCs w:val="28"/>
              </w:rPr>
              <w:t>股票</w:t>
            </w:r>
            <w:proofErr w:type="gramStart"/>
            <w:r w:rsidR="00413854">
              <w:rPr>
                <w:rFonts w:ascii="Times New Roman" w:eastAsia="標楷體" w:hAnsi="Times New Roman" w:hint="eastAsia"/>
                <w:sz w:val="28"/>
                <w:szCs w:val="28"/>
              </w:rPr>
              <w:t>經手費</w:t>
            </w:r>
            <w:r w:rsidR="00A12578">
              <w:rPr>
                <w:rFonts w:ascii="Times New Roman" w:eastAsia="標楷體" w:hAnsi="Times New Roman" w:hint="eastAsia"/>
                <w:sz w:val="28"/>
                <w:szCs w:val="28"/>
              </w:rPr>
              <w:t>折讓</w:t>
            </w:r>
            <w:proofErr w:type="gramEnd"/>
            <w:r w:rsidR="00A12578">
              <w:rPr>
                <w:rFonts w:ascii="Times New Roman" w:eastAsia="標楷體" w:hAnsi="Times New Roman" w:hint="eastAsia"/>
                <w:sz w:val="28"/>
                <w:szCs w:val="28"/>
              </w:rPr>
              <w:t>範</w:t>
            </w:r>
            <w:r w:rsidR="00413854">
              <w:rPr>
                <w:rFonts w:ascii="Times New Roman" w:eastAsia="標楷體" w:hAnsi="Times New Roman" w:hint="eastAsia"/>
                <w:sz w:val="28"/>
                <w:szCs w:val="28"/>
              </w:rPr>
              <w:t>圍</w:t>
            </w:r>
            <w:r w:rsidR="00A12578">
              <w:rPr>
                <w:rFonts w:ascii="Times New Roman" w:eastAsia="標楷體" w:hAnsi="Times New Roman" w:hint="eastAsia"/>
                <w:sz w:val="28"/>
                <w:szCs w:val="28"/>
              </w:rPr>
              <w:t>包含普通交易及盤後定價買賣金額</w:t>
            </w:r>
            <w:r w:rsidR="002B58FD" w:rsidRPr="000B592B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1E6533" w:rsidRPr="000B592B" w:rsidRDefault="009529B7" w:rsidP="0048380F">
            <w:pPr>
              <w:spacing w:line="0" w:lineRule="atLeast"/>
              <w:ind w:left="567" w:hanging="567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二、</w:t>
            </w:r>
            <w:r w:rsidR="0000233F">
              <w:rPr>
                <w:rFonts w:ascii="Times New Roman" w:eastAsia="標楷體" w:hAnsi="Times New Roman" w:hint="eastAsia"/>
                <w:sz w:val="28"/>
                <w:szCs w:val="28"/>
              </w:rPr>
              <w:t>為鼓勵股票造市者對特定股票積極提供買賣報價，</w:t>
            </w:r>
            <w:r w:rsidR="00896917">
              <w:rPr>
                <w:rFonts w:ascii="Times New Roman" w:eastAsia="標楷體" w:hAnsi="Times New Roman" w:hint="eastAsia"/>
                <w:sz w:val="28"/>
                <w:szCs w:val="28"/>
              </w:rPr>
              <w:t>特定股票折讓比率除按第一項標準計算外，</w:t>
            </w:r>
            <w:r w:rsidR="0089691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另額外提供</w:t>
            </w:r>
            <w:r w:rsidR="00896917" w:rsidRPr="000B5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10%</w:t>
            </w:r>
            <w:proofErr w:type="gramStart"/>
            <w:r w:rsidR="00896917" w:rsidRPr="000B5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經手費折讓</w:t>
            </w:r>
            <w:proofErr w:type="gramEnd"/>
            <w:r w:rsidR="00896917" w:rsidRPr="000B5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比率。</w:t>
            </w:r>
          </w:p>
        </w:tc>
      </w:tr>
      <w:tr w:rsidR="00176D9A" w:rsidRPr="000B592B" w:rsidTr="00116BAC">
        <w:tc>
          <w:tcPr>
            <w:tcW w:w="4148" w:type="dxa"/>
          </w:tcPr>
          <w:p w:rsidR="00CF5EE0" w:rsidRDefault="00CF5EE0" w:rsidP="00CC54DC">
            <w:pPr>
              <w:spacing w:line="0" w:lineRule="atLeast"/>
              <w:ind w:left="567" w:hanging="56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第三條</w:t>
            </w:r>
          </w:p>
          <w:p w:rsidR="009978E8" w:rsidRPr="000B592B" w:rsidRDefault="009978E8" w:rsidP="00046EBC">
            <w:pPr>
              <w:spacing w:line="0" w:lineRule="atLeast"/>
              <w:ind w:firstLine="56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5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股票造市者</w:t>
            </w:r>
            <w:r w:rsidR="00B272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就</w:t>
            </w:r>
            <w:r w:rsidR="0089691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選定</w:t>
            </w:r>
            <w:r w:rsidR="00567DB5">
              <w:rPr>
                <w:rFonts w:ascii="Times New Roman" w:eastAsia="標楷體" w:hAnsi="Times New Roman" w:hint="eastAsia"/>
                <w:sz w:val="28"/>
                <w:szCs w:val="28"/>
              </w:rPr>
              <w:t>之</w:t>
            </w:r>
            <w:r w:rsidR="00896917">
              <w:rPr>
                <w:rFonts w:ascii="Times New Roman" w:eastAsia="標楷體" w:hAnsi="Times New Roman" w:hint="eastAsia"/>
                <w:sz w:val="28"/>
                <w:szCs w:val="28"/>
              </w:rPr>
              <w:t>特</w:t>
            </w:r>
            <w:r w:rsidR="00FB48C7">
              <w:rPr>
                <w:rFonts w:ascii="Times New Roman" w:eastAsia="標楷體" w:hAnsi="Times New Roman" w:hint="eastAsia"/>
                <w:sz w:val="28"/>
                <w:szCs w:val="28"/>
              </w:rPr>
              <w:t>定股票</w:t>
            </w:r>
            <w:r w:rsidR="00B272CF">
              <w:rPr>
                <w:rFonts w:ascii="Times New Roman" w:eastAsia="標楷體" w:hAnsi="Times New Roman" w:hint="eastAsia"/>
                <w:sz w:val="28"/>
                <w:szCs w:val="28"/>
              </w:rPr>
              <w:t>買賣報價均</w:t>
            </w:r>
            <w:r w:rsidR="00F655A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符合本辦法第</w:t>
            </w:r>
            <w:r w:rsidR="00164C2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</w:t>
            </w:r>
            <w:r w:rsidRPr="000B5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條規</w:t>
            </w:r>
            <w:r w:rsidR="00B272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定</w:t>
            </w:r>
            <w:r w:rsidRPr="000B5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者，</w:t>
            </w:r>
            <w:r w:rsidR="001D2B8D" w:rsidRPr="000B5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本公司依下列標準折讓</w:t>
            </w:r>
            <w:r w:rsidR="00B272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其</w:t>
            </w:r>
            <w:r w:rsidR="001D2B8D" w:rsidRPr="000B5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自行買賣專戶（</w:t>
            </w:r>
            <w:r w:rsidR="001D2B8D" w:rsidRPr="000B592B">
              <w:rPr>
                <w:rFonts w:ascii="Times New Roman" w:eastAsia="標楷體" w:hAnsi="Times New Roman" w:hint="eastAsia"/>
                <w:sz w:val="28"/>
                <w:szCs w:val="28"/>
              </w:rPr>
              <w:t>證券商</w:t>
            </w:r>
            <w:r w:rsidR="001D2B8D" w:rsidRPr="000B592B">
              <w:rPr>
                <w:rFonts w:ascii="Times New Roman" w:eastAsia="標楷體" w:hAnsi="Times New Roman"/>
                <w:sz w:val="28"/>
                <w:szCs w:val="28"/>
              </w:rPr>
              <w:t>帳號為</w:t>
            </w:r>
            <w:r w:rsidR="00116BAC">
              <w:rPr>
                <w:rFonts w:ascii="Times New Roman" w:eastAsia="標楷體" w:hAnsi="Times New Roman" w:hint="eastAsia"/>
                <w:sz w:val="28"/>
                <w:szCs w:val="28"/>
              </w:rPr>
              <w:t>００００００</w:t>
            </w:r>
            <w:r w:rsidR="00116BAC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="00116BAC">
              <w:rPr>
                <w:rFonts w:ascii="Times New Roman" w:eastAsia="標楷體" w:hAnsi="Times New Roman" w:hint="eastAsia"/>
                <w:sz w:val="28"/>
                <w:szCs w:val="28"/>
              </w:rPr>
              <w:t>０</w:t>
            </w:r>
            <w:r w:rsidR="001D2B8D" w:rsidRPr="000B5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r w:rsidR="00B272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當月</w:t>
            </w:r>
            <w:r w:rsidR="001D2B8D" w:rsidRPr="000B5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經手費</w:t>
            </w:r>
            <w:r w:rsidRPr="000B5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  <w:tbl>
            <w:tblPr>
              <w:tblStyle w:val="a3"/>
              <w:tblW w:w="0" w:type="auto"/>
              <w:tblInd w:w="482" w:type="dxa"/>
              <w:tblLook w:val="04A0" w:firstRow="1" w:lastRow="0" w:firstColumn="1" w:lastColumn="0" w:noHBand="0" w:noVBand="1"/>
            </w:tblPr>
            <w:tblGrid>
              <w:gridCol w:w="1813"/>
              <w:gridCol w:w="1627"/>
            </w:tblGrid>
            <w:tr w:rsidR="001D2B8D" w:rsidRPr="000B592B" w:rsidTr="007A4D12">
              <w:tc>
                <w:tcPr>
                  <w:tcW w:w="1813" w:type="dxa"/>
                </w:tcPr>
                <w:p w:rsidR="001D2B8D" w:rsidRPr="000B592B" w:rsidRDefault="00DA4516" w:rsidP="00DA1597">
                  <w:pPr>
                    <w:spacing w:line="0" w:lineRule="atLeas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股票造市者買賣報價符合規定之</w:t>
                  </w:r>
                  <w:r w:rsidR="00EF4AB3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選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定</w:t>
                  </w:r>
                  <w:r w:rsidR="00ED65FA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股票</w:t>
                  </w:r>
                  <w:r w:rsidR="00BA3C13" w:rsidRPr="000B59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檔數</w:t>
                  </w:r>
                </w:p>
              </w:tc>
              <w:tc>
                <w:tcPr>
                  <w:tcW w:w="1627" w:type="dxa"/>
                </w:tcPr>
                <w:p w:rsidR="001D2B8D" w:rsidRPr="000B592B" w:rsidRDefault="00B272CF" w:rsidP="000B592B">
                  <w:pPr>
                    <w:spacing w:line="0" w:lineRule="atLeas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當月</w:t>
                  </w:r>
                  <w:proofErr w:type="gramStart"/>
                  <w:r w:rsidR="001D2B8D" w:rsidRPr="000B59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經手費折讓</w:t>
                  </w:r>
                  <w:proofErr w:type="gramEnd"/>
                  <w:r w:rsidR="00781A2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比率</w:t>
                  </w:r>
                </w:p>
              </w:tc>
            </w:tr>
            <w:tr w:rsidR="001D2B8D" w:rsidRPr="000B592B" w:rsidTr="007A4D12">
              <w:tc>
                <w:tcPr>
                  <w:tcW w:w="1813" w:type="dxa"/>
                </w:tcPr>
                <w:p w:rsidR="001D2B8D" w:rsidRPr="000B592B" w:rsidRDefault="00BA3C13" w:rsidP="000B592B">
                  <w:pPr>
                    <w:spacing w:line="0" w:lineRule="atLeas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B59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5-9</w:t>
                  </w:r>
                  <w:r w:rsidR="00267D16" w:rsidRPr="000B59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檔</w:t>
                  </w:r>
                </w:p>
              </w:tc>
              <w:tc>
                <w:tcPr>
                  <w:tcW w:w="1627" w:type="dxa"/>
                </w:tcPr>
                <w:p w:rsidR="001D2B8D" w:rsidRPr="000B592B" w:rsidRDefault="00BA3C13" w:rsidP="000B592B">
                  <w:pPr>
                    <w:spacing w:line="0" w:lineRule="atLeas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B59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5</w:t>
                  </w:r>
                  <w:r w:rsidR="001D2B8D" w:rsidRPr="000B59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%</w:t>
                  </w:r>
                </w:p>
              </w:tc>
            </w:tr>
            <w:tr w:rsidR="00BA3C13" w:rsidRPr="000B592B" w:rsidTr="007A4D12">
              <w:tc>
                <w:tcPr>
                  <w:tcW w:w="1813" w:type="dxa"/>
                </w:tcPr>
                <w:p w:rsidR="00BA3C13" w:rsidRPr="000B592B" w:rsidRDefault="00BA3C13" w:rsidP="000B592B">
                  <w:pPr>
                    <w:spacing w:line="0" w:lineRule="atLeas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B59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10-14</w:t>
                  </w:r>
                  <w:r w:rsidR="00267D16" w:rsidRPr="000B59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檔</w:t>
                  </w:r>
                </w:p>
              </w:tc>
              <w:tc>
                <w:tcPr>
                  <w:tcW w:w="1627" w:type="dxa"/>
                </w:tcPr>
                <w:p w:rsidR="00BA3C13" w:rsidRPr="000B592B" w:rsidRDefault="00BA3C13" w:rsidP="000B592B">
                  <w:pPr>
                    <w:spacing w:line="0" w:lineRule="atLeas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B59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10%</w:t>
                  </w:r>
                </w:p>
              </w:tc>
            </w:tr>
            <w:tr w:rsidR="00BA3C13" w:rsidRPr="000B592B" w:rsidTr="007A4D12">
              <w:tc>
                <w:tcPr>
                  <w:tcW w:w="1813" w:type="dxa"/>
                </w:tcPr>
                <w:p w:rsidR="00BA3C13" w:rsidRPr="000B592B" w:rsidRDefault="00BA3C13" w:rsidP="000B592B">
                  <w:pPr>
                    <w:spacing w:line="0" w:lineRule="atLeas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B59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15-19</w:t>
                  </w:r>
                  <w:r w:rsidR="00267D16" w:rsidRPr="000B59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檔</w:t>
                  </w:r>
                </w:p>
              </w:tc>
              <w:tc>
                <w:tcPr>
                  <w:tcW w:w="1627" w:type="dxa"/>
                </w:tcPr>
                <w:p w:rsidR="00BA3C13" w:rsidRPr="000B592B" w:rsidRDefault="00BA3C13" w:rsidP="000B592B">
                  <w:pPr>
                    <w:spacing w:line="0" w:lineRule="atLeas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B59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15%</w:t>
                  </w:r>
                </w:p>
              </w:tc>
            </w:tr>
            <w:tr w:rsidR="00BA3C13" w:rsidRPr="000B592B" w:rsidTr="007A4D12">
              <w:tc>
                <w:tcPr>
                  <w:tcW w:w="1813" w:type="dxa"/>
                </w:tcPr>
                <w:p w:rsidR="00BA3C13" w:rsidRPr="000B592B" w:rsidRDefault="00BA3C13" w:rsidP="000B592B">
                  <w:pPr>
                    <w:spacing w:line="0" w:lineRule="atLeas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B59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20</w:t>
                  </w:r>
                  <w:r w:rsidR="00267D16" w:rsidRPr="000B59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檔</w:t>
                  </w:r>
                  <w:r w:rsidRPr="000B59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以上</w:t>
                  </w:r>
                </w:p>
              </w:tc>
              <w:tc>
                <w:tcPr>
                  <w:tcW w:w="1627" w:type="dxa"/>
                </w:tcPr>
                <w:p w:rsidR="00BA3C13" w:rsidRPr="000B592B" w:rsidRDefault="00BA3C13" w:rsidP="000B592B">
                  <w:pPr>
                    <w:spacing w:line="0" w:lineRule="atLeas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B59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20%</w:t>
                  </w:r>
                </w:p>
              </w:tc>
            </w:tr>
          </w:tbl>
          <w:p w:rsidR="00973118" w:rsidRPr="000B592B" w:rsidRDefault="00973118" w:rsidP="000B592B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73118" w:rsidRPr="000B592B" w:rsidRDefault="00D927FC" w:rsidP="00D927FC">
            <w:pPr>
              <w:spacing w:line="0" w:lineRule="atLeast"/>
              <w:ind w:firstLine="56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前項經手費，</w:t>
            </w:r>
            <w:r w:rsidRPr="006C6C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不含該專戶自行或與其他自有名義開立之帳戶相互買賣成交之</w:t>
            </w:r>
            <w:r w:rsidR="00CD12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經手費</w:t>
            </w:r>
            <w:r w:rsidRPr="006C6C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4148" w:type="dxa"/>
          </w:tcPr>
          <w:p w:rsidR="00176D9A" w:rsidRPr="000B592B" w:rsidRDefault="00781A21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考量股票造市者肩負買賣報價義務，須付出相當成本，</w:t>
            </w:r>
            <w:r w:rsidR="00EF4AB3">
              <w:rPr>
                <w:rFonts w:ascii="Times New Roman" w:eastAsia="標楷體" w:hAnsi="Times New Roman" w:hint="eastAsia"/>
                <w:sz w:val="28"/>
                <w:szCs w:val="28"/>
              </w:rPr>
              <w:t>如選定</w:t>
            </w:r>
            <w:r w:rsidR="00567DB5">
              <w:rPr>
                <w:rFonts w:ascii="Times New Roman" w:eastAsia="標楷體" w:hAnsi="Times New Roman" w:hint="eastAsia"/>
                <w:sz w:val="28"/>
                <w:szCs w:val="28"/>
              </w:rPr>
              <w:t>之</w:t>
            </w:r>
            <w:r w:rsidR="00EF4AB3">
              <w:rPr>
                <w:rFonts w:ascii="Times New Roman" w:eastAsia="標楷體" w:hAnsi="Times New Roman" w:hint="eastAsia"/>
                <w:sz w:val="28"/>
                <w:szCs w:val="28"/>
              </w:rPr>
              <w:t>特定股票當月全數符合買賣報價規定者，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將依</w:t>
            </w:r>
            <w:r w:rsidR="00896917">
              <w:rPr>
                <w:rFonts w:ascii="Times New Roman" w:eastAsia="標楷體" w:hAnsi="Times New Roman" w:hint="eastAsia"/>
                <w:sz w:val="28"/>
                <w:szCs w:val="28"/>
              </w:rPr>
              <w:t>選定</w:t>
            </w:r>
            <w:r w:rsidR="00ED65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股票</w:t>
            </w:r>
            <w:r w:rsidRPr="000B5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符合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規範</w:t>
            </w:r>
            <w:proofErr w:type="gramStart"/>
            <w:r w:rsidRPr="000B5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檔數</w:t>
            </w:r>
            <w:r w:rsidR="00567D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另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提供</w:t>
            </w:r>
            <w:proofErr w:type="gramEnd"/>
            <w:r w:rsidR="009978E8" w:rsidRPr="000B592B">
              <w:rPr>
                <w:rFonts w:ascii="Times New Roman" w:eastAsia="標楷體" w:hAnsi="Times New Roman" w:hint="eastAsia"/>
                <w:sz w:val="28"/>
                <w:szCs w:val="28"/>
              </w:rPr>
              <w:t>報價獎勵</w:t>
            </w:r>
            <w:proofErr w:type="gramStart"/>
            <w:r w:rsidR="002B58FD" w:rsidRPr="000B592B">
              <w:rPr>
                <w:rFonts w:ascii="Times New Roman" w:eastAsia="標楷體" w:hAnsi="Times New Roman" w:hint="eastAsia"/>
                <w:sz w:val="28"/>
                <w:szCs w:val="28"/>
              </w:rPr>
              <w:t>經手費</w:t>
            </w:r>
            <w:r w:rsidR="00A12578">
              <w:rPr>
                <w:rFonts w:ascii="Times New Roman" w:eastAsia="標楷體" w:hAnsi="Times New Roman" w:hint="eastAsia"/>
                <w:sz w:val="28"/>
                <w:szCs w:val="28"/>
              </w:rPr>
              <w:t>折讓</w:t>
            </w:r>
            <w:proofErr w:type="gramEnd"/>
            <w:r w:rsidR="002B58FD" w:rsidRPr="000B592B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</w:tc>
      </w:tr>
      <w:tr w:rsidR="000241B5" w:rsidRPr="000B592B" w:rsidTr="00116BAC">
        <w:tc>
          <w:tcPr>
            <w:tcW w:w="4148" w:type="dxa"/>
          </w:tcPr>
          <w:p w:rsidR="00CF5EE0" w:rsidRDefault="00CF5EE0" w:rsidP="008F5FDE">
            <w:pPr>
              <w:spacing w:line="0" w:lineRule="atLeast"/>
              <w:ind w:left="567" w:hanging="56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第</w:t>
            </w:r>
            <w:r w:rsidR="00F655A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條</w:t>
            </w:r>
          </w:p>
          <w:p w:rsidR="007A4D12" w:rsidRPr="00EA59E5" w:rsidRDefault="007B1526" w:rsidP="00EA59E5">
            <w:pPr>
              <w:spacing w:line="0" w:lineRule="atLeast"/>
              <w:ind w:firstLine="567"/>
              <w:rPr>
                <w:rFonts w:ascii="Times New Roman" w:eastAsia="標楷體" w:hAnsi="Times New Roman"/>
                <w:sz w:val="28"/>
                <w:szCs w:val="28"/>
              </w:rPr>
            </w:pPr>
            <w:r w:rsidRPr="000B5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本公司</w:t>
            </w:r>
            <w:r w:rsidR="00D11105" w:rsidRPr="000B592B">
              <w:rPr>
                <w:rFonts w:ascii="Times New Roman" w:eastAsia="標楷體" w:hAnsi="Times New Roman" w:hint="eastAsia"/>
                <w:sz w:val="28"/>
                <w:szCs w:val="28"/>
              </w:rPr>
              <w:t>每月</w:t>
            </w:r>
            <w:r w:rsidR="00334905">
              <w:rPr>
                <w:rFonts w:ascii="Times New Roman" w:eastAsia="標楷體" w:hAnsi="Times New Roman" w:hint="eastAsia"/>
                <w:sz w:val="28"/>
                <w:szCs w:val="28"/>
              </w:rPr>
              <w:t>依</w:t>
            </w:r>
            <w:r w:rsidR="00571C0E" w:rsidRPr="000B592B">
              <w:rPr>
                <w:rFonts w:ascii="Times New Roman" w:eastAsia="標楷體" w:hAnsi="Times New Roman" w:hint="eastAsia"/>
                <w:sz w:val="28"/>
                <w:szCs w:val="28"/>
              </w:rPr>
              <w:t>下列標準</w:t>
            </w:r>
            <w:r w:rsidR="00A12578">
              <w:rPr>
                <w:rFonts w:ascii="Times New Roman" w:eastAsia="標楷體" w:hAnsi="Times New Roman" w:hint="eastAsia"/>
                <w:sz w:val="28"/>
                <w:szCs w:val="28"/>
              </w:rPr>
              <w:t>折讓</w:t>
            </w:r>
            <w:r w:rsidR="00921B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交易獎勵參與者</w:t>
            </w:r>
            <w:r w:rsidR="00F60676">
              <w:rPr>
                <w:rFonts w:ascii="Times New Roman" w:eastAsia="標楷體" w:hAnsi="Times New Roman" w:hint="eastAsia"/>
                <w:sz w:val="28"/>
                <w:szCs w:val="28"/>
              </w:rPr>
              <w:t>選定</w:t>
            </w:r>
            <w:r w:rsidR="008F5F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之</w:t>
            </w:r>
            <w:r w:rsidR="00F606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特定</w:t>
            </w:r>
            <w:r w:rsidR="00F60676">
              <w:rPr>
                <w:rFonts w:ascii="Times New Roman" w:eastAsia="標楷體" w:hAnsi="Times New Roman" w:hint="eastAsia"/>
                <w:sz w:val="28"/>
                <w:szCs w:val="28"/>
              </w:rPr>
              <w:t>股票</w:t>
            </w:r>
            <w:r w:rsidR="00F606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當月</w:t>
            </w:r>
            <w:r w:rsidR="00F60676" w:rsidRPr="000B5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經手費</w:t>
            </w:r>
            <w:r w:rsidR="008F5FDE" w:rsidRPr="000B5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="008F5FDE" w:rsidRPr="000B592B">
              <w:rPr>
                <w:rFonts w:ascii="Times New Roman" w:eastAsia="標楷體" w:hAnsi="Times New Roman" w:hint="eastAsia"/>
                <w:sz w:val="28"/>
                <w:szCs w:val="28"/>
              </w:rPr>
              <w:t>證券商</w:t>
            </w:r>
            <w:r w:rsidR="008F5FDE" w:rsidRPr="000B592B">
              <w:rPr>
                <w:rFonts w:ascii="Times New Roman" w:eastAsia="標楷體" w:hAnsi="Times New Roman"/>
                <w:sz w:val="28"/>
                <w:szCs w:val="28"/>
              </w:rPr>
              <w:t>帳號為</w:t>
            </w:r>
            <w:r w:rsidR="008F5FDE" w:rsidRPr="000B592B">
              <w:rPr>
                <w:rFonts w:ascii="Times New Roman" w:eastAsia="標楷體" w:hAnsi="Times New Roman" w:hint="eastAsia"/>
                <w:sz w:val="28"/>
                <w:szCs w:val="28"/>
              </w:rPr>
              <w:t>五五五五五五</w:t>
            </w:r>
            <w:r w:rsidR="008F5FDE" w:rsidRPr="000B592B">
              <w:rPr>
                <w:rFonts w:ascii="Times New Roman" w:eastAsia="標楷體" w:hAnsi="Times New Roman"/>
                <w:sz w:val="28"/>
                <w:szCs w:val="28"/>
              </w:rPr>
              <w:t>-</w:t>
            </w:r>
            <w:r w:rsidR="00EA59E5">
              <w:rPr>
                <w:rFonts w:ascii="Times New Roman" w:eastAsia="標楷體" w:hAnsi="Times New Roman" w:hint="eastAsia"/>
                <w:sz w:val="28"/>
                <w:szCs w:val="28"/>
              </w:rPr>
              <w:t>六</w:t>
            </w:r>
            <w:r w:rsidR="008F5FDE" w:rsidRPr="000B5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r w:rsidR="00571C0E" w:rsidRPr="000B592B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:rsidR="008F5FDE" w:rsidRDefault="008F5FDE" w:rsidP="00CC54DC">
            <w:pPr>
              <w:spacing w:line="0" w:lineRule="atLeast"/>
              <w:ind w:left="567" w:hanging="567"/>
              <w:rPr>
                <w:rFonts w:ascii="Times New Roman" w:eastAsia="標楷體" w:hAnsi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482" w:type="dxa"/>
              <w:tblLook w:val="04A0" w:firstRow="1" w:lastRow="0" w:firstColumn="1" w:lastColumn="0" w:noHBand="0" w:noVBand="1"/>
            </w:tblPr>
            <w:tblGrid>
              <w:gridCol w:w="1720"/>
              <w:gridCol w:w="1720"/>
            </w:tblGrid>
            <w:tr w:rsidR="000241B5" w:rsidRPr="000B592B" w:rsidTr="00FB48C7">
              <w:tc>
                <w:tcPr>
                  <w:tcW w:w="1720" w:type="dxa"/>
                </w:tcPr>
                <w:p w:rsidR="000241B5" w:rsidRPr="000B592B" w:rsidRDefault="00571C0E" w:rsidP="000B592B">
                  <w:pPr>
                    <w:spacing w:line="0" w:lineRule="atLeas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B59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日平均成交量</w:t>
                  </w:r>
                </w:p>
              </w:tc>
              <w:tc>
                <w:tcPr>
                  <w:tcW w:w="1720" w:type="dxa"/>
                </w:tcPr>
                <w:p w:rsidR="000241B5" w:rsidRPr="000B592B" w:rsidRDefault="00700887" w:rsidP="000B592B">
                  <w:pPr>
                    <w:spacing w:line="0" w:lineRule="atLeas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當月</w:t>
                  </w:r>
                  <w:proofErr w:type="gramStart"/>
                  <w:r w:rsidR="000241B5" w:rsidRPr="000B59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經手費折讓</w:t>
                  </w:r>
                  <w:proofErr w:type="gramEnd"/>
                  <w:r w:rsidR="00781A2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比率</w:t>
                  </w:r>
                </w:p>
              </w:tc>
            </w:tr>
            <w:tr w:rsidR="000241B5" w:rsidRPr="000B592B" w:rsidTr="00FB48C7">
              <w:tc>
                <w:tcPr>
                  <w:tcW w:w="1720" w:type="dxa"/>
                </w:tcPr>
                <w:p w:rsidR="000241B5" w:rsidRPr="000B592B" w:rsidRDefault="00BD6DC7" w:rsidP="000B592B">
                  <w:pPr>
                    <w:spacing w:line="0" w:lineRule="atLeas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B59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100</w:t>
                  </w:r>
                  <w:r w:rsidR="00571C0E" w:rsidRPr="000B59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交易單位以上未滿</w:t>
                  </w:r>
                  <w:r w:rsidRPr="000B59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200</w:t>
                  </w:r>
                  <w:r w:rsidR="00571C0E" w:rsidRPr="000B59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交易單位</w:t>
                  </w:r>
                </w:p>
              </w:tc>
              <w:tc>
                <w:tcPr>
                  <w:tcW w:w="1720" w:type="dxa"/>
                </w:tcPr>
                <w:p w:rsidR="000241B5" w:rsidRPr="000B592B" w:rsidRDefault="000241B5" w:rsidP="000B592B">
                  <w:pPr>
                    <w:spacing w:line="0" w:lineRule="atLeas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B59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10%</w:t>
                  </w:r>
                </w:p>
              </w:tc>
            </w:tr>
            <w:tr w:rsidR="00571C0E" w:rsidRPr="000B592B" w:rsidTr="00FB48C7">
              <w:tc>
                <w:tcPr>
                  <w:tcW w:w="1720" w:type="dxa"/>
                </w:tcPr>
                <w:p w:rsidR="00571C0E" w:rsidRPr="000B592B" w:rsidRDefault="00BD6DC7" w:rsidP="000B592B">
                  <w:pPr>
                    <w:spacing w:line="0" w:lineRule="atLeas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B59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200</w:t>
                  </w:r>
                  <w:r w:rsidR="00571C0E" w:rsidRPr="000B59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交易單位以上未滿</w:t>
                  </w:r>
                  <w:r w:rsidRPr="000B59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300</w:t>
                  </w:r>
                  <w:r w:rsidR="00571C0E" w:rsidRPr="000B59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交易單位</w:t>
                  </w:r>
                </w:p>
              </w:tc>
              <w:tc>
                <w:tcPr>
                  <w:tcW w:w="1720" w:type="dxa"/>
                </w:tcPr>
                <w:p w:rsidR="00571C0E" w:rsidRPr="000B592B" w:rsidRDefault="00BD6DC7" w:rsidP="000B592B">
                  <w:pPr>
                    <w:spacing w:line="0" w:lineRule="atLeas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B59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15%</w:t>
                  </w:r>
                </w:p>
              </w:tc>
            </w:tr>
            <w:tr w:rsidR="00571C0E" w:rsidRPr="000B592B" w:rsidTr="00FB48C7">
              <w:tc>
                <w:tcPr>
                  <w:tcW w:w="1720" w:type="dxa"/>
                </w:tcPr>
                <w:p w:rsidR="00571C0E" w:rsidRPr="000B592B" w:rsidRDefault="00BD6DC7" w:rsidP="000B592B">
                  <w:pPr>
                    <w:spacing w:line="0" w:lineRule="atLeas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B59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3</w:t>
                  </w:r>
                  <w:r w:rsidR="00571C0E" w:rsidRPr="000B59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00</w:t>
                  </w:r>
                  <w:r w:rsidR="00571C0E" w:rsidRPr="000B59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交易單位以上未滿</w:t>
                  </w:r>
                  <w:r w:rsidRPr="000B59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5</w:t>
                  </w:r>
                  <w:r w:rsidR="00571C0E" w:rsidRPr="000B59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00</w:t>
                  </w:r>
                  <w:r w:rsidR="00571C0E" w:rsidRPr="000B59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交易單位</w:t>
                  </w:r>
                </w:p>
              </w:tc>
              <w:tc>
                <w:tcPr>
                  <w:tcW w:w="1720" w:type="dxa"/>
                </w:tcPr>
                <w:p w:rsidR="00571C0E" w:rsidRPr="000B592B" w:rsidRDefault="00BD6DC7" w:rsidP="000B592B">
                  <w:pPr>
                    <w:spacing w:line="0" w:lineRule="atLeas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B59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20%</w:t>
                  </w:r>
                </w:p>
              </w:tc>
            </w:tr>
            <w:tr w:rsidR="00BD6DC7" w:rsidRPr="000B592B" w:rsidTr="00FB48C7">
              <w:tc>
                <w:tcPr>
                  <w:tcW w:w="1720" w:type="dxa"/>
                </w:tcPr>
                <w:p w:rsidR="00BD6DC7" w:rsidRPr="000B592B" w:rsidRDefault="00BD6DC7" w:rsidP="000B592B">
                  <w:pPr>
                    <w:spacing w:line="0" w:lineRule="atLeas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B59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500</w:t>
                  </w:r>
                  <w:r w:rsidRPr="000B59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交易單位以上</w:t>
                  </w:r>
                </w:p>
              </w:tc>
              <w:tc>
                <w:tcPr>
                  <w:tcW w:w="1720" w:type="dxa"/>
                </w:tcPr>
                <w:p w:rsidR="00BD6DC7" w:rsidRPr="000B592B" w:rsidRDefault="00BD6DC7" w:rsidP="000B592B">
                  <w:pPr>
                    <w:spacing w:line="0" w:lineRule="atLeas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B59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25%</w:t>
                  </w:r>
                </w:p>
              </w:tc>
            </w:tr>
          </w:tbl>
          <w:p w:rsidR="000241B5" w:rsidRPr="000B592B" w:rsidRDefault="000241B5" w:rsidP="000B592B">
            <w:pPr>
              <w:spacing w:line="0" w:lineRule="atLeast"/>
              <w:ind w:left="482" w:hanging="482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03B82" w:rsidRPr="000B592B" w:rsidRDefault="00203B82" w:rsidP="00046EBC">
            <w:pPr>
              <w:spacing w:line="0" w:lineRule="atLeast"/>
              <w:ind w:firstLine="56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前項日平均</w:t>
            </w:r>
            <w:r w:rsidRPr="006C6C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成交量</w:t>
            </w:r>
            <w:r w:rsidR="00DC219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Pr="006C6C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不含該專戶自行或與其他自有名義開立之帳戶相互買賣成交之數量。</w:t>
            </w:r>
          </w:p>
        </w:tc>
        <w:tc>
          <w:tcPr>
            <w:tcW w:w="4148" w:type="dxa"/>
          </w:tcPr>
          <w:p w:rsidR="000241B5" w:rsidRPr="000B592B" w:rsidRDefault="00921B9D" w:rsidP="00710D37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交易獎勵參與者</w:t>
            </w:r>
            <w:r w:rsidR="00781A21">
              <w:rPr>
                <w:rFonts w:ascii="Times New Roman" w:eastAsia="標楷體" w:hAnsi="Times New Roman" w:hint="eastAsia"/>
                <w:sz w:val="28"/>
                <w:szCs w:val="28"/>
              </w:rPr>
              <w:t>按當月日平均成交量</w:t>
            </w:r>
            <w:r w:rsidR="00710D37">
              <w:rPr>
                <w:rFonts w:ascii="Times New Roman" w:eastAsia="標楷體" w:hAnsi="Times New Roman" w:hint="eastAsia"/>
                <w:sz w:val="28"/>
                <w:szCs w:val="28"/>
              </w:rPr>
              <w:t>提供</w:t>
            </w:r>
            <w:r w:rsidR="000241B5" w:rsidRPr="000B592B">
              <w:rPr>
                <w:rFonts w:ascii="Times New Roman" w:eastAsia="標楷體" w:hAnsi="Times New Roman" w:hint="eastAsia"/>
                <w:sz w:val="28"/>
                <w:szCs w:val="28"/>
              </w:rPr>
              <w:t>成交獎勵</w:t>
            </w:r>
            <w:proofErr w:type="gramStart"/>
            <w:r w:rsidR="000241B5" w:rsidRPr="000B592B">
              <w:rPr>
                <w:rFonts w:ascii="Times New Roman" w:eastAsia="標楷體" w:hAnsi="Times New Roman" w:hint="eastAsia"/>
                <w:sz w:val="28"/>
                <w:szCs w:val="28"/>
              </w:rPr>
              <w:t>經手費</w:t>
            </w:r>
            <w:r w:rsidR="00A12578">
              <w:rPr>
                <w:rFonts w:ascii="Times New Roman" w:eastAsia="標楷體" w:hAnsi="Times New Roman" w:hint="eastAsia"/>
                <w:sz w:val="28"/>
                <w:szCs w:val="28"/>
              </w:rPr>
              <w:t>折讓</w:t>
            </w:r>
            <w:proofErr w:type="gramEnd"/>
            <w:r w:rsidR="000241B5" w:rsidRPr="000B592B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</w:tc>
      </w:tr>
      <w:tr w:rsidR="00CC54DC" w:rsidRPr="000B592B" w:rsidTr="00116BAC">
        <w:tc>
          <w:tcPr>
            <w:tcW w:w="4148" w:type="dxa"/>
          </w:tcPr>
          <w:p w:rsidR="00CF5EE0" w:rsidRDefault="00CF5EE0">
            <w:pPr>
              <w:spacing w:line="0" w:lineRule="atLeast"/>
              <w:ind w:left="567" w:hanging="56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第五條</w:t>
            </w:r>
          </w:p>
          <w:p w:rsidR="00CC54DC" w:rsidRDefault="00CF5EE0" w:rsidP="00046EBC">
            <w:pPr>
              <w:spacing w:line="0" w:lineRule="atLeast"/>
              <w:ind w:firstLine="56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本標準</w:t>
            </w:r>
            <w:r w:rsidRPr="00742B9C">
              <w:rPr>
                <w:rFonts w:ascii="Times New Roman" w:eastAsia="標楷體" w:hAnsi="Times New Roman" w:hint="eastAsia"/>
                <w:sz w:val="28"/>
                <w:szCs w:val="28"/>
              </w:rPr>
              <w:t>經報</w:t>
            </w:r>
            <w:r w:rsidR="00DC2198">
              <w:rPr>
                <w:rFonts w:ascii="Times New Roman" w:eastAsia="標楷體" w:hAnsi="Times New Roman" w:hint="eastAsia"/>
                <w:sz w:val="28"/>
                <w:szCs w:val="28"/>
              </w:rPr>
              <w:t>請</w:t>
            </w:r>
            <w:r w:rsidRPr="00742B9C">
              <w:rPr>
                <w:rFonts w:ascii="Times New Roman" w:eastAsia="標楷體" w:hAnsi="Times New Roman" w:hint="eastAsia"/>
                <w:sz w:val="28"/>
                <w:szCs w:val="28"/>
              </w:rPr>
              <w:t>主管機關備查</w:t>
            </w:r>
            <w:r w:rsidR="00DC2198">
              <w:rPr>
                <w:rFonts w:ascii="Times New Roman" w:eastAsia="標楷體" w:hAnsi="Times New Roman" w:hint="eastAsia"/>
                <w:sz w:val="28"/>
                <w:szCs w:val="28"/>
              </w:rPr>
              <w:t>後</w:t>
            </w:r>
            <w:r w:rsidRPr="00742B9C">
              <w:rPr>
                <w:rFonts w:ascii="Times New Roman" w:eastAsia="標楷體" w:hAnsi="Times New Roman" w:hint="eastAsia"/>
                <w:sz w:val="28"/>
                <w:szCs w:val="28"/>
              </w:rPr>
              <w:t>公告實施，修正時亦同。</w:t>
            </w:r>
          </w:p>
        </w:tc>
        <w:tc>
          <w:tcPr>
            <w:tcW w:w="4148" w:type="dxa"/>
          </w:tcPr>
          <w:p w:rsidR="00CC54DC" w:rsidRPr="000B592B" w:rsidRDefault="00334905" w:rsidP="000B592B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明定</w:t>
            </w:r>
            <w:r w:rsidR="00CF5EE0" w:rsidRPr="00742B9C">
              <w:rPr>
                <w:rFonts w:ascii="Times New Roman" w:eastAsia="標楷體" w:hAnsi="Times New Roman" w:hint="eastAsia"/>
                <w:sz w:val="28"/>
                <w:szCs w:val="28"/>
              </w:rPr>
              <w:t>本</w:t>
            </w:r>
            <w:r w:rsidR="00AD1AAB">
              <w:rPr>
                <w:rFonts w:ascii="Times New Roman" w:eastAsia="標楷體" w:hAnsi="Times New Roman" w:hint="eastAsia"/>
                <w:sz w:val="28"/>
                <w:szCs w:val="28"/>
              </w:rPr>
              <w:t>標準</w:t>
            </w:r>
            <w:r w:rsidR="00F60676">
              <w:rPr>
                <w:rFonts w:ascii="Times New Roman" w:eastAsia="標楷體" w:hAnsi="Times New Roman" w:cs="新細明體" w:hint="eastAsia"/>
                <w:sz w:val="28"/>
                <w:szCs w:val="28"/>
              </w:rPr>
              <w:t>之</w:t>
            </w:r>
            <w:r w:rsidR="00CF5EE0" w:rsidRPr="00742B9C">
              <w:rPr>
                <w:rFonts w:ascii="Times New Roman" w:eastAsia="標楷體" w:hAnsi="Times New Roman" w:cs="新細明體" w:hint="eastAsia"/>
                <w:sz w:val="28"/>
                <w:szCs w:val="28"/>
              </w:rPr>
              <w:t>施行</w:t>
            </w:r>
            <w:r>
              <w:rPr>
                <w:rFonts w:ascii="Times New Roman" w:eastAsia="標楷體" w:hAnsi="Times New Roman" w:cs="新細明體" w:hint="eastAsia"/>
                <w:sz w:val="28"/>
                <w:szCs w:val="28"/>
              </w:rPr>
              <w:t>及修正</w:t>
            </w:r>
            <w:r w:rsidR="00F60676">
              <w:rPr>
                <w:rFonts w:ascii="Times New Roman" w:eastAsia="標楷體" w:hAnsi="Times New Roman" w:cs="新細明體" w:hint="eastAsia"/>
                <w:sz w:val="28"/>
                <w:szCs w:val="28"/>
              </w:rPr>
              <w:t>程序</w:t>
            </w:r>
            <w:r w:rsidR="00CF5EE0" w:rsidRPr="00742B9C">
              <w:rPr>
                <w:rFonts w:ascii="Times New Roman" w:eastAsia="標楷體" w:hAnsi="Times New Roman" w:cs="新細明體" w:hint="eastAsia"/>
                <w:sz w:val="28"/>
                <w:szCs w:val="28"/>
              </w:rPr>
              <w:t>。</w:t>
            </w:r>
          </w:p>
        </w:tc>
      </w:tr>
    </w:tbl>
    <w:p w:rsidR="00F07897" w:rsidRPr="000B592B" w:rsidRDefault="00F07897">
      <w:pPr>
        <w:rPr>
          <w:sz w:val="28"/>
          <w:szCs w:val="28"/>
        </w:rPr>
      </w:pPr>
    </w:p>
    <w:sectPr w:rsidR="00F07897" w:rsidRPr="000B59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C58" w:rsidRDefault="00FF4C58" w:rsidP="003D5284">
      <w:r>
        <w:separator/>
      </w:r>
    </w:p>
  </w:endnote>
  <w:endnote w:type="continuationSeparator" w:id="0">
    <w:p w:rsidR="00FF4C58" w:rsidRDefault="00FF4C58" w:rsidP="003D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911734219"/>
      <w:docPartObj>
        <w:docPartGallery w:val="Page Numbers (Bottom of Page)"/>
        <w:docPartUnique/>
      </w:docPartObj>
    </w:sdtPr>
    <w:sdtEndPr/>
    <w:sdtContent>
      <w:p w:rsidR="00B272CF" w:rsidRPr="003D5284" w:rsidRDefault="00B272CF">
        <w:pPr>
          <w:pStyle w:val="a6"/>
          <w:jc w:val="center"/>
          <w:rPr>
            <w:rFonts w:ascii="Times New Roman" w:hAnsi="Times New Roman" w:cs="Times New Roman"/>
          </w:rPr>
        </w:pPr>
        <w:r w:rsidRPr="003D5284">
          <w:rPr>
            <w:rFonts w:ascii="Times New Roman" w:hAnsi="Times New Roman" w:cs="Times New Roman"/>
          </w:rPr>
          <w:fldChar w:fldCharType="begin"/>
        </w:r>
        <w:r w:rsidRPr="003D5284">
          <w:rPr>
            <w:rFonts w:ascii="Times New Roman" w:hAnsi="Times New Roman" w:cs="Times New Roman"/>
          </w:rPr>
          <w:instrText>PAGE   \* MERGEFORMAT</w:instrText>
        </w:r>
        <w:r w:rsidRPr="003D5284">
          <w:rPr>
            <w:rFonts w:ascii="Times New Roman" w:hAnsi="Times New Roman" w:cs="Times New Roman"/>
          </w:rPr>
          <w:fldChar w:fldCharType="separate"/>
        </w:r>
        <w:r w:rsidR="0058099F" w:rsidRPr="0058099F">
          <w:rPr>
            <w:rFonts w:ascii="Times New Roman" w:hAnsi="Times New Roman" w:cs="Times New Roman"/>
            <w:noProof/>
            <w:lang w:val="zh-TW"/>
          </w:rPr>
          <w:t>3</w:t>
        </w:r>
        <w:r w:rsidRPr="003D5284">
          <w:rPr>
            <w:rFonts w:ascii="Times New Roman" w:hAnsi="Times New Roman" w:cs="Times New Roman"/>
          </w:rPr>
          <w:fldChar w:fldCharType="end"/>
        </w:r>
      </w:p>
    </w:sdtContent>
  </w:sdt>
  <w:p w:rsidR="00B272CF" w:rsidRPr="003D5284" w:rsidRDefault="00B272CF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C58" w:rsidRDefault="00FF4C58" w:rsidP="003D5284">
      <w:r>
        <w:separator/>
      </w:r>
    </w:p>
  </w:footnote>
  <w:footnote w:type="continuationSeparator" w:id="0">
    <w:p w:rsidR="00FF4C58" w:rsidRDefault="00FF4C58" w:rsidP="003D5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A5"/>
    <w:rsid w:val="0000233F"/>
    <w:rsid w:val="00005CB3"/>
    <w:rsid w:val="000241B5"/>
    <w:rsid w:val="00036EAD"/>
    <w:rsid w:val="000378BF"/>
    <w:rsid w:val="00046EBC"/>
    <w:rsid w:val="0006082F"/>
    <w:rsid w:val="00077383"/>
    <w:rsid w:val="00080740"/>
    <w:rsid w:val="00090FE1"/>
    <w:rsid w:val="000A0CD1"/>
    <w:rsid w:val="000B592B"/>
    <w:rsid w:val="000D0654"/>
    <w:rsid w:val="000D65EC"/>
    <w:rsid w:val="000F73D7"/>
    <w:rsid w:val="00102168"/>
    <w:rsid w:val="00116BAC"/>
    <w:rsid w:val="0015787C"/>
    <w:rsid w:val="00164C29"/>
    <w:rsid w:val="00176D9A"/>
    <w:rsid w:val="001A2B99"/>
    <w:rsid w:val="001C1BE7"/>
    <w:rsid w:val="001C7690"/>
    <w:rsid w:val="001D2B8D"/>
    <w:rsid w:val="001E6533"/>
    <w:rsid w:val="00203B82"/>
    <w:rsid w:val="0020527D"/>
    <w:rsid w:val="0021185A"/>
    <w:rsid w:val="0024182D"/>
    <w:rsid w:val="00267D16"/>
    <w:rsid w:val="00283F9F"/>
    <w:rsid w:val="0029434E"/>
    <w:rsid w:val="002B58FD"/>
    <w:rsid w:val="002D69BF"/>
    <w:rsid w:val="002F4EFF"/>
    <w:rsid w:val="0031506E"/>
    <w:rsid w:val="00316A48"/>
    <w:rsid w:val="0032664E"/>
    <w:rsid w:val="00334905"/>
    <w:rsid w:val="00341568"/>
    <w:rsid w:val="00383935"/>
    <w:rsid w:val="00397A46"/>
    <w:rsid w:val="003D5284"/>
    <w:rsid w:val="003E069E"/>
    <w:rsid w:val="003F28A4"/>
    <w:rsid w:val="003F4A65"/>
    <w:rsid w:val="00413854"/>
    <w:rsid w:val="00430E64"/>
    <w:rsid w:val="00443538"/>
    <w:rsid w:val="00457566"/>
    <w:rsid w:val="00464117"/>
    <w:rsid w:val="00466481"/>
    <w:rsid w:val="0048374C"/>
    <w:rsid w:val="0048380F"/>
    <w:rsid w:val="004C16D1"/>
    <w:rsid w:val="004F01B0"/>
    <w:rsid w:val="00516590"/>
    <w:rsid w:val="005228E2"/>
    <w:rsid w:val="00545C52"/>
    <w:rsid w:val="00546D28"/>
    <w:rsid w:val="0055766F"/>
    <w:rsid w:val="00567DB5"/>
    <w:rsid w:val="00571C0E"/>
    <w:rsid w:val="0057358D"/>
    <w:rsid w:val="0058099F"/>
    <w:rsid w:val="005E17B1"/>
    <w:rsid w:val="005E2F7F"/>
    <w:rsid w:val="00606E8A"/>
    <w:rsid w:val="006120EE"/>
    <w:rsid w:val="0064468E"/>
    <w:rsid w:val="00675D31"/>
    <w:rsid w:val="0068288D"/>
    <w:rsid w:val="00690A30"/>
    <w:rsid w:val="006A3B1C"/>
    <w:rsid w:val="006B4A9E"/>
    <w:rsid w:val="006C69A9"/>
    <w:rsid w:val="006C6CF5"/>
    <w:rsid w:val="006E330C"/>
    <w:rsid w:val="00700887"/>
    <w:rsid w:val="00703283"/>
    <w:rsid w:val="00710D37"/>
    <w:rsid w:val="007315BA"/>
    <w:rsid w:val="00741846"/>
    <w:rsid w:val="0078059C"/>
    <w:rsid w:val="00781A21"/>
    <w:rsid w:val="007A4D12"/>
    <w:rsid w:val="007B1526"/>
    <w:rsid w:val="007B1626"/>
    <w:rsid w:val="007B1A31"/>
    <w:rsid w:val="007D19D6"/>
    <w:rsid w:val="007D78F7"/>
    <w:rsid w:val="007E5857"/>
    <w:rsid w:val="00826F40"/>
    <w:rsid w:val="0082761F"/>
    <w:rsid w:val="008601B4"/>
    <w:rsid w:val="00896917"/>
    <w:rsid w:val="008B3FDF"/>
    <w:rsid w:val="008B739E"/>
    <w:rsid w:val="008C36E8"/>
    <w:rsid w:val="008D0EC2"/>
    <w:rsid w:val="008E19C9"/>
    <w:rsid w:val="008F2BB9"/>
    <w:rsid w:val="008F5FDE"/>
    <w:rsid w:val="00921B9D"/>
    <w:rsid w:val="009529B7"/>
    <w:rsid w:val="00953C41"/>
    <w:rsid w:val="00972ABD"/>
    <w:rsid w:val="00973118"/>
    <w:rsid w:val="009978E8"/>
    <w:rsid w:val="009B7467"/>
    <w:rsid w:val="009E156C"/>
    <w:rsid w:val="009F73DC"/>
    <w:rsid w:val="00A12578"/>
    <w:rsid w:val="00A30AE2"/>
    <w:rsid w:val="00A40472"/>
    <w:rsid w:val="00A60C33"/>
    <w:rsid w:val="00AC25E3"/>
    <w:rsid w:val="00AD14A5"/>
    <w:rsid w:val="00AD1AAB"/>
    <w:rsid w:val="00AF5CAB"/>
    <w:rsid w:val="00B11F8F"/>
    <w:rsid w:val="00B21701"/>
    <w:rsid w:val="00B272CF"/>
    <w:rsid w:val="00B32AB1"/>
    <w:rsid w:val="00B33ADF"/>
    <w:rsid w:val="00B356B4"/>
    <w:rsid w:val="00B40646"/>
    <w:rsid w:val="00B46199"/>
    <w:rsid w:val="00B46A25"/>
    <w:rsid w:val="00BA3C13"/>
    <w:rsid w:val="00BD6DC7"/>
    <w:rsid w:val="00C0162F"/>
    <w:rsid w:val="00C03234"/>
    <w:rsid w:val="00C1250D"/>
    <w:rsid w:val="00C33B61"/>
    <w:rsid w:val="00C43D83"/>
    <w:rsid w:val="00C72B11"/>
    <w:rsid w:val="00C87504"/>
    <w:rsid w:val="00CA1E9C"/>
    <w:rsid w:val="00CA6C27"/>
    <w:rsid w:val="00CC54DC"/>
    <w:rsid w:val="00CC6B0F"/>
    <w:rsid w:val="00CD12CA"/>
    <w:rsid w:val="00CE0025"/>
    <w:rsid w:val="00CE6212"/>
    <w:rsid w:val="00CF49D9"/>
    <w:rsid w:val="00CF5EE0"/>
    <w:rsid w:val="00D11105"/>
    <w:rsid w:val="00D35CEA"/>
    <w:rsid w:val="00D6198A"/>
    <w:rsid w:val="00D662B1"/>
    <w:rsid w:val="00D77AFC"/>
    <w:rsid w:val="00D927FC"/>
    <w:rsid w:val="00DA03CD"/>
    <w:rsid w:val="00DA1597"/>
    <w:rsid w:val="00DA4516"/>
    <w:rsid w:val="00DC2198"/>
    <w:rsid w:val="00DD3B5B"/>
    <w:rsid w:val="00E279AE"/>
    <w:rsid w:val="00E61A99"/>
    <w:rsid w:val="00E66A36"/>
    <w:rsid w:val="00E77750"/>
    <w:rsid w:val="00E878B3"/>
    <w:rsid w:val="00E87B96"/>
    <w:rsid w:val="00EA2C27"/>
    <w:rsid w:val="00EA59E5"/>
    <w:rsid w:val="00EA6498"/>
    <w:rsid w:val="00ED65FA"/>
    <w:rsid w:val="00EE0B43"/>
    <w:rsid w:val="00EF4AB3"/>
    <w:rsid w:val="00F07897"/>
    <w:rsid w:val="00F10B09"/>
    <w:rsid w:val="00F275CD"/>
    <w:rsid w:val="00F53AB6"/>
    <w:rsid w:val="00F60676"/>
    <w:rsid w:val="00F655AC"/>
    <w:rsid w:val="00F810B7"/>
    <w:rsid w:val="00FA55BA"/>
    <w:rsid w:val="00FB295A"/>
    <w:rsid w:val="00FB48C7"/>
    <w:rsid w:val="00FB4DC2"/>
    <w:rsid w:val="00FB70CB"/>
    <w:rsid w:val="00FC2930"/>
    <w:rsid w:val="00FC48AB"/>
    <w:rsid w:val="00FF4C58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33831"/>
  <w15:chartTrackingRefBased/>
  <w15:docId w15:val="{731B1781-AB6C-47D2-B641-A0AA9F06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E06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E069E"/>
    <w:rPr>
      <w:rFonts w:ascii="細明體" w:eastAsia="細明體" w:hAnsi="細明體" w:cs="細明體"/>
      <w:kern w:val="0"/>
      <w:szCs w:val="24"/>
    </w:rPr>
  </w:style>
  <w:style w:type="table" w:styleId="a3">
    <w:name w:val="Table Grid"/>
    <w:basedOn w:val="a1"/>
    <w:uiPriority w:val="39"/>
    <w:rsid w:val="00CA1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528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528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3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D3B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88E4B-C049-41B7-8AF3-0F5340BE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190</Words>
  <Characters>1088</Characters>
  <Application>Microsoft Office Word</Application>
  <DocSecurity>0</DocSecurity>
  <Lines>9</Lines>
  <Paragraphs>2</Paragraphs>
  <ScaleCrop>false</ScaleCrop>
  <Company>TWSE 臺灣證券交易所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劉怡芬</dc:creator>
  <cp:keywords/>
  <dc:description/>
  <cp:lastModifiedBy>劉怡芬</cp:lastModifiedBy>
  <cp:revision>6</cp:revision>
  <cp:lastPrinted>2021-01-05T09:55:00Z</cp:lastPrinted>
  <dcterms:created xsi:type="dcterms:W3CDTF">2021-01-05T09:30:00Z</dcterms:created>
  <dcterms:modified xsi:type="dcterms:W3CDTF">2021-02-01T11:15:00Z</dcterms:modified>
</cp:coreProperties>
</file>