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8FE" w:rsidRDefault="00611D1F" w:rsidP="00611D1F">
      <w:pPr>
        <w:spacing w:line="500" w:lineRule="exact"/>
        <w:ind w:leftChars="-295" w:left="-708" w:rightChars="-142" w:right="-341"/>
        <w:jc w:val="center"/>
        <w:rPr>
          <w:rFonts w:ascii="標楷體" w:eastAsia="標楷體" w:hAnsi="標楷體"/>
          <w:b/>
          <w:bCs/>
          <w:sz w:val="36"/>
          <w:lang w:eastAsia="zh-TW"/>
        </w:rPr>
      </w:pPr>
      <w:r w:rsidRPr="00087946">
        <w:rPr>
          <w:rFonts w:ascii="標楷體" w:eastAsia="標楷體" w:hAnsi="標楷體" w:hint="eastAsia"/>
          <w:b/>
          <w:bCs/>
          <w:sz w:val="36"/>
          <w:lang w:eastAsia="zh-TW"/>
        </w:rPr>
        <w:t>臺灣證券交易所股份有限公司</w:t>
      </w:r>
      <w:r w:rsidR="00BC3639" w:rsidRPr="00BC3639">
        <w:rPr>
          <w:rFonts w:ascii="標楷體" w:eastAsia="標楷體" w:hAnsi="標楷體" w:hint="eastAsia"/>
          <w:b/>
          <w:bCs/>
          <w:sz w:val="36"/>
          <w:lang w:eastAsia="zh-TW"/>
        </w:rPr>
        <w:t>上市股票零股交易辦法</w:t>
      </w:r>
    </w:p>
    <w:p w:rsidR="00611D1F" w:rsidRDefault="001A58FE" w:rsidP="00611D1F">
      <w:pPr>
        <w:spacing w:line="500" w:lineRule="exact"/>
        <w:ind w:leftChars="-295" w:left="-708" w:rightChars="-142" w:right="-341"/>
        <w:jc w:val="center"/>
        <w:rPr>
          <w:rFonts w:ascii="標楷體" w:eastAsia="標楷體" w:hAnsi="標楷體"/>
          <w:b/>
          <w:bCs/>
          <w:sz w:val="36"/>
          <w:lang w:eastAsia="zh-TW"/>
        </w:rPr>
      </w:pPr>
      <w:r>
        <w:rPr>
          <w:rFonts w:ascii="標楷體" w:eastAsia="標楷體" w:hAnsi="標楷體" w:hint="eastAsia"/>
          <w:b/>
          <w:bCs/>
          <w:sz w:val="36"/>
          <w:lang w:eastAsia="zh-TW"/>
        </w:rPr>
        <w:t>第</w:t>
      </w:r>
      <w:r w:rsidR="006A6E8E">
        <w:rPr>
          <w:rFonts w:ascii="標楷體" w:eastAsia="標楷體" w:hAnsi="標楷體" w:hint="eastAsia"/>
          <w:b/>
          <w:bCs/>
          <w:sz w:val="36"/>
          <w:lang w:eastAsia="zh-TW"/>
        </w:rPr>
        <w:t>八</w:t>
      </w:r>
      <w:r>
        <w:rPr>
          <w:rFonts w:ascii="標楷體" w:eastAsia="標楷體" w:hAnsi="標楷體" w:hint="eastAsia"/>
          <w:b/>
          <w:bCs/>
          <w:sz w:val="36"/>
          <w:lang w:eastAsia="zh-TW"/>
        </w:rPr>
        <w:t>條</w:t>
      </w:r>
      <w:r w:rsidR="006A6E8E">
        <w:rPr>
          <w:rFonts w:ascii="標楷體" w:eastAsia="標楷體" w:hAnsi="標楷體" w:hint="eastAsia"/>
          <w:b/>
          <w:bCs/>
          <w:sz w:val="36"/>
          <w:lang w:eastAsia="zh-TW"/>
        </w:rPr>
        <w:t>之一</w:t>
      </w:r>
      <w:r w:rsidR="001D30D9">
        <w:rPr>
          <w:rFonts w:ascii="標楷體" w:eastAsia="標楷體" w:hAnsi="標楷體" w:hint="eastAsia"/>
          <w:b/>
          <w:bCs/>
          <w:sz w:val="36"/>
          <w:lang w:eastAsia="zh-TW"/>
        </w:rPr>
        <w:t>修正</w:t>
      </w:r>
      <w:bookmarkStart w:id="0" w:name="_GoBack"/>
      <w:bookmarkEnd w:id="0"/>
      <w:r w:rsidR="00611D1F" w:rsidRPr="00087946">
        <w:rPr>
          <w:rFonts w:ascii="標楷體" w:eastAsia="標楷體" w:hAnsi="標楷體" w:hint="eastAsia"/>
          <w:b/>
          <w:bCs/>
          <w:sz w:val="36"/>
          <w:lang w:eastAsia="zh-TW"/>
        </w:rPr>
        <w:t>條文對照表</w:t>
      </w:r>
    </w:p>
    <w:p w:rsidR="00611D1F" w:rsidRDefault="00611D1F" w:rsidP="00611D1F">
      <w:pPr>
        <w:rPr>
          <w:lang w:eastAsia="zh-TW"/>
        </w:rPr>
      </w:pPr>
    </w:p>
    <w:tbl>
      <w:tblPr>
        <w:tblStyle w:val="a3"/>
        <w:tblW w:w="10343" w:type="dxa"/>
        <w:jc w:val="center"/>
        <w:tblLook w:val="04A0" w:firstRow="1" w:lastRow="0" w:firstColumn="1" w:lastColumn="0" w:noHBand="0" w:noVBand="1"/>
      </w:tblPr>
      <w:tblGrid>
        <w:gridCol w:w="3447"/>
        <w:gridCol w:w="3448"/>
        <w:gridCol w:w="3448"/>
      </w:tblGrid>
      <w:tr w:rsidR="00611D1F" w:rsidRPr="009568E6" w:rsidTr="00967088">
        <w:trPr>
          <w:jc w:val="center"/>
        </w:trPr>
        <w:tc>
          <w:tcPr>
            <w:tcW w:w="3447" w:type="dxa"/>
          </w:tcPr>
          <w:p w:rsidR="00611D1F" w:rsidRPr="009568E6" w:rsidRDefault="00611D1F" w:rsidP="00EF3B41">
            <w:pPr>
              <w:spacing w:line="440" w:lineRule="exact"/>
              <w:jc w:val="center"/>
              <w:rPr>
                <w:rFonts w:ascii="標楷體" w:eastAsia="標楷體" w:hAnsi="標楷體"/>
                <w:b/>
                <w:sz w:val="28"/>
                <w:szCs w:val="28"/>
                <w:lang w:eastAsia="zh-TW"/>
              </w:rPr>
            </w:pPr>
            <w:r w:rsidRPr="009568E6">
              <w:rPr>
                <w:rFonts w:ascii="標楷體" w:eastAsia="標楷體" w:hAnsi="標楷體" w:hint="eastAsia"/>
                <w:b/>
                <w:sz w:val="28"/>
                <w:szCs w:val="28"/>
                <w:lang w:eastAsia="zh-TW"/>
              </w:rPr>
              <w:t>修正條文</w:t>
            </w:r>
          </w:p>
        </w:tc>
        <w:tc>
          <w:tcPr>
            <w:tcW w:w="3448" w:type="dxa"/>
          </w:tcPr>
          <w:p w:rsidR="00611D1F" w:rsidRPr="009568E6" w:rsidRDefault="00611D1F" w:rsidP="00EF3B41">
            <w:pPr>
              <w:spacing w:line="440" w:lineRule="exact"/>
              <w:jc w:val="center"/>
              <w:rPr>
                <w:rFonts w:ascii="標楷體" w:eastAsia="標楷體" w:hAnsi="標楷體"/>
                <w:b/>
                <w:sz w:val="28"/>
                <w:szCs w:val="28"/>
                <w:lang w:eastAsia="zh-TW"/>
              </w:rPr>
            </w:pPr>
            <w:r w:rsidRPr="009568E6">
              <w:rPr>
                <w:rFonts w:ascii="標楷體" w:eastAsia="標楷體" w:hAnsi="標楷體" w:hint="eastAsia"/>
                <w:b/>
                <w:sz w:val="28"/>
                <w:szCs w:val="28"/>
                <w:lang w:eastAsia="zh-TW"/>
              </w:rPr>
              <w:t>現行條文</w:t>
            </w:r>
          </w:p>
        </w:tc>
        <w:tc>
          <w:tcPr>
            <w:tcW w:w="3448" w:type="dxa"/>
          </w:tcPr>
          <w:p w:rsidR="00611D1F" w:rsidRPr="009568E6" w:rsidRDefault="00611D1F" w:rsidP="00EF3B41">
            <w:pPr>
              <w:spacing w:line="440" w:lineRule="exact"/>
              <w:jc w:val="center"/>
              <w:rPr>
                <w:rFonts w:ascii="標楷體" w:eastAsia="標楷體" w:hAnsi="標楷體"/>
                <w:b/>
                <w:sz w:val="28"/>
                <w:szCs w:val="28"/>
                <w:lang w:eastAsia="zh-TW"/>
              </w:rPr>
            </w:pPr>
            <w:r>
              <w:rPr>
                <w:rFonts w:ascii="標楷體" w:eastAsia="標楷體" w:hAnsi="標楷體" w:hint="eastAsia"/>
                <w:b/>
                <w:sz w:val="28"/>
                <w:szCs w:val="28"/>
                <w:lang w:eastAsia="zh-TW"/>
              </w:rPr>
              <w:t>說明</w:t>
            </w:r>
          </w:p>
        </w:tc>
      </w:tr>
      <w:tr w:rsidR="00325F6C" w:rsidRPr="009568E6" w:rsidTr="00967088">
        <w:trPr>
          <w:jc w:val="center"/>
        </w:trPr>
        <w:tc>
          <w:tcPr>
            <w:tcW w:w="3447" w:type="dxa"/>
          </w:tcPr>
          <w:p w:rsidR="00BC6FCE" w:rsidRPr="00BC3639" w:rsidRDefault="00BC6FCE" w:rsidP="00BC6FCE">
            <w:pPr>
              <w:spacing w:line="440" w:lineRule="exact"/>
              <w:rPr>
                <w:rFonts w:ascii="標楷體" w:eastAsia="標楷體" w:hAnsi="標楷體"/>
                <w:b/>
                <w:sz w:val="28"/>
                <w:szCs w:val="28"/>
                <w:lang w:eastAsia="zh-TW"/>
              </w:rPr>
            </w:pPr>
            <w:r w:rsidRPr="00BC3639">
              <w:rPr>
                <w:rFonts w:ascii="標楷體" w:eastAsia="標楷體" w:hAnsi="標楷體" w:hint="eastAsia"/>
                <w:b/>
                <w:sz w:val="28"/>
                <w:szCs w:val="28"/>
                <w:lang w:eastAsia="zh-TW"/>
              </w:rPr>
              <w:t>第</w:t>
            </w:r>
            <w:r w:rsidR="00967088">
              <w:rPr>
                <w:rFonts w:ascii="標楷體" w:eastAsia="標楷體" w:hAnsi="標楷體" w:hint="eastAsia"/>
                <w:b/>
                <w:sz w:val="28"/>
                <w:szCs w:val="28"/>
                <w:lang w:eastAsia="zh-TW"/>
              </w:rPr>
              <w:t>八</w:t>
            </w:r>
            <w:r w:rsidRPr="00BC3639">
              <w:rPr>
                <w:rFonts w:ascii="標楷體" w:eastAsia="標楷體" w:hAnsi="標楷體" w:hint="eastAsia"/>
                <w:b/>
                <w:sz w:val="28"/>
                <w:szCs w:val="28"/>
                <w:lang w:eastAsia="zh-TW"/>
              </w:rPr>
              <w:t>條</w:t>
            </w:r>
            <w:r w:rsidR="00967088">
              <w:rPr>
                <w:rFonts w:ascii="標楷體" w:eastAsia="標楷體" w:hAnsi="標楷體" w:hint="eastAsia"/>
                <w:b/>
                <w:sz w:val="28"/>
                <w:szCs w:val="28"/>
                <w:lang w:eastAsia="zh-TW"/>
              </w:rPr>
              <w:t>之</w:t>
            </w:r>
            <w:r w:rsidR="001B1AAD">
              <w:rPr>
                <w:rFonts w:ascii="標楷體" w:eastAsia="標楷體" w:hAnsi="標楷體" w:hint="eastAsia"/>
                <w:b/>
                <w:sz w:val="28"/>
                <w:szCs w:val="28"/>
                <w:lang w:eastAsia="zh-TW"/>
              </w:rPr>
              <w:t>一</w:t>
            </w:r>
          </w:p>
          <w:p w:rsidR="00220739" w:rsidRDefault="00BC6FCE" w:rsidP="00220739">
            <w:pPr>
              <w:spacing w:line="440" w:lineRule="exact"/>
              <w:ind w:firstLineChars="200" w:firstLine="560"/>
              <w:rPr>
                <w:rFonts w:ascii="標楷體" w:eastAsia="標楷體" w:hAnsi="標楷體"/>
                <w:sz w:val="28"/>
                <w:szCs w:val="28"/>
                <w:lang w:eastAsia="zh-TW"/>
              </w:rPr>
            </w:pPr>
            <w:r w:rsidRPr="00BC3639">
              <w:rPr>
                <w:rFonts w:ascii="標楷體" w:eastAsia="標楷體" w:hAnsi="標楷體" w:hint="eastAsia"/>
                <w:sz w:val="28"/>
                <w:szCs w:val="28"/>
                <w:lang w:eastAsia="zh-TW"/>
              </w:rPr>
              <w:t>零股交易自第一次撮合成交至申報時間截止前之一段時間內，如每次撮合前經試算成交價格漲跌超逾前一次成交價格百分之三點五時，本公司立即對當次撮合延緩二分鐘，並繼續接受其買賣申報之輸入、取消及變更，俟延緩撮合時間終了後依序撮合成交。但初次上市普通股採無升降幅度限制期間，及當市開盤競價基準低於一元者，不在此限。</w:t>
            </w:r>
          </w:p>
          <w:p w:rsidR="00220739" w:rsidRDefault="00220739" w:rsidP="00220739">
            <w:pPr>
              <w:spacing w:line="440" w:lineRule="exact"/>
              <w:ind w:firstLineChars="200" w:firstLine="560"/>
              <w:rPr>
                <w:rFonts w:ascii="標楷體" w:eastAsia="標楷體" w:hAnsi="標楷體"/>
                <w:sz w:val="28"/>
                <w:szCs w:val="28"/>
                <w:lang w:eastAsia="zh-TW"/>
              </w:rPr>
            </w:pPr>
          </w:p>
          <w:p w:rsidR="00220739" w:rsidRDefault="00220739" w:rsidP="00220739">
            <w:pPr>
              <w:spacing w:line="440" w:lineRule="exact"/>
              <w:ind w:firstLineChars="200" w:firstLine="560"/>
              <w:rPr>
                <w:rFonts w:ascii="標楷體" w:eastAsia="標楷體" w:hAnsi="標楷體"/>
                <w:sz w:val="28"/>
                <w:szCs w:val="28"/>
                <w:lang w:eastAsia="zh-TW"/>
              </w:rPr>
            </w:pPr>
          </w:p>
          <w:p w:rsidR="00967088" w:rsidRDefault="00967088" w:rsidP="00220739">
            <w:pPr>
              <w:spacing w:line="440" w:lineRule="exact"/>
              <w:ind w:firstLineChars="200" w:firstLine="560"/>
              <w:rPr>
                <w:rFonts w:ascii="標楷體" w:eastAsia="標楷體" w:hAnsi="標楷體"/>
                <w:sz w:val="28"/>
                <w:szCs w:val="28"/>
                <w:lang w:eastAsia="zh-TW"/>
              </w:rPr>
            </w:pPr>
          </w:p>
          <w:p w:rsidR="00220739" w:rsidRPr="00220739" w:rsidRDefault="00BC6FCE" w:rsidP="00220739">
            <w:pPr>
              <w:spacing w:line="440" w:lineRule="exact"/>
              <w:ind w:firstLineChars="200" w:firstLine="560"/>
              <w:rPr>
                <w:rFonts w:ascii="標楷體" w:eastAsia="標楷體" w:hAnsi="標楷體"/>
                <w:sz w:val="28"/>
                <w:szCs w:val="28"/>
                <w:lang w:eastAsia="zh-TW"/>
              </w:rPr>
            </w:pPr>
            <w:r w:rsidRPr="00BC3639">
              <w:rPr>
                <w:rFonts w:ascii="標楷體" w:eastAsia="標楷體" w:hAnsi="標楷體" w:hint="eastAsia"/>
                <w:sz w:val="28"/>
                <w:szCs w:val="28"/>
                <w:lang w:eastAsia="zh-TW"/>
              </w:rPr>
              <w:t>盤後零股交易不適用前項規定。</w:t>
            </w:r>
          </w:p>
        </w:tc>
        <w:tc>
          <w:tcPr>
            <w:tcW w:w="3448" w:type="dxa"/>
          </w:tcPr>
          <w:p w:rsidR="00967088" w:rsidRPr="00BC3639" w:rsidRDefault="00967088" w:rsidP="00967088">
            <w:pPr>
              <w:spacing w:line="440" w:lineRule="exact"/>
              <w:rPr>
                <w:rFonts w:ascii="標楷體" w:eastAsia="標楷體" w:hAnsi="標楷體"/>
                <w:b/>
                <w:sz w:val="28"/>
                <w:szCs w:val="28"/>
                <w:lang w:eastAsia="zh-TW"/>
              </w:rPr>
            </w:pPr>
            <w:r w:rsidRPr="00BC3639">
              <w:rPr>
                <w:rFonts w:ascii="標楷體" w:eastAsia="標楷體" w:hAnsi="標楷體" w:hint="eastAsia"/>
                <w:b/>
                <w:sz w:val="28"/>
                <w:szCs w:val="28"/>
                <w:lang w:eastAsia="zh-TW"/>
              </w:rPr>
              <w:t>第</w:t>
            </w:r>
            <w:r>
              <w:rPr>
                <w:rFonts w:ascii="標楷體" w:eastAsia="標楷體" w:hAnsi="標楷體" w:hint="eastAsia"/>
                <w:b/>
                <w:sz w:val="28"/>
                <w:szCs w:val="28"/>
                <w:lang w:eastAsia="zh-TW"/>
              </w:rPr>
              <w:t>八</w:t>
            </w:r>
            <w:r w:rsidRPr="00BC3639">
              <w:rPr>
                <w:rFonts w:ascii="標楷體" w:eastAsia="標楷體" w:hAnsi="標楷體" w:hint="eastAsia"/>
                <w:b/>
                <w:sz w:val="28"/>
                <w:szCs w:val="28"/>
                <w:lang w:eastAsia="zh-TW"/>
              </w:rPr>
              <w:t>條</w:t>
            </w:r>
            <w:r>
              <w:rPr>
                <w:rFonts w:ascii="標楷體" w:eastAsia="標楷體" w:hAnsi="標楷體" w:hint="eastAsia"/>
                <w:b/>
                <w:sz w:val="28"/>
                <w:szCs w:val="28"/>
                <w:lang w:eastAsia="zh-TW"/>
              </w:rPr>
              <w:t>之</w:t>
            </w:r>
            <w:r w:rsidR="001B1AAD">
              <w:rPr>
                <w:rFonts w:ascii="標楷體" w:eastAsia="標楷體" w:hAnsi="標楷體" w:hint="eastAsia"/>
                <w:b/>
                <w:sz w:val="28"/>
                <w:szCs w:val="28"/>
                <w:lang w:eastAsia="zh-TW"/>
              </w:rPr>
              <w:t>一</w:t>
            </w:r>
          </w:p>
          <w:p w:rsidR="00BC3639" w:rsidRPr="00BC3639" w:rsidRDefault="00BC3639" w:rsidP="00BC3639">
            <w:pPr>
              <w:spacing w:line="440" w:lineRule="exact"/>
              <w:ind w:firstLineChars="200" w:firstLine="560"/>
              <w:rPr>
                <w:rFonts w:ascii="標楷體" w:eastAsia="標楷體" w:hAnsi="標楷體"/>
                <w:sz w:val="28"/>
                <w:szCs w:val="28"/>
                <w:lang w:eastAsia="zh-TW"/>
              </w:rPr>
            </w:pPr>
            <w:r w:rsidRPr="00BC3639">
              <w:rPr>
                <w:rFonts w:ascii="標楷體" w:eastAsia="標楷體" w:hAnsi="標楷體" w:hint="eastAsia"/>
                <w:sz w:val="28"/>
                <w:szCs w:val="28"/>
                <w:lang w:eastAsia="zh-TW"/>
              </w:rPr>
              <w:t>零股交易自第一次撮合成交至申報時間截止前之一段時間內，如每次撮合前經試算成交價格漲跌超逾前一次成交價格百分之三點五時，本公司立即對當次撮合延緩二分鐘，並繼續接受其買賣申報之輸入、取消及變更，俟延緩撮合時間終了後依序撮合成交。但初次上市普通股採無升降幅度限制期間，</w:t>
            </w:r>
            <w:r w:rsidRPr="00BC3639">
              <w:rPr>
                <w:rFonts w:ascii="標楷體" w:eastAsia="標楷體" w:hAnsi="標楷體" w:hint="eastAsia"/>
                <w:color w:val="FF0000"/>
                <w:sz w:val="28"/>
                <w:szCs w:val="28"/>
                <w:u w:val="single"/>
                <w:lang w:eastAsia="zh-TW"/>
              </w:rPr>
              <w:t>及依本公司章則規定施以延長撮合間隔時間之有價證券，</w:t>
            </w:r>
            <w:r w:rsidRPr="00BC3639">
              <w:rPr>
                <w:rFonts w:ascii="標楷體" w:eastAsia="標楷體" w:hAnsi="標楷體" w:hint="eastAsia"/>
                <w:sz w:val="28"/>
                <w:szCs w:val="28"/>
                <w:lang w:eastAsia="zh-TW"/>
              </w:rPr>
              <w:t>及當市開盤競價基準低於一元者，不在此限。</w:t>
            </w:r>
          </w:p>
          <w:p w:rsidR="00BC3639" w:rsidRPr="007225CA" w:rsidRDefault="00BC3639" w:rsidP="00BC3639">
            <w:pPr>
              <w:spacing w:line="440" w:lineRule="exact"/>
              <w:ind w:firstLineChars="200" w:firstLine="560"/>
              <w:rPr>
                <w:rFonts w:ascii="標楷體" w:eastAsia="標楷體" w:hAnsi="標楷體"/>
                <w:sz w:val="28"/>
                <w:szCs w:val="28"/>
                <w:lang w:eastAsia="zh-TW"/>
              </w:rPr>
            </w:pPr>
            <w:r w:rsidRPr="00BC3639">
              <w:rPr>
                <w:rFonts w:ascii="標楷體" w:eastAsia="標楷體" w:hAnsi="標楷體" w:hint="eastAsia"/>
                <w:sz w:val="28"/>
                <w:szCs w:val="28"/>
                <w:lang w:eastAsia="zh-TW"/>
              </w:rPr>
              <w:t>盤後零股交易不適用前項規定。</w:t>
            </w:r>
          </w:p>
        </w:tc>
        <w:tc>
          <w:tcPr>
            <w:tcW w:w="3448" w:type="dxa"/>
          </w:tcPr>
          <w:p w:rsidR="00325F6C" w:rsidRDefault="001D6622" w:rsidP="001B1AAD">
            <w:pPr>
              <w:spacing w:line="440" w:lineRule="exact"/>
              <w:jc w:val="both"/>
              <w:rPr>
                <w:rFonts w:ascii="標楷體" w:eastAsia="標楷體" w:hAnsi="標楷體"/>
                <w:b/>
                <w:sz w:val="28"/>
                <w:szCs w:val="28"/>
                <w:lang w:eastAsia="zh-TW"/>
              </w:rPr>
            </w:pPr>
            <w:r w:rsidRPr="00AD0C27">
              <w:rPr>
                <w:rFonts w:ascii="標楷體" w:eastAsia="標楷體" w:hAnsi="標楷體" w:hint="eastAsia"/>
                <w:sz w:val="28"/>
                <w:szCs w:val="28"/>
                <w:lang w:eastAsia="zh-TW"/>
              </w:rPr>
              <w:t>依據</w:t>
            </w:r>
            <w:r>
              <w:rPr>
                <w:rFonts w:ascii="標楷體" w:eastAsia="標楷體" w:hAnsi="標楷體" w:hint="eastAsia"/>
                <w:sz w:val="28"/>
                <w:szCs w:val="28"/>
                <w:lang w:eastAsia="zh-TW"/>
              </w:rPr>
              <w:t>主管機關發布之</w:t>
            </w:r>
            <w:r w:rsidRPr="00AD0C27">
              <w:rPr>
                <w:rFonts w:ascii="標楷體" w:eastAsia="標楷體" w:hAnsi="標楷體" w:hint="eastAsia"/>
                <w:sz w:val="28"/>
                <w:szCs w:val="28"/>
                <w:lang w:eastAsia="zh-TW"/>
              </w:rPr>
              <w:t>「資本市場藍圖」策略二、四、(二)「研議處置期間增加交易資訊揭露」項目</w:t>
            </w:r>
            <w:r>
              <w:rPr>
                <w:rFonts w:ascii="標楷體" w:eastAsia="標楷體" w:hAnsi="標楷體" w:hint="eastAsia"/>
                <w:sz w:val="28"/>
                <w:szCs w:val="28"/>
                <w:lang w:eastAsia="zh-TW"/>
              </w:rPr>
              <w:t>推動，對</w:t>
            </w:r>
            <w:r w:rsidRPr="00AD0C27">
              <w:rPr>
                <w:rFonts w:ascii="標楷體" w:eastAsia="標楷體" w:hAnsi="標楷體" w:hint="eastAsia"/>
                <w:sz w:val="28"/>
                <w:szCs w:val="28"/>
                <w:lang w:eastAsia="zh-TW"/>
              </w:rPr>
              <w:t>依本公司處置作業要點發布為處置之有價證券及變更交易方法且採行分盤集合競價交易方式之有價證券</w:t>
            </w:r>
            <w:r>
              <w:rPr>
                <w:rFonts w:ascii="標楷體" w:eastAsia="標楷體" w:hAnsi="標楷體" w:hint="eastAsia"/>
                <w:sz w:val="28"/>
                <w:szCs w:val="28"/>
                <w:lang w:eastAsia="zh-TW"/>
              </w:rPr>
              <w:t>，實施盤中零股瞬間價格穩定措施，爰調整第</w:t>
            </w:r>
            <w:r w:rsidR="00967088">
              <w:rPr>
                <w:rFonts w:ascii="標楷體" w:eastAsia="標楷體" w:hAnsi="標楷體" w:hint="eastAsia"/>
                <w:sz w:val="28"/>
                <w:szCs w:val="28"/>
                <w:lang w:eastAsia="zh-TW"/>
              </w:rPr>
              <w:t>八條之</w:t>
            </w:r>
            <w:r w:rsidR="001B1AAD">
              <w:rPr>
                <w:rFonts w:ascii="標楷體" w:eastAsia="標楷體" w:hAnsi="標楷體" w:hint="eastAsia"/>
                <w:sz w:val="28"/>
                <w:szCs w:val="28"/>
                <w:lang w:eastAsia="zh-TW"/>
              </w:rPr>
              <w:t>一</w:t>
            </w:r>
            <w:r>
              <w:rPr>
                <w:rFonts w:ascii="標楷體" w:eastAsia="標楷體" w:hAnsi="標楷體" w:hint="eastAsia"/>
                <w:sz w:val="28"/>
                <w:szCs w:val="28"/>
                <w:lang w:eastAsia="zh-TW"/>
              </w:rPr>
              <w:t>第一項但書。</w:t>
            </w:r>
          </w:p>
        </w:tc>
      </w:tr>
    </w:tbl>
    <w:p w:rsidR="00611D1F" w:rsidRDefault="00611D1F" w:rsidP="00611D1F">
      <w:pPr>
        <w:rPr>
          <w:lang w:eastAsia="zh-TW"/>
        </w:rPr>
      </w:pPr>
    </w:p>
    <w:p w:rsidR="00611D1F" w:rsidRDefault="00611D1F">
      <w:pPr>
        <w:rPr>
          <w:lang w:eastAsia="zh-TW"/>
        </w:rPr>
      </w:pPr>
    </w:p>
    <w:sectPr w:rsidR="00611D1F">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12E2" w:rsidRDefault="003512E2" w:rsidP="00220739">
      <w:r>
        <w:separator/>
      </w:r>
    </w:p>
  </w:endnote>
  <w:endnote w:type="continuationSeparator" w:id="0">
    <w:p w:rsidR="003512E2" w:rsidRDefault="003512E2" w:rsidP="00220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12E2" w:rsidRDefault="003512E2" w:rsidP="00220739">
      <w:r>
        <w:separator/>
      </w:r>
    </w:p>
  </w:footnote>
  <w:footnote w:type="continuationSeparator" w:id="0">
    <w:p w:rsidR="003512E2" w:rsidRDefault="003512E2" w:rsidP="002207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1A64C3"/>
    <w:multiLevelType w:val="hybridMultilevel"/>
    <w:tmpl w:val="DF8C9044"/>
    <w:lvl w:ilvl="0" w:tplc="1E620710">
      <w:start w:val="1"/>
      <w:numFmt w:val="taiwaneseCountingThousand"/>
      <w:lvlText w:val="%1、"/>
      <w:lvlJc w:val="left"/>
      <w:pPr>
        <w:ind w:left="720" w:hanging="720"/>
      </w:pPr>
      <w:rPr>
        <w:rFonts w:ascii="標楷體"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45225A35"/>
    <w:multiLevelType w:val="hybridMultilevel"/>
    <w:tmpl w:val="4B9CFC00"/>
    <w:lvl w:ilvl="0" w:tplc="4D5A06BA">
      <w:start w:val="1"/>
      <w:numFmt w:val="taiwaneseCountingThousand"/>
      <w:lvlText w:val="%1、"/>
      <w:lvlJc w:val="left"/>
      <w:pPr>
        <w:ind w:left="720" w:hanging="720"/>
      </w:pPr>
      <w:rPr>
        <w:rFonts w:ascii="Times New Roman" w:eastAsia="標楷體" w:hAnsi="Times New Roma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50C97C53"/>
    <w:multiLevelType w:val="hybridMultilevel"/>
    <w:tmpl w:val="9C4A6624"/>
    <w:lvl w:ilvl="0" w:tplc="C8FCF17C">
      <w:start w:val="1"/>
      <w:numFmt w:val="taiwaneseCountingThousand"/>
      <w:lvlText w:val="%1、"/>
      <w:lvlJc w:val="left"/>
      <w:pPr>
        <w:ind w:left="720" w:hanging="720"/>
      </w:pPr>
      <w:rPr>
        <w:rFonts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55295FFA"/>
    <w:multiLevelType w:val="hybridMultilevel"/>
    <w:tmpl w:val="5804F300"/>
    <w:lvl w:ilvl="0" w:tplc="C73A8384">
      <w:start w:val="1"/>
      <w:numFmt w:val="taiwaneseCountingThousand"/>
      <w:lvlText w:val="%1、"/>
      <w:lvlJc w:val="left"/>
      <w:pPr>
        <w:ind w:left="720" w:hanging="720"/>
      </w:pPr>
      <w:rPr>
        <w:rFonts w:hint="default"/>
        <w:color w:val="FF000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CE22194"/>
    <w:multiLevelType w:val="hybridMultilevel"/>
    <w:tmpl w:val="13D2D8A8"/>
    <w:lvl w:ilvl="0" w:tplc="699E60C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D1F"/>
    <w:rsid w:val="00060C77"/>
    <w:rsid w:val="000D51D7"/>
    <w:rsid w:val="001A58FE"/>
    <w:rsid w:val="001B1AAD"/>
    <w:rsid w:val="001D30D9"/>
    <w:rsid w:val="001D6622"/>
    <w:rsid w:val="00220739"/>
    <w:rsid w:val="00237260"/>
    <w:rsid w:val="00325F6C"/>
    <w:rsid w:val="003512E2"/>
    <w:rsid w:val="00371E75"/>
    <w:rsid w:val="003A7ADF"/>
    <w:rsid w:val="0054273E"/>
    <w:rsid w:val="00611D1F"/>
    <w:rsid w:val="006A6E8E"/>
    <w:rsid w:val="007225CA"/>
    <w:rsid w:val="00910844"/>
    <w:rsid w:val="00967088"/>
    <w:rsid w:val="009D0F51"/>
    <w:rsid w:val="00BC3639"/>
    <w:rsid w:val="00BC6FCE"/>
    <w:rsid w:val="00D03B65"/>
    <w:rsid w:val="00D7745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924388"/>
  <w15:chartTrackingRefBased/>
  <w15:docId w15:val="{F3519D99-EA01-476C-AF35-DF9B8A043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pPr>
        <w:spacing w:line="480" w:lineRule="exact"/>
        <w:ind w:left="56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6FCE"/>
    <w:pPr>
      <w:spacing w:line="240" w:lineRule="auto"/>
      <w:ind w:left="0"/>
    </w:pPr>
    <w:rPr>
      <w:rFonts w:cs="Times New Roman"/>
      <w:kern w:val="0"/>
      <w:szCs w:val="24"/>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11D1F"/>
    <w:pPr>
      <w:spacing w:line="240" w:lineRule="auto"/>
      <w:ind w:left="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11D1F"/>
    <w:pPr>
      <w:ind w:leftChars="200" w:left="480"/>
    </w:pPr>
  </w:style>
  <w:style w:type="paragraph" w:styleId="a5">
    <w:name w:val="header"/>
    <w:basedOn w:val="a"/>
    <w:link w:val="a6"/>
    <w:uiPriority w:val="99"/>
    <w:unhideWhenUsed/>
    <w:rsid w:val="00220739"/>
    <w:pPr>
      <w:tabs>
        <w:tab w:val="center" w:pos="4153"/>
        <w:tab w:val="right" w:pos="8306"/>
      </w:tabs>
      <w:snapToGrid w:val="0"/>
    </w:pPr>
    <w:rPr>
      <w:sz w:val="20"/>
      <w:szCs w:val="20"/>
    </w:rPr>
  </w:style>
  <w:style w:type="character" w:customStyle="1" w:styleId="a6">
    <w:name w:val="頁首 字元"/>
    <w:basedOn w:val="a0"/>
    <w:link w:val="a5"/>
    <w:uiPriority w:val="99"/>
    <w:rsid w:val="00220739"/>
    <w:rPr>
      <w:rFonts w:cs="Times New Roman"/>
      <w:kern w:val="0"/>
      <w:sz w:val="20"/>
      <w:szCs w:val="20"/>
      <w:lang w:eastAsia="en-US" w:bidi="en-US"/>
    </w:rPr>
  </w:style>
  <w:style w:type="paragraph" w:styleId="a7">
    <w:name w:val="footer"/>
    <w:basedOn w:val="a"/>
    <w:link w:val="a8"/>
    <w:uiPriority w:val="99"/>
    <w:unhideWhenUsed/>
    <w:rsid w:val="00220739"/>
    <w:pPr>
      <w:tabs>
        <w:tab w:val="center" w:pos="4153"/>
        <w:tab w:val="right" w:pos="8306"/>
      </w:tabs>
      <w:snapToGrid w:val="0"/>
    </w:pPr>
    <w:rPr>
      <w:sz w:val="20"/>
      <w:szCs w:val="20"/>
    </w:rPr>
  </w:style>
  <w:style w:type="character" w:customStyle="1" w:styleId="a8">
    <w:name w:val="頁尾 字元"/>
    <w:basedOn w:val="a0"/>
    <w:link w:val="a7"/>
    <w:uiPriority w:val="99"/>
    <w:rsid w:val="00220739"/>
    <w:rPr>
      <w:rFonts w:cs="Times New Roman"/>
      <w:kern w:val="0"/>
      <w:sz w:val="20"/>
      <w:szCs w:val="20"/>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82</Words>
  <Characters>471</Characters>
  <Application>Microsoft Office Word</Application>
  <DocSecurity>0</DocSecurity>
  <Lines>3</Lines>
  <Paragraphs>1</Paragraphs>
  <ScaleCrop>false</ScaleCrop>
  <Company>TWSE 臺灣證券交易所</Company>
  <LinksUpToDate>false</LinksUpToDate>
  <CharactersWithSpaces>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劉貞佑</dc:creator>
  <cp:keywords/>
  <dc:description/>
  <cp:lastModifiedBy>劉奕君</cp:lastModifiedBy>
  <cp:revision>10</cp:revision>
  <dcterms:created xsi:type="dcterms:W3CDTF">2021-10-15T07:15:00Z</dcterms:created>
  <dcterms:modified xsi:type="dcterms:W3CDTF">2022-04-25T09:02:00Z</dcterms:modified>
</cp:coreProperties>
</file>