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A7" w:rsidRPr="00AA0BF2" w:rsidRDefault="001537A4" w:rsidP="00061CFE">
      <w:pPr>
        <w:jc w:val="center"/>
        <w:rPr>
          <w:rFonts w:ascii="MS Mincho" w:eastAsia="MS Mincho" w:hAnsi="MS Mincho" w:cs="Times New Roman"/>
          <w:b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2015</w:t>
      </w:r>
      <w:r w:rsidR="00061CFE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年6月1</w:t>
      </w:r>
      <w:r w:rsidR="00537BAF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日</w:t>
      </w:r>
      <w:bookmarkStart w:id="0" w:name="OLE_LINK1"/>
      <w:bookmarkStart w:id="1" w:name="OLE_LINK2"/>
      <w:r w:rsidR="007830FB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より、</w:t>
      </w:r>
      <w:r w:rsidR="00FE18B0" w:rsidRPr="00AA0BF2">
        <w:rPr>
          <w:rFonts w:ascii="MS Mincho" w:eastAsia="MS Mincho" w:hAnsi="MS Mincho" w:cs="Times New Roman"/>
          <w:b/>
          <w:bCs/>
          <w:sz w:val="28"/>
          <w:szCs w:val="28"/>
          <w:lang w:eastAsia="ja-JP"/>
        </w:rPr>
        <w:t>現物株式取引</w:t>
      </w:r>
      <w:r w:rsidR="00FE18B0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の</w:t>
      </w:r>
      <w:r w:rsidR="00FE18B0" w:rsidRPr="00AA0BF2">
        <w:rPr>
          <w:rFonts w:ascii="MS Mincho" w:eastAsia="MS Mincho" w:hAnsi="MS Mincho" w:cs="Times New Roman"/>
          <w:b/>
          <w:bCs/>
          <w:sz w:val="28"/>
          <w:szCs w:val="28"/>
          <w:lang w:eastAsia="ja-JP"/>
        </w:rPr>
        <w:t>決済</w:t>
      </w:r>
      <w:r w:rsidR="007830FB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による</w:t>
      </w:r>
    </w:p>
    <w:p w:rsidR="00061CFE" w:rsidRPr="00AA0BF2" w:rsidRDefault="007830FB" w:rsidP="00061CFE">
      <w:pPr>
        <w:jc w:val="center"/>
        <w:rPr>
          <w:rFonts w:ascii="MS Mincho" w:eastAsia="MS Mincho" w:hAnsi="MS Mincho" w:cs="Times New Roman"/>
          <w:b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デイトレート</w:t>
      </w:r>
      <w:r w:rsidR="00EA26A7"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取引の</w:t>
      </w:r>
      <w:r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範囲</w:t>
      </w:r>
      <w:bookmarkEnd w:id="0"/>
      <w:bookmarkEnd w:id="1"/>
      <w:r w:rsidRPr="00AA0BF2">
        <w:rPr>
          <w:rFonts w:ascii="MS Mincho" w:eastAsia="MS Mincho" w:hAnsi="MS Mincho" w:cs="Times New Roman"/>
          <w:b/>
          <w:sz w:val="28"/>
          <w:szCs w:val="28"/>
          <w:lang w:eastAsia="ja-JP"/>
        </w:rPr>
        <w:t>拡大</w:t>
      </w:r>
    </w:p>
    <w:p w:rsidR="00EA26A7" w:rsidRPr="00AA0BF2" w:rsidRDefault="007830FB" w:rsidP="00EA26A7">
      <w:pPr>
        <w:ind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/>
          <w:sz w:val="28"/>
          <w:szCs w:val="28"/>
          <w:lang w:eastAsia="ja-JP"/>
        </w:rPr>
        <w:t>2014</w:t>
      </w:r>
      <w:r w:rsidR="00061CFE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年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に開放された</w:t>
      </w:r>
      <w:r w:rsidR="00FE18B0" w:rsidRPr="00AA0BF2">
        <w:rPr>
          <w:rFonts w:ascii="MS Mincho" w:eastAsia="MS Mincho" w:hAnsi="MS Mincho" w:cs="Times New Roman"/>
          <w:bCs/>
          <w:sz w:val="28"/>
          <w:szCs w:val="28"/>
          <w:lang w:eastAsia="ja-JP"/>
        </w:rPr>
        <w:t>現物株式取引</w:t>
      </w:r>
      <w:r w:rsidR="00FE18B0" w:rsidRPr="00AA0BF2">
        <w:rPr>
          <w:rFonts w:ascii="MS Mincho" w:eastAsia="MS Mincho" w:hAnsi="MS Mincho" w:cs="Times New Roman"/>
          <w:sz w:val="28"/>
          <w:szCs w:val="28"/>
          <w:lang w:eastAsia="ja-JP"/>
        </w:rPr>
        <w:t>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決済によるデイトレート</w:t>
      </w:r>
      <w:r w:rsidR="00EA26A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取引は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現在</w:t>
      </w:r>
      <w:r w:rsidR="00EA26A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台湾50・中型100・</w:t>
      </w:r>
      <w:r w:rsidR="0016696D" w:rsidRPr="00AA0BF2">
        <w:rPr>
          <w:rFonts w:ascii="MS Mincho" w:eastAsia="MS Mincho" w:hAnsi="MS Mincho"/>
          <w:sz w:val="28"/>
          <w:szCs w:val="28"/>
          <w:lang w:eastAsia="ja-JP"/>
        </w:rPr>
        <w:t>証券グレタイ売買センター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の「富櫃五十指数」成分の</w:t>
      </w:r>
      <w:r w:rsidR="005D3C68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証券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に限って行われてき</w:t>
      </w:r>
      <w:r w:rsidR="00EA26A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まし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た。</w:t>
      </w:r>
    </w:p>
    <w:p w:rsidR="007830FB" w:rsidRPr="00AA0BF2" w:rsidRDefault="007830FB" w:rsidP="00EA26A7">
      <w:pPr>
        <w:ind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この</w:t>
      </w:r>
      <w:r w:rsidR="007F4511" w:rsidRPr="00AA0BF2">
        <w:rPr>
          <w:rFonts w:ascii="MS Mincho" w:eastAsia="MS Mincho" w:hAnsi="MS Mincho" w:cs="Times New Roman"/>
          <w:bCs/>
          <w:sz w:val="28"/>
          <w:szCs w:val="28"/>
          <w:lang w:eastAsia="ja-JP"/>
        </w:rPr>
        <w:t>現物株式取引</w:t>
      </w:r>
      <w:r w:rsidR="007F4511" w:rsidRPr="00AA0BF2">
        <w:rPr>
          <w:rFonts w:ascii="MS Mincho" w:eastAsia="MS Mincho" w:hAnsi="MS Mincho" w:cs="Times New Roman"/>
          <w:sz w:val="28"/>
          <w:szCs w:val="28"/>
          <w:lang w:eastAsia="ja-JP"/>
        </w:rPr>
        <w:t>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決済によるデイトレートの範囲が2015年6月1日より拡大され、台湾50・中型100・</w:t>
      </w:r>
      <w:r w:rsidR="006F48A2" w:rsidRPr="00AA0BF2">
        <w:rPr>
          <w:rFonts w:ascii="MS Mincho" w:eastAsia="MS Mincho" w:hAnsi="MS Mincho"/>
          <w:sz w:val="28"/>
          <w:szCs w:val="28"/>
          <w:lang w:eastAsia="ja-JP"/>
        </w:rPr>
        <w:t>証券グレタイ売買センター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の「富櫃五十指数」成分の</w:t>
      </w:r>
      <w:r w:rsidR="005D3C68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証券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のほか、</w:t>
      </w:r>
      <w:r w:rsidR="007F02AB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ワラント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付証券（A級発行人発行の</w:t>
      </w:r>
      <w:r w:rsidR="007F02AB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ワラント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付証券含む）・台湾証券取引所もしくは中華民国</w:t>
      </w:r>
      <w:r w:rsidR="006F48A2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証券グレタイ売買センター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より公告されたもの</w:t>
      </w:r>
      <w:r w:rsidR="007F4511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全ての上場証券</w:t>
      </w:r>
      <w:r w:rsidR="007F4511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、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上場投資信託（ETF）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についても、</w:t>
      </w:r>
      <w:r w:rsidR="007F4511" w:rsidRPr="00AA0BF2">
        <w:rPr>
          <w:rFonts w:ascii="MS Mincho" w:eastAsia="MS Mincho" w:hAnsi="MS Mincho" w:cs="Times New Roman"/>
          <w:bCs/>
          <w:sz w:val="28"/>
          <w:szCs w:val="28"/>
          <w:lang w:eastAsia="ja-JP"/>
        </w:rPr>
        <w:t>現物株式取引</w:t>
      </w:r>
      <w:r w:rsidR="007F4511" w:rsidRPr="00AA0BF2">
        <w:rPr>
          <w:rFonts w:ascii="MS Mincho" w:eastAsia="MS Mincho" w:hAnsi="MS Mincho" w:cs="Times New Roman"/>
          <w:sz w:val="28"/>
          <w:szCs w:val="28"/>
          <w:lang w:eastAsia="ja-JP"/>
        </w:rPr>
        <w:t>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決済によるデイトレートが可能となりました。</w:t>
      </w:r>
    </w:p>
    <w:p w:rsidR="007830FB" w:rsidRPr="00AA0BF2" w:rsidRDefault="007830FB" w:rsidP="00061CFE">
      <w:pPr>
        <w:rPr>
          <w:rFonts w:ascii="MS Mincho" w:eastAsia="MS Mincho" w:hAnsi="MS Mincho" w:cs="Times New Roman"/>
          <w:sz w:val="28"/>
          <w:szCs w:val="28"/>
          <w:lang w:eastAsia="ja-JP"/>
        </w:rPr>
      </w:pPr>
    </w:p>
    <w:p w:rsidR="000A1B7F" w:rsidRPr="00AA0BF2" w:rsidRDefault="007F02AB" w:rsidP="00DD57AD">
      <w:pPr>
        <w:pStyle w:val="a3"/>
        <w:numPr>
          <w:ilvl w:val="0"/>
          <w:numId w:val="1"/>
        </w:numPr>
        <w:tabs>
          <w:tab w:val="left" w:pos="709"/>
        </w:tabs>
        <w:spacing w:afterLines="50" w:line="480" w:lineRule="exact"/>
        <w:ind w:leftChars="0"/>
        <w:rPr>
          <w:rFonts w:ascii="MS Mincho" w:eastAsia="MS Mincho" w:hAnsi="MS Mincho" w:cs="Times New Roman"/>
          <w:b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ワラント</w:t>
      </w:r>
      <w:r w:rsidR="00193B7F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付</w:t>
      </w:r>
      <w:r w:rsidR="005D3C68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証券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の</w:t>
      </w:r>
      <w:r w:rsidR="00193B7F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対象</w:t>
      </w:r>
      <w:r w:rsidR="00EA26A7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選定</w:t>
      </w: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方式</w:t>
      </w:r>
      <w:r w:rsidR="003C558C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：</w:t>
      </w:r>
    </w:p>
    <w:p w:rsidR="00EA26A7" w:rsidRPr="00AA0BF2" w:rsidRDefault="00193B7F" w:rsidP="00EA26A7">
      <w:pPr>
        <w:ind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ワラント付証券の対象となる</w:t>
      </w:r>
      <w:r w:rsidR="00EA26A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証券の選定</w:t>
      </w:r>
      <w:r w:rsidR="007F02A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基準は、市価</w:t>
      </w:r>
      <w:r w:rsidR="00964F84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</w:t>
      </w:r>
      <w:r w:rsidR="007F02A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流動性</w:t>
      </w:r>
      <w:r w:rsidR="00964F84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及び</w:t>
      </w:r>
      <w:r w:rsidR="007F02A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財務状況により、3月・6月・9月・12月の年4回の審査</w:t>
      </w:r>
      <w:r w:rsidR="00EA26A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で</w:t>
      </w:r>
      <w:r w:rsidR="007F02A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決定され、翌月第1営業日から発効します。</w:t>
      </w:r>
    </w:p>
    <w:p w:rsidR="00061CFE" w:rsidRPr="00AA0BF2" w:rsidRDefault="007F02AB" w:rsidP="00EA26A7">
      <w:pPr>
        <w:ind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また、毎年5月・8月・11月中旬</w:t>
      </w:r>
      <w:r w:rsidR="00AE4570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四半期</w:t>
      </w:r>
      <w:r w:rsidR="00AE4570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報告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、半年</w:t>
      </w:r>
      <w:r w:rsidR="00AE4570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報告を</w:t>
      </w:r>
      <w:r w:rsidR="000D3BC4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基</w:t>
      </w:r>
      <w:r w:rsidR="00AE4570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にした</w:t>
      </w:r>
      <w:r w:rsidR="00061CFE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調整</w:t>
      </w:r>
      <w:r w:rsidR="00AE4570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が行われます</w:t>
      </w:r>
      <w:r w:rsidR="00061CFE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。</w:t>
      </w:r>
    </w:p>
    <w:p w:rsidR="00EA26A7" w:rsidRPr="00AA0BF2" w:rsidRDefault="00EA26A7" w:rsidP="00EA26A7">
      <w:pPr>
        <w:ind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</w:p>
    <w:p w:rsidR="00061CFE" w:rsidRPr="00AA0BF2" w:rsidRDefault="0009563E" w:rsidP="00DD57AD">
      <w:pPr>
        <w:pStyle w:val="a3"/>
        <w:numPr>
          <w:ilvl w:val="0"/>
          <w:numId w:val="1"/>
        </w:numPr>
        <w:tabs>
          <w:tab w:val="left" w:pos="709"/>
        </w:tabs>
        <w:spacing w:afterLines="50" w:line="480" w:lineRule="exact"/>
        <w:ind w:leftChars="0" w:hanging="622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デイトレート</w:t>
      </w:r>
      <w:r w:rsidR="00DE5BB0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対象</w:t>
      </w:r>
      <w:r w:rsidR="005D3C68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証券</w:t>
      </w:r>
      <w:r w:rsidR="00DE5BB0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の発効</w:t>
      </w:r>
      <w:r w:rsidR="005D3C68" w:rsidRPr="00AA0BF2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日時について</w:t>
      </w:r>
      <w:r w:rsidR="00061CFE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：</w:t>
      </w:r>
    </w:p>
    <w:p w:rsidR="0068009C" w:rsidRPr="00AA0BF2" w:rsidRDefault="00DE5BB0" w:rsidP="00DD57AD">
      <w:pPr>
        <w:pStyle w:val="a3"/>
        <w:numPr>
          <w:ilvl w:val="0"/>
          <w:numId w:val="7"/>
        </w:numPr>
        <w:tabs>
          <w:tab w:val="left" w:pos="426"/>
        </w:tabs>
        <w:spacing w:afterLines="50"/>
        <w:ind w:leftChars="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ワラント</w:t>
      </w:r>
      <w:r w:rsidR="00193B7F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付証券の対象となる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証券</w:t>
      </w:r>
    </w:p>
    <w:p w:rsidR="00642F67" w:rsidRPr="00AA0BF2" w:rsidRDefault="005D3C68" w:rsidP="00DD57AD">
      <w:pPr>
        <w:pStyle w:val="a3"/>
        <w:tabs>
          <w:tab w:val="left" w:pos="426"/>
        </w:tabs>
        <w:spacing w:afterLines="50"/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ワラント対象の証券は、市価・流動性の審査のほか、財務状況を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選定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基準として用い、上場企業の財務諸表提出締め切り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を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午前0時までと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しています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。</w:t>
      </w:r>
    </w:p>
    <w:p w:rsidR="005D3C68" w:rsidRPr="00AA0BF2" w:rsidRDefault="005D3C68" w:rsidP="00DD57AD">
      <w:pPr>
        <w:pStyle w:val="a3"/>
        <w:tabs>
          <w:tab w:val="left" w:pos="426"/>
        </w:tabs>
        <w:spacing w:afterLines="50"/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対象となる証券全体の公告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のための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作業時間を考慮し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たうえで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、2015年6月1日より、台湾50・中型100・</w:t>
      </w:r>
      <w:r w:rsidR="006F48A2" w:rsidRPr="00AA0BF2">
        <w:rPr>
          <w:rFonts w:ascii="MS Mincho" w:eastAsia="MS Mincho" w:hAnsi="MS Mincho"/>
          <w:sz w:val="28"/>
          <w:szCs w:val="28"/>
          <w:lang w:eastAsia="ja-JP"/>
        </w:rPr>
        <w:t>証券グレタイ売買センター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の「富櫃五十指数」成分の証券を除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く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、その他のワラント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付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対象証券については、</w:t>
      </w:r>
      <w:r w:rsidR="00153FB5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ワラント対象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</w:t>
      </w:r>
      <w:r w:rsidR="00153FB5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発効</w:t>
      </w:r>
      <w:r w:rsidR="00642F67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から一営業日後にデイトレート取引の対象となります</w:t>
      </w:r>
      <w:r w:rsidR="00153FB5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。</w:t>
      </w:r>
    </w:p>
    <w:p w:rsidR="003F1F23" w:rsidRPr="00AA0BF2" w:rsidRDefault="00153FB5" w:rsidP="00DD57AD">
      <w:pPr>
        <w:pStyle w:val="a3"/>
        <w:tabs>
          <w:tab w:val="left" w:pos="426"/>
        </w:tabs>
        <w:spacing w:afterLines="50"/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例えば、2015年7月1日に、第三四半期の調整によってワラント対象</w:t>
      </w:r>
      <w:r w:rsidR="001A4C7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となる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証券</w:t>
      </w:r>
      <w:r w:rsidR="001A4C7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が発効し、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7月2日</w:t>
      </w:r>
      <w:r w:rsidR="001A4C7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から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デイトレート取引の対象</w:t>
      </w:r>
      <w:r w:rsidR="001A4C7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には、</w:t>
      </w:r>
      <w:r w:rsidR="003D5CD5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当該</w:t>
      </w:r>
      <w:r w:rsidR="001A4C7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四半期の調整結果が適用されます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。</w:t>
      </w:r>
    </w:p>
    <w:p w:rsidR="00153FB5" w:rsidRPr="00AA0BF2" w:rsidRDefault="00153FB5" w:rsidP="00DD57AD">
      <w:pPr>
        <w:pStyle w:val="a3"/>
        <w:tabs>
          <w:tab w:val="left" w:pos="426"/>
        </w:tabs>
        <w:spacing w:afterLines="50"/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7月1日のデイトレート取引の対象は、台湾50・中型100・</w:t>
      </w:r>
      <w:r w:rsidR="006F48A2" w:rsidRPr="00AA0BF2">
        <w:rPr>
          <w:rFonts w:ascii="MS Mincho" w:eastAsia="MS Mincho" w:hAnsi="MS Mincho"/>
          <w:sz w:val="28"/>
          <w:szCs w:val="28"/>
          <w:lang w:eastAsia="ja-JP"/>
        </w:rPr>
        <w:t>証券グレタイ売買センター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の「富櫃五十指数」成分の証券のほか、前四半期のワラント証券が</w:t>
      </w:r>
      <w:r w:rsidR="003F1F23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対象となります。</w:t>
      </w:r>
    </w:p>
    <w:p w:rsidR="003F1F23" w:rsidRPr="00AA0BF2" w:rsidRDefault="003F1F23" w:rsidP="00DD57AD">
      <w:pPr>
        <w:pStyle w:val="a3"/>
        <w:tabs>
          <w:tab w:val="left" w:pos="426"/>
        </w:tabs>
        <w:spacing w:afterLines="50"/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</w:p>
    <w:p w:rsidR="00642F67" w:rsidRPr="00AA0BF2" w:rsidRDefault="00C06030" w:rsidP="00A4355D">
      <w:pPr>
        <w:pStyle w:val="a3"/>
        <w:numPr>
          <w:ilvl w:val="0"/>
          <w:numId w:val="7"/>
        </w:numPr>
        <w:tabs>
          <w:tab w:val="left" w:pos="851"/>
        </w:tabs>
        <w:ind w:leftChars="0"/>
        <w:rPr>
          <w:rFonts w:ascii="MS Mincho" w:eastAsia="MS Mincho" w:hAnsi="MS Mincho" w:cs="Times New Roman"/>
          <w:sz w:val="28"/>
          <w:szCs w:val="28"/>
        </w:rPr>
      </w:pPr>
      <w:r w:rsidRPr="00AA0BF2">
        <w:rPr>
          <w:rFonts w:ascii="MS Mincho" w:eastAsia="MS Mincho" w:hAnsi="MS Mincho" w:cs="Times New Roman" w:hint="eastAsia"/>
          <w:sz w:val="28"/>
          <w:szCs w:val="28"/>
        </w:rPr>
        <w:lastRenderedPageBreak/>
        <w:t>上場投資信託（ETF）</w:t>
      </w:r>
    </w:p>
    <w:p w:rsidR="006648EC" w:rsidRPr="00AA0BF2" w:rsidRDefault="0045365E" w:rsidP="006648EC">
      <w:pPr>
        <w:pStyle w:val="a3"/>
        <w:tabs>
          <w:tab w:val="left" w:pos="851"/>
        </w:tabs>
        <w:ind w:leftChars="0" w:firstLineChars="100" w:firstLine="280"/>
        <w:rPr>
          <w:rFonts w:ascii="MS Mincho" w:eastAsia="MS Mincho" w:hAnsi="MS Mincho" w:cs="MS Mincho"/>
          <w:sz w:val="28"/>
          <w:szCs w:val="28"/>
          <w:lang w:eastAsia="ja-JP"/>
        </w:rPr>
      </w:pP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上場投資信託（ETF）</w:t>
      </w:r>
      <w:r w:rsidR="006648EC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は、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上場</w:t>
      </w:r>
      <w:r w:rsidR="006648EC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による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信用取引が可能</w:t>
      </w:r>
      <w:r w:rsidR="006648EC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になることで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、投資家は上場投資信託（ETF）を</w:t>
      </w:r>
      <w:r w:rsidR="00B4159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資金と相殺させることが</w:t>
      </w:r>
      <w:r w:rsidR="006648EC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出来るように</w:t>
      </w:r>
      <w:r w:rsidR="00B4159B" w:rsidRPr="00AA0BF2">
        <w:rPr>
          <w:rFonts w:ascii="MS Mincho" w:eastAsia="MS Mincho" w:hAnsi="MS Mincho" w:cs="MS Mincho" w:hint="eastAsia"/>
          <w:sz w:val="28"/>
          <w:szCs w:val="28"/>
          <w:lang w:eastAsia="ja-JP"/>
        </w:rPr>
        <w:t>なり</w:t>
      </w:r>
      <w:r w:rsidRPr="00AA0BF2">
        <w:rPr>
          <w:rFonts w:ascii="MS Mincho" w:eastAsia="MS Mincho" w:hAnsi="MS Mincho" w:cs="MS Mincho" w:hint="eastAsia"/>
          <w:sz w:val="28"/>
          <w:szCs w:val="28"/>
          <w:lang w:eastAsia="ja-JP"/>
        </w:rPr>
        <w:t>ます。</w:t>
      </w:r>
    </w:p>
    <w:p w:rsidR="00061CFE" w:rsidRPr="00AA0BF2" w:rsidRDefault="0045365E" w:rsidP="006648EC">
      <w:pPr>
        <w:pStyle w:val="a3"/>
        <w:tabs>
          <w:tab w:val="left" w:pos="851"/>
        </w:tabs>
        <w:ind w:leftChars="0" w:firstLineChars="100" w:firstLine="280"/>
        <w:rPr>
          <w:rFonts w:ascii="MS Mincho" w:eastAsia="MS Mincho" w:hAnsi="MS Mincho" w:cs="Times New Roman"/>
          <w:sz w:val="28"/>
          <w:szCs w:val="28"/>
          <w:lang w:eastAsia="ja-JP"/>
        </w:rPr>
      </w:pPr>
      <w:r w:rsidRPr="00AA0BF2">
        <w:rPr>
          <w:rFonts w:ascii="MS Mincho" w:eastAsia="MS Mincho" w:hAnsi="MS Mincho" w:cs="MS Mincho" w:hint="eastAsia"/>
          <w:sz w:val="28"/>
          <w:szCs w:val="28"/>
          <w:lang w:eastAsia="ja-JP"/>
        </w:rPr>
        <w:t>そのため、2015年6月1日より、全ての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上場投資信託（ETF）は</w:t>
      </w:r>
      <w:r w:rsidR="00C215D5" w:rsidRPr="00AA0BF2">
        <w:rPr>
          <w:rFonts w:ascii="MS Mincho" w:eastAsia="MS Mincho" w:hAnsi="MS Mincho" w:cs="Times New Roman"/>
          <w:bCs/>
          <w:sz w:val="28"/>
          <w:szCs w:val="28"/>
          <w:lang w:eastAsia="ja-JP"/>
        </w:rPr>
        <w:t>現物株式取引</w:t>
      </w:r>
      <w:r w:rsidR="00C215D5" w:rsidRPr="00AA0BF2">
        <w:rPr>
          <w:rFonts w:ascii="MS Mincho" w:eastAsia="MS Mincho" w:hAnsi="MS Mincho" w:cs="Times New Roman"/>
          <w:sz w:val="28"/>
          <w:szCs w:val="28"/>
          <w:lang w:eastAsia="ja-JP"/>
        </w:rPr>
        <w:t>の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決済によるデイトレートが可能となり</w:t>
      </w:r>
      <w:r w:rsidR="00B4159B"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、また</w:t>
      </w:r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新たに上場する上場投資信託（ETF）の場合は、上場初日から</w:t>
      </w:r>
      <w:r w:rsidR="00C215D5" w:rsidRPr="00AA0BF2">
        <w:rPr>
          <w:rFonts w:ascii="MS Mincho" w:eastAsia="MS Mincho" w:hAnsi="MS Mincho" w:cs="Times New Roman"/>
          <w:bCs/>
          <w:sz w:val="28"/>
          <w:szCs w:val="28"/>
          <w:lang w:eastAsia="ja-JP"/>
        </w:rPr>
        <w:t>現物株式取引</w:t>
      </w:r>
      <w:r w:rsidR="00C215D5" w:rsidRPr="00AA0BF2">
        <w:rPr>
          <w:rFonts w:ascii="MS Mincho" w:eastAsia="MS Mincho" w:hAnsi="MS Mincho" w:cs="Times New Roman"/>
          <w:sz w:val="28"/>
          <w:szCs w:val="28"/>
          <w:lang w:eastAsia="ja-JP"/>
        </w:rPr>
        <w:t>の</w:t>
      </w:r>
      <w:bookmarkStart w:id="2" w:name="_GoBack"/>
      <w:bookmarkEnd w:id="2"/>
      <w:r w:rsidRPr="00AA0BF2">
        <w:rPr>
          <w:rFonts w:ascii="MS Mincho" w:eastAsia="MS Mincho" w:hAnsi="MS Mincho" w:cs="Times New Roman" w:hint="eastAsia"/>
          <w:sz w:val="28"/>
          <w:szCs w:val="28"/>
          <w:lang w:eastAsia="ja-JP"/>
        </w:rPr>
        <w:t>決済によるデイトレートが可能です。</w:t>
      </w:r>
    </w:p>
    <w:sectPr w:rsidR="00061CFE" w:rsidRPr="00AA0BF2" w:rsidSect="00344B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1B" w:rsidRDefault="00507B1B" w:rsidP="00061CFE">
      <w:r>
        <w:separator/>
      </w:r>
    </w:p>
  </w:endnote>
  <w:endnote w:type="continuationSeparator" w:id="0">
    <w:p w:rsidR="00507B1B" w:rsidRDefault="00507B1B" w:rsidP="0006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6954"/>
      <w:docPartObj>
        <w:docPartGallery w:val="Page Numbers (Bottom of Page)"/>
        <w:docPartUnique/>
      </w:docPartObj>
    </w:sdtPr>
    <w:sdtContent>
      <w:p w:rsidR="00061CFE" w:rsidRDefault="00BE7D0A">
        <w:pPr>
          <w:pStyle w:val="a4"/>
          <w:jc w:val="center"/>
        </w:pPr>
        <w:r w:rsidRPr="00BE7D0A">
          <w:fldChar w:fldCharType="begin"/>
        </w:r>
        <w:r w:rsidR="006A2779">
          <w:instrText xml:space="preserve"> PAGE   \* MERGEFORMAT </w:instrText>
        </w:r>
        <w:r w:rsidRPr="00BE7D0A">
          <w:fldChar w:fldCharType="separate"/>
        </w:r>
        <w:r w:rsidR="00DD57AD" w:rsidRPr="00DD57A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61CFE" w:rsidRDefault="00061C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1B" w:rsidRDefault="00507B1B" w:rsidP="00061CFE">
      <w:r>
        <w:separator/>
      </w:r>
    </w:p>
  </w:footnote>
  <w:footnote w:type="continuationSeparator" w:id="0">
    <w:p w:rsidR="00507B1B" w:rsidRDefault="00507B1B" w:rsidP="00061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198"/>
    <w:multiLevelType w:val="hybridMultilevel"/>
    <w:tmpl w:val="907A3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4B5083"/>
    <w:multiLevelType w:val="hybridMultilevel"/>
    <w:tmpl w:val="1A28D808"/>
    <w:lvl w:ilvl="0" w:tplc="4D6A6484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2D5ADE"/>
    <w:multiLevelType w:val="hybridMultilevel"/>
    <w:tmpl w:val="5CA81BE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963932"/>
    <w:multiLevelType w:val="hybridMultilevel"/>
    <w:tmpl w:val="F378F456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F1966A8"/>
    <w:multiLevelType w:val="hybridMultilevel"/>
    <w:tmpl w:val="ACB07C16"/>
    <w:lvl w:ilvl="0" w:tplc="D5BC1AD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D7880CA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466291"/>
    <w:multiLevelType w:val="hybridMultilevel"/>
    <w:tmpl w:val="26D05352"/>
    <w:lvl w:ilvl="0" w:tplc="76E6C4B2">
      <w:start w:val="1"/>
      <w:numFmt w:val="decimal"/>
      <w:lvlText w:val="%1."/>
      <w:lvlJc w:val="left"/>
      <w:pPr>
        <w:ind w:left="15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1471FF"/>
    <w:multiLevelType w:val="hybridMultilevel"/>
    <w:tmpl w:val="0548F1F0"/>
    <w:lvl w:ilvl="0" w:tplc="312E1F6C">
      <w:start w:val="1"/>
      <w:numFmt w:val="upperRoman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C46F66"/>
    <w:multiLevelType w:val="hybridMultilevel"/>
    <w:tmpl w:val="A5A8C84C"/>
    <w:lvl w:ilvl="0" w:tplc="4EA22CB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E3377E2"/>
    <w:multiLevelType w:val="hybridMultilevel"/>
    <w:tmpl w:val="C0B8D228"/>
    <w:lvl w:ilvl="0" w:tplc="FDA8A60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C751A5"/>
    <w:multiLevelType w:val="hybridMultilevel"/>
    <w:tmpl w:val="A9F0F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D870738"/>
    <w:multiLevelType w:val="hybridMultilevel"/>
    <w:tmpl w:val="1D8E4B6C"/>
    <w:lvl w:ilvl="0" w:tplc="D58E28E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FDA8A604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CFE"/>
    <w:rsid w:val="00061CFE"/>
    <w:rsid w:val="0009563E"/>
    <w:rsid w:val="000A1B7F"/>
    <w:rsid w:val="000B0B6C"/>
    <w:rsid w:val="000D3BC4"/>
    <w:rsid w:val="00121B23"/>
    <w:rsid w:val="001537A4"/>
    <w:rsid w:val="00153FB5"/>
    <w:rsid w:val="0016696D"/>
    <w:rsid w:val="00184782"/>
    <w:rsid w:val="00193B7F"/>
    <w:rsid w:val="001A4C7B"/>
    <w:rsid w:val="00217718"/>
    <w:rsid w:val="00250346"/>
    <w:rsid w:val="00274C7E"/>
    <w:rsid w:val="002B4638"/>
    <w:rsid w:val="00320602"/>
    <w:rsid w:val="00344BF1"/>
    <w:rsid w:val="00354B87"/>
    <w:rsid w:val="003918E3"/>
    <w:rsid w:val="00397C29"/>
    <w:rsid w:val="003C558C"/>
    <w:rsid w:val="003D51AE"/>
    <w:rsid w:val="003D5CD5"/>
    <w:rsid w:val="003F1F23"/>
    <w:rsid w:val="00421BD7"/>
    <w:rsid w:val="00442F37"/>
    <w:rsid w:val="0045365E"/>
    <w:rsid w:val="004676A1"/>
    <w:rsid w:val="00507B1B"/>
    <w:rsid w:val="00537BAF"/>
    <w:rsid w:val="00562F32"/>
    <w:rsid w:val="00595B5A"/>
    <w:rsid w:val="005D3C68"/>
    <w:rsid w:val="00605E27"/>
    <w:rsid w:val="00615094"/>
    <w:rsid w:val="006405C7"/>
    <w:rsid w:val="00642F67"/>
    <w:rsid w:val="006648EC"/>
    <w:rsid w:val="0067532D"/>
    <w:rsid w:val="0068009C"/>
    <w:rsid w:val="00694E85"/>
    <w:rsid w:val="006A2779"/>
    <w:rsid w:val="006A3DA3"/>
    <w:rsid w:val="006F48A2"/>
    <w:rsid w:val="007830FB"/>
    <w:rsid w:val="007C637C"/>
    <w:rsid w:val="007D3B18"/>
    <w:rsid w:val="007F02AB"/>
    <w:rsid w:val="007F4511"/>
    <w:rsid w:val="00801FB0"/>
    <w:rsid w:val="00891381"/>
    <w:rsid w:val="00947A6F"/>
    <w:rsid w:val="00964F84"/>
    <w:rsid w:val="009D0956"/>
    <w:rsid w:val="00A4355D"/>
    <w:rsid w:val="00A92545"/>
    <w:rsid w:val="00A972E8"/>
    <w:rsid w:val="00AA0BF2"/>
    <w:rsid w:val="00AE4570"/>
    <w:rsid w:val="00B4159B"/>
    <w:rsid w:val="00BE7D0A"/>
    <w:rsid w:val="00BF4C63"/>
    <w:rsid w:val="00C06030"/>
    <w:rsid w:val="00C215D5"/>
    <w:rsid w:val="00C4729E"/>
    <w:rsid w:val="00DC5FC1"/>
    <w:rsid w:val="00DD57AD"/>
    <w:rsid w:val="00DE1512"/>
    <w:rsid w:val="00DE5BB0"/>
    <w:rsid w:val="00E20983"/>
    <w:rsid w:val="00E42CB5"/>
    <w:rsid w:val="00E43037"/>
    <w:rsid w:val="00E6423A"/>
    <w:rsid w:val="00EA26A7"/>
    <w:rsid w:val="00EB219A"/>
    <w:rsid w:val="00EC303F"/>
    <w:rsid w:val="00F13DCD"/>
    <w:rsid w:val="00F17841"/>
    <w:rsid w:val="00FA609E"/>
    <w:rsid w:val="00FD3A8C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F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6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61CFE"/>
    <w:rPr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061CFE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061C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1CF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C5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C5FC1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397C2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F4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48A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F48A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48A2"/>
  </w:style>
  <w:style w:type="character" w:customStyle="1" w:styleId="af0">
    <w:name w:val="註解文字 字元"/>
    <w:basedOn w:val="a0"/>
    <w:link w:val="af"/>
    <w:uiPriority w:val="99"/>
    <w:semiHidden/>
    <w:rsid w:val="006F48A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48A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F4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F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6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61CFE"/>
    <w:rPr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061CFE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061C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1CFE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DC5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C5FC1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397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9950B-DF71-4FA1-B07C-A96F4057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cp:lastPrinted>2015-05-05T01:49:00Z</cp:lastPrinted>
  <dcterms:created xsi:type="dcterms:W3CDTF">2015-06-01T09:12:00Z</dcterms:created>
  <dcterms:modified xsi:type="dcterms:W3CDTF">2015-06-01T09:12:00Z</dcterms:modified>
</cp:coreProperties>
</file>