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5B57D" w14:textId="77777777" w:rsidR="00B8673B" w:rsidRPr="00B802F8" w:rsidRDefault="00B8673B" w:rsidP="0038335E">
      <w:pPr>
        <w:snapToGrid w:val="0"/>
        <w:spacing w:line="400" w:lineRule="atLeast"/>
        <w:ind w:left="108" w:hangingChars="45" w:hanging="108"/>
        <w:jc w:val="both"/>
        <w:rPr>
          <w:rFonts w:ascii="Times New Roman" w:eastAsia="標楷體" w:hAnsi="Times New Roman" w:cs="Times New Roman"/>
          <w:szCs w:val="24"/>
        </w:rPr>
      </w:pPr>
      <w:r w:rsidRPr="00B802F8">
        <w:rPr>
          <w:rFonts w:ascii="Times New Roman" w:eastAsia="標楷體" w:hAnsi="Times New Roman" w:cs="Times New Roman"/>
          <w:szCs w:val="24"/>
        </w:rPr>
        <w:t>附表七、認購（售）權證發行計畫檢查表</w:t>
      </w:r>
    </w:p>
    <w:p w14:paraId="61801F53" w14:textId="77777777" w:rsidR="00B8673B" w:rsidRPr="00B802F8" w:rsidRDefault="00B8673B" w:rsidP="0038335E">
      <w:pPr>
        <w:snapToGrid w:val="0"/>
        <w:spacing w:line="400" w:lineRule="atLeast"/>
        <w:ind w:left="108" w:hangingChars="45" w:hanging="108"/>
        <w:jc w:val="both"/>
        <w:rPr>
          <w:rFonts w:ascii="Times New Roman" w:eastAsia="標楷體" w:hAnsi="Times New Roman" w:cs="Times New Roman"/>
          <w:szCs w:val="24"/>
        </w:rPr>
      </w:pPr>
      <w:r w:rsidRPr="00B802F8">
        <w:rPr>
          <w:rFonts w:ascii="Times New Roman" w:eastAsia="標楷體" w:hAnsi="Times New Roman" w:cs="Times New Roman"/>
          <w:szCs w:val="24"/>
        </w:rPr>
        <w:t>申請機構名稱：</w:t>
      </w:r>
      <w:r w:rsidRPr="00B802F8">
        <w:rPr>
          <w:rFonts w:ascii="Times New Roman" w:eastAsia="標楷體" w:hAnsi="Times New Roman" w:cs="Times New Roman"/>
          <w:szCs w:val="24"/>
        </w:rPr>
        <w:t xml:space="preserve"> </w:t>
      </w:r>
    </w:p>
    <w:p w14:paraId="0B3EA5B9" w14:textId="77777777" w:rsidR="00B8673B" w:rsidRPr="00B802F8" w:rsidRDefault="00B8673B" w:rsidP="0038335E">
      <w:pPr>
        <w:snapToGrid w:val="0"/>
        <w:spacing w:line="400" w:lineRule="atLeast"/>
        <w:ind w:left="108" w:hangingChars="45" w:hanging="108"/>
        <w:jc w:val="both"/>
        <w:rPr>
          <w:rFonts w:ascii="Times New Roman" w:eastAsia="標楷體" w:hAnsi="Times New Roman" w:cs="Times New Roman"/>
          <w:szCs w:val="24"/>
        </w:rPr>
      </w:pPr>
      <w:r w:rsidRPr="00B802F8">
        <w:rPr>
          <w:rFonts w:ascii="Times New Roman" w:eastAsia="標楷體" w:hAnsi="Times New Roman" w:cs="Times New Roman"/>
          <w:szCs w:val="24"/>
        </w:rPr>
        <w:t>發行計畫收文日期：</w:t>
      </w:r>
      <w:r w:rsidRPr="00B802F8">
        <w:rPr>
          <w:rFonts w:ascii="Times New Roman" w:eastAsia="標楷體" w:hAnsi="Times New Roman" w:cs="Times New Roman"/>
          <w:szCs w:val="24"/>
        </w:rPr>
        <w:t xml:space="preserve">    </w:t>
      </w:r>
      <w:r w:rsidRPr="00B802F8">
        <w:rPr>
          <w:rFonts w:ascii="Times New Roman" w:eastAsia="標楷體" w:hAnsi="Times New Roman" w:cs="Times New Roman"/>
          <w:szCs w:val="24"/>
        </w:rPr>
        <w:t>年</w:t>
      </w:r>
      <w:r w:rsidRPr="00B802F8">
        <w:rPr>
          <w:rFonts w:ascii="Times New Roman" w:eastAsia="標楷體" w:hAnsi="Times New Roman" w:cs="Times New Roman"/>
          <w:szCs w:val="24"/>
        </w:rPr>
        <w:t xml:space="preserve">  </w:t>
      </w:r>
      <w:r w:rsidRPr="00B802F8">
        <w:rPr>
          <w:rFonts w:ascii="Times New Roman" w:eastAsia="標楷體" w:hAnsi="Times New Roman" w:cs="Times New Roman"/>
          <w:szCs w:val="24"/>
        </w:rPr>
        <w:t>月</w:t>
      </w:r>
      <w:r w:rsidRPr="00B802F8">
        <w:rPr>
          <w:rFonts w:ascii="Times New Roman" w:eastAsia="標楷體" w:hAnsi="Times New Roman" w:cs="Times New Roman"/>
          <w:szCs w:val="24"/>
        </w:rPr>
        <w:t xml:space="preserve">   </w:t>
      </w:r>
      <w:r w:rsidRPr="00B802F8">
        <w:rPr>
          <w:rFonts w:ascii="Times New Roman" w:eastAsia="標楷體" w:hAnsi="Times New Roman" w:cs="Times New Roman"/>
          <w:szCs w:val="24"/>
        </w:rPr>
        <w:t>日，收文字號：第</w:t>
      </w:r>
      <w:r w:rsidRPr="00B802F8">
        <w:rPr>
          <w:rFonts w:ascii="Times New Roman" w:eastAsia="標楷體" w:hAnsi="Times New Roman" w:cs="Times New Roman"/>
          <w:szCs w:val="24"/>
        </w:rPr>
        <w:t xml:space="preserve">            </w:t>
      </w:r>
      <w:r w:rsidRPr="00B802F8">
        <w:rPr>
          <w:rFonts w:ascii="Times New Roman" w:eastAsia="標楷體" w:hAnsi="Times New Roman" w:cs="Times New Roman"/>
          <w:szCs w:val="24"/>
        </w:rPr>
        <w:t>號</w:t>
      </w:r>
    </w:p>
    <w:p w14:paraId="7D686A44" w14:textId="77777777" w:rsidR="00B8673B" w:rsidRPr="00B802F8" w:rsidRDefault="00B8673B" w:rsidP="0038335E">
      <w:pPr>
        <w:snapToGrid w:val="0"/>
        <w:spacing w:line="400" w:lineRule="atLeast"/>
        <w:ind w:left="108" w:hangingChars="45" w:hanging="108"/>
        <w:jc w:val="both"/>
        <w:rPr>
          <w:rFonts w:ascii="Times New Roman" w:eastAsia="標楷體" w:hAnsi="Times New Roman" w:cs="Times New Roman"/>
          <w:szCs w:val="24"/>
        </w:rPr>
      </w:pPr>
      <w:r w:rsidRPr="00B802F8">
        <w:rPr>
          <w:rFonts w:ascii="Times New Roman" w:eastAsia="標楷體" w:hAnsi="Times New Roman" w:cs="Times New Roman"/>
          <w:szCs w:val="24"/>
        </w:rPr>
        <w:t>承辦人：</w:t>
      </w:r>
      <w:r w:rsidRPr="00B802F8">
        <w:rPr>
          <w:rFonts w:ascii="Times New Roman" w:eastAsia="標楷體" w:hAnsi="Times New Roman" w:cs="Times New Roman"/>
          <w:szCs w:val="24"/>
        </w:rPr>
        <w:t xml:space="preserve">                                            </w:t>
      </w:r>
      <w:r w:rsidRPr="00B802F8">
        <w:rPr>
          <w:rFonts w:ascii="Times New Roman" w:eastAsia="標楷體" w:hAnsi="Times New Roman" w:cs="Times New Roman"/>
          <w:szCs w:val="24"/>
        </w:rPr>
        <w:t>填表日期：</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46"/>
        <w:gridCol w:w="1276"/>
        <w:gridCol w:w="1134"/>
      </w:tblGrid>
      <w:tr w:rsidR="003E4552" w:rsidRPr="00BB3F5B" w14:paraId="245386C5" w14:textId="77777777" w:rsidTr="0014616B">
        <w:trPr>
          <w:trHeight w:val="427"/>
          <w:jc w:val="center"/>
        </w:trPr>
        <w:tc>
          <w:tcPr>
            <w:tcW w:w="6946" w:type="dxa"/>
            <w:vAlign w:val="center"/>
          </w:tcPr>
          <w:p w14:paraId="5134C77D" w14:textId="77777777" w:rsidR="003E4552" w:rsidRPr="00BB3F5B" w:rsidRDefault="003E4552" w:rsidP="0014616B">
            <w:pPr>
              <w:snapToGrid w:val="0"/>
              <w:spacing w:line="400" w:lineRule="atLeast"/>
              <w:jc w:val="center"/>
              <w:rPr>
                <w:rFonts w:eastAsia="標楷體"/>
                <w:szCs w:val="24"/>
              </w:rPr>
            </w:pPr>
            <w:r w:rsidRPr="00BB3F5B">
              <w:rPr>
                <w:rFonts w:eastAsia="標楷體" w:hAnsi="標楷體"/>
                <w:szCs w:val="24"/>
              </w:rPr>
              <w:t>檢查項目</w:t>
            </w:r>
          </w:p>
        </w:tc>
        <w:tc>
          <w:tcPr>
            <w:tcW w:w="1276" w:type="dxa"/>
            <w:vAlign w:val="center"/>
          </w:tcPr>
          <w:p w14:paraId="70D5EFD5" w14:textId="77777777" w:rsidR="003E4552" w:rsidRPr="00BB3F5B" w:rsidRDefault="003E4552" w:rsidP="0014616B">
            <w:pPr>
              <w:snapToGrid w:val="0"/>
              <w:spacing w:line="400" w:lineRule="atLeast"/>
              <w:jc w:val="center"/>
              <w:rPr>
                <w:rFonts w:eastAsia="標楷體"/>
                <w:szCs w:val="24"/>
              </w:rPr>
            </w:pPr>
            <w:r w:rsidRPr="00BB3F5B">
              <w:rPr>
                <w:rFonts w:eastAsia="標楷體" w:hAnsi="標楷體"/>
                <w:szCs w:val="24"/>
              </w:rPr>
              <w:t>發行人填報</w:t>
            </w:r>
          </w:p>
        </w:tc>
        <w:tc>
          <w:tcPr>
            <w:tcW w:w="1134" w:type="dxa"/>
            <w:vAlign w:val="center"/>
          </w:tcPr>
          <w:p w14:paraId="5A5EAE05" w14:textId="77777777" w:rsidR="003E4552" w:rsidRPr="00BB3F5B" w:rsidRDefault="003E4552" w:rsidP="0014616B">
            <w:pPr>
              <w:snapToGrid w:val="0"/>
              <w:spacing w:line="400" w:lineRule="atLeast"/>
              <w:jc w:val="center"/>
              <w:rPr>
                <w:rFonts w:eastAsia="標楷體" w:hAnsi="標楷體"/>
                <w:szCs w:val="24"/>
              </w:rPr>
            </w:pPr>
            <w:r w:rsidRPr="00BB3F5B">
              <w:rPr>
                <w:rFonts w:eastAsia="標楷體" w:hAnsi="標楷體"/>
                <w:szCs w:val="24"/>
              </w:rPr>
              <w:t>交易所</w:t>
            </w:r>
          </w:p>
          <w:p w14:paraId="7D46E887" w14:textId="77777777" w:rsidR="003E4552" w:rsidRPr="00BB3F5B" w:rsidRDefault="003E4552" w:rsidP="0014616B">
            <w:pPr>
              <w:snapToGrid w:val="0"/>
              <w:spacing w:line="400" w:lineRule="atLeast"/>
              <w:jc w:val="center"/>
              <w:rPr>
                <w:rFonts w:eastAsia="標楷體" w:hAnsi="標楷體"/>
                <w:szCs w:val="24"/>
              </w:rPr>
            </w:pPr>
            <w:r w:rsidRPr="00BB3F5B">
              <w:rPr>
                <w:rFonts w:eastAsia="標楷體" w:hAnsi="標楷體"/>
                <w:szCs w:val="24"/>
              </w:rPr>
              <w:t>審查意見</w:t>
            </w:r>
          </w:p>
        </w:tc>
      </w:tr>
      <w:tr w:rsidR="003E4552" w:rsidRPr="00BB3F5B" w14:paraId="2CC04818" w14:textId="77777777" w:rsidTr="0014616B">
        <w:trPr>
          <w:trHeight w:val="1266"/>
          <w:jc w:val="center"/>
        </w:trPr>
        <w:tc>
          <w:tcPr>
            <w:tcW w:w="6946" w:type="dxa"/>
          </w:tcPr>
          <w:p w14:paraId="3365F3A2" w14:textId="77777777" w:rsidR="003E4552" w:rsidRPr="00BB3F5B" w:rsidRDefault="003E4552" w:rsidP="0014616B">
            <w:pPr>
              <w:tabs>
                <w:tab w:val="left" w:pos="10560"/>
                <w:tab w:val="left" w:pos="11520"/>
                <w:tab w:val="left" w:pos="12480"/>
                <w:tab w:val="left" w:pos="13440"/>
                <w:tab w:val="left" w:pos="14400"/>
                <w:tab w:val="left" w:pos="15360"/>
                <w:tab w:val="left" w:pos="16320"/>
                <w:tab w:val="left" w:pos="17280"/>
              </w:tabs>
              <w:autoSpaceDE w:val="0"/>
              <w:snapToGrid w:val="0"/>
              <w:spacing w:line="400" w:lineRule="atLeast"/>
              <w:ind w:right="-3448"/>
              <w:jc w:val="both"/>
              <w:rPr>
                <w:rFonts w:ascii="標楷體" w:eastAsia="標楷體" w:hAnsi="標楷體"/>
                <w:szCs w:val="24"/>
              </w:rPr>
            </w:pPr>
            <w:r w:rsidRPr="00BB3F5B">
              <w:rPr>
                <w:rFonts w:ascii="標楷體" w:eastAsia="標楷體" w:hAnsi="標楷體" w:hint="eastAsia"/>
                <w:szCs w:val="24"/>
              </w:rPr>
              <w:t>一、認購（售）權證發行資格</w:t>
            </w:r>
          </w:p>
          <w:p w14:paraId="69404CF0" w14:textId="77777777" w:rsidR="003E4552" w:rsidRPr="00BB3F5B" w:rsidRDefault="003E4552" w:rsidP="0014616B">
            <w:pPr>
              <w:tabs>
                <w:tab w:val="left" w:pos="11520"/>
                <w:tab w:val="left" w:pos="12480"/>
                <w:tab w:val="left" w:pos="13440"/>
                <w:tab w:val="left" w:pos="14400"/>
                <w:tab w:val="left" w:pos="15360"/>
                <w:tab w:val="left" w:pos="16320"/>
                <w:tab w:val="left" w:pos="17280"/>
              </w:tabs>
              <w:autoSpaceDE w:val="0"/>
              <w:snapToGrid w:val="0"/>
              <w:spacing w:line="400" w:lineRule="atLeast"/>
              <w:ind w:left="720" w:right="119" w:hangingChars="300" w:hanging="720"/>
              <w:jc w:val="both"/>
              <w:rPr>
                <w:rFonts w:ascii="標楷體" w:eastAsia="標楷體" w:hAnsi="標楷體"/>
                <w:szCs w:val="24"/>
              </w:rPr>
            </w:pPr>
            <w:r w:rsidRPr="00BB3F5B">
              <w:rPr>
                <w:rFonts w:ascii="標楷體" w:eastAsia="標楷體" w:hAnsi="標楷體" w:hint="eastAsia"/>
                <w:szCs w:val="24"/>
              </w:rPr>
              <w:t>（一）發行人（發行人為外國機構者，其在中華民國境內之分支機構或直接或間接持股百分之百之子公司在中華民國境內設立之分支機構）係依中華民國法律設立且存續之公司。</w:t>
            </w:r>
          </w:p>
          <w:p w14:paraId="62D49124" w14:textId="77777777" w:rsidR="003E4552" w:rsidRPr="00BB3F5B" w:rsidRDefault="003E4552" w:rsidP="0014616B">
            <w:pPr>
              <w:tabs>
                <w:tab w:val="left" w:pos="11520"/>
                <w:tab w:val="left" w:pos="12480"/>
                <w:tab w:val="left" w:pos="13440"/>
                <w:tab w:val="left" w:pos="14400"/>
                <w:tab w:val="left" w:pos="15360"/>
                <w:tab w:val="left" w:pos="16320"/>
                <w:tab w:val="left" w:pos="17280"/>
              </w:tabs>
              <w:autoSpaceDE w:val="0"/>
              <w:snapToGrid w:val="0"/>
              <w:spacing w:line="400" w:lineRule="atLeast"/>
              <w:ind w:left="720" w:right="119" w:hangingChars="300" w:hanging="720"/>
              <w:jc w:val="both"/>
              <w:rPr>
                <w:rFonts w:ascii="標楷體" w:eastAsia="標楷體" w:hAnsi="標楷體"/>
                <w:szCs w:val="24"/>
              </w:rPr>
            </w:pPr>
            <w:r w:rsidRPr="00BB3F5B">
              <w:rPr>
                <w:rFonts w:ascii="標楷體" w:eastAsia="標楷體" w:hAnsi="標楷體" w:hint="eastAsia"/>
                <w:szCs w:val="24"/>
              </w:rPr>
              <w:t>（二）發行人是否符合金融監督管理委員會發行人發行認購（售）權證處理準則第三條及第五條之規定，同時經營證券承銷、自行買賣及</w:t>
            </w:r>
            <w:proofErr w:type="gramStart"/>
            <w:r w:rsidRPr="00BB3F5B">
              <w:rPr>
                <w:rFonts w:ascii="標楷體" w:eastAsia="標楷體" w:hAnsi="標楷體" w:hint="eastAsia"/>
                <w:szCs w:val="24"/>
              </w:rPr>
              <w:t>行紀或</w:t>
            </w:r>
            <w:proofErr w:type="gramEnd"/>
            <w:r w:rsidRPr="00BB3F5B">
              <w:rPr>
                <w:rFonts w:ascii="標楷體" w:eastAsia="標楷體" w:hAnsi="標楷體" w:hint="eastAsia"/>
                <w:szCs w:val="24"/>
              </w:rPr>
              <w:t>居間等三種業務；其為外國機構者，在中華民國境內之分支機構或直接或間接持股百分之百之子公司在中華民國境內設立之分支機構所營事業是否亦符合前開規定。</w:t>
            </w:r>
          </w:p>
          <w:p w14:paraId="0FD0F8E2" w14:textId="77777777" w:rsidR="003E4552" w:rsidRPr="00BB3F5B" w:rsidRDefault="003E4552" w:rsidP="0014616B">
            <w:pPr>
              <w:tabs>
                <w:tab w:val="left" w:pos="10560"/>
                <w:tab w:val="left" w:pos="11520"/>
                <w:tab w:val="left" w:pos="12480"/>
                <w:tab w:val="left" w:pos="13440"/>
                <w:tab w:val="left" w:pos="14400"/>
                <w:tab w:val="left" w:pos="15360"/>
                <w:tab w:val="left" w:pos="16320"/>
                <w:tab w:val="left" w:pos="17280"/>
              </w:tabs>
              <w:autoSpaceDE w:val="0"/>
              <w:snapToGrid w:val="0"/>
              <w:spacing w:line="400" w:lineRule="atLeast"/>
              <w:ind w:right="-3448"/>
              <w:jc w:val="both"/>
              <w:rPr>
                <w:rFonts w:ascii="標楷體" w:eastAsia="標楷體" w:hAnsi="標楷體"/>
                <w:szCs w:val="24"/>
              </w:rPr>
            </w:pPr>
            <w:r w:rsidRPr="00BB3F5B">
              <w:rPr>
                <w:rFonts w:ascii="標楷體" w:eastAsia="標楷體" w:hAnsi="標楷體" w:hint="eastAsia"/>
                <w:szCs w:val="24"/>
              </w:rPr>
              <w:t>二</w:t>
            </w:r>
            <w:r w:rsidRPr="00BB3F5B">
              <w:rPr>
                <w:rFonts w:ascii="標楷體" w:eastAsia="標楷體" w:hAnsi="標楷體"/>
                <w:szCs w:val="24"/>
              </w:rPr>
              <w:t>、認購（售）權證之規格</w:t>
            </w:r>
          </w:p>
          <w:p w14:paraId="5EE8B1AB" w14:textId="77777777"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687" w:right="148"/>
              <w:jc w:val="both"/>
              <w:textAlignment w:val="baseline"/>
              <w:rPr>
                <w:szCs w:val="24"/>
              </w:rPr>
            </w:pPr>
            <w:r w:rsidRPr="00BB3F5B">
              <w:rPr>
                <w:rFonts w:ascii="標楷體" w:eastAsia="標楷體" w:hAnsi="標楷體"/>
                <w:szCs w:val="24"/>
              </w:rPr>
              <w:t>發行單位</w:t>
            </w:r>
            <w:r w:rsidRPr="00BB3F5B">
              <w:rPr>
                <w:rFonts w:ascii="標楷體" w:eastAsia="標楷體" w:hAnsi="標楷體" w:cs="細明體"/>
                <w:kern w:val="0"/>
                <w:szCs w:val="24"/>
              </w:rPr>
              <w:t>五百</w:t>
            </w:r>
            <w:r w:rsidRPr="00BB3F5B">
              <w:rPr>
                <w:rFonts w:ascii="標楷體" w:eastAsia="標楷體" w:hAnsi="標楷體"/>
                <w:szCs w:val="24"/>
              </w:rPr>
              <w:t>萬單位至五千萬單位。每一發行單位價格不低於新臺幣0.6元（含）。</w:t>
            </w:r>
            <w:r w:rsidRPr="00BB3F5B">
              <w:rPr>
                <w:rFonts w:ascii="標楷體" w:eastAsia="標楷體" w:hAnsi="標楷體" w:cs="細明體"/>
                <w:kern w:val="0"/>
                <w:szCs w:val="24"/>
              </w:rPr>
              <w:t>如係</w:t>
            </w:r>
            <w:r w:rsidRPr="00BB3F5B">
              <w:rPr>
                <w:rFonts w:ascii="標楷體" w:eastAsia="標楷體" w:hAnsi="標楷體" w:cs="細明體"/>
                <w:szCs w:val="24"/>
              </w:rPr>
              <w:t>增額發行之認購（售）權證，其</w:t>
            </w:r>
            <w:r w:rsidRPr="00BB3F5B">
              <w:rPr>
                <w:rFonts w:ascii="標楷體" w:eastAsia="標楷體" w:hAnsi="標楷體" w:cs="細明體"/>
                <w:kern w:val="0"/>
                <w:szCs w:val="24"/>
              </w:rPr>
              <w:t>每一發行單位價格是否為</w:t>
            </w:r>
            <w:r w:rsidRPr="00BB3F5B">
              <w:rPr>
                <w:rFonts w:ascii="標楷體" w:eastAsia="標楷體" w:hAnsi="標楷體"/>
                <w:szCs w:val="24"/>
              </w:rPr>
              <w:t>申請增</w:t>
            </w:r>
            <w:r w:rsidRPr="00BB3F5B">
              <w:rPr>
                <w:rFonts w:ascii="標楷體" w:eastAsia="標楷體" w:hAnsi="標楷體" w:cs="細明體"/>
                <w:szCs w:val="24"/>
              </w:rPr>
              <w:t>額</w:t>
            </w:r>
            <w:r w:rsidRPr="00BB3F5B">
              <w:rPr>
                <w:rFonts w:ascii="標楷體" w:eastAsia="標楷體" w:hAnsi="標楷體"/>
                <w:szCs w:val="24"/>
              </w:rPr>
              <w:t>發行當日之收盤價格，至</w:t>
            </w:r>
            <w:r w:rsidRPr="00BB3F5B">
              <w:rPr>
                <w:rFonts w:ascii="標楷體" w:eastAsia="標楷體" w:hAnsi="標楷體" w:cs="細明體"/>
                <w:kern w:val="0"/>
                <w:szCs w:val="24"/>
              </w:rPr>
              <w:t>每一發行單位代表之股份、單位</w:t>
            </w:r>
            <w:r w:rsidRPr="00BB3F5B">
              <w:rPr>
                <w:rFonts w:ascii="標楷體" w:eastAsia="標楷體" w:hAnsi="標楷體" w:cs="細明體"/>
                <w:szCs w:val="24"/>
              </w:rPr>
              <w:t>、指數點數</w:t>
            </w:r>
            <w:r w:rsidRPr="00BB3F5B">
              <w:rPr>
                <w:rFonts w:ascii="標楷體" w:eastAsia="標楷體" w:hAnsi="標楷體" w:cs="細明體" w:hint="eastAsia"/>
                <w:szCs w:val="24"/>
              </w:rPr>
              <w:t>、期貨點數</w:t>
            </w:r>
            <w:r w:rsidRPr="00BB3F5B">
              <w:rPr>
                <w:rFonts w:ascii="標楷體" w:eastAsia="標楷體" w:hAnsi="標楷體" w:cs="細明體"/>
                <w:kern w:val="0"/>
                <w:szCs w:val="24"/>
              </w:rPr>
              <w:t>或其組合是否為</w:t>
            </w:r>
            <w:r w:rsidRPr="00BB3F5B">
              <w:rPr>
                <w:rFonts w:ascii="標楷體" w:eastAsia="標楷體" w:hAnsi="標楷體"/>
                <w:szCs w:val="24"/>
              </w:rPr>
              <w:t>最新履約配發數量。</w:t>
            </w:r>
          </w:p>
          <w:p w14:paraId="1FF4D679" w14:textId="77777777"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676" w:right="148"/>
              <w:jc w:val="both"/>
              <w:textAlignment w:val="baseline"/>
              <w:rPr>
                <w:szCs w:val="24"/>
              </w:rPr>
            </w:pPr>
            <w:r w:rsidRPr="00BB3F5B">
              <w:rPr>
                <w:rFonts w:ascii="標楷體" w:eastAsia="標楷體" w:hAnsi="標楷體"/>
                <w:szCs w:val="24"/>
              </w:rPr>
              <w:t>存續期間是否為六個月以上二年以下；如係發行</w:t>
            </w:r>
            <w:r w:rsidRPr="00BB3F5B">
              <w:rPr>
                <w:rFonts w:ascii="標楷體" w:eastAsia="標楷體" w:hAnsi="標楷體" w:hint="eastAsia"/>
                <w:szCs w:val="24"/>
              </w:rPr>
              <w:t>期貨型認購（售）權證、</w:t>
            </w:r>
            <w:r w:rsidRPr="00BB3F5B">
              <w:rPr>
                <w:rFonts w:ascii="標楷體" w:eastAsia="標楷體" w:hAnsi="標楷體"/>
                <w:szCs w:val="24"/>
              </w:rPr>
              <w:t>下限型認購權證（牛證）或</w:t>
            </w:r>
            <w:proofErr w:type="gramStart"/>
            <w:r w:rsidRPr="00BB3F5B">
              <w:rPr>
                <w:rFonts w:ascii="標楷體" w:eastAsia="標楷體" w:hAnsi="標楷體"/>
                <w:szCs w:val="24"/>
              </w:rPr>
              <w:t>上限型認售</w:t>
            </w:r>
            <w:proofErr w:type="gramEnd"/>
            <w:r w:rsidRPr="00BB3F5B">
              <w:rPr>
                <w:rFonts w:ascii="標楷體" w:eastAsia="標楷體" w:hAnsi="標楷體"/>
                <w:szCs w:val="24"/>
              </w:rPr>
              <w:t>權證（熊證），其存續期間是否為三個月以上二年以下。</w:t>
            </w:r>
            <w:r w:rsidRPr="00BB3F5B">
              <w:rPr>
                <w:rFonts w:ascii="標楷體" w:eastAsia="標楷體" w:hAnsi="標楷體" w:cs="細明體"/>
                <w:kern w:val="0"/>
                <w:szCs w:val="24"/>
              </w:rPr>
              <w:t>如係</w:t>
            </w:r>
            <w:r w:rsidRPr="00BB3F5B">
              <w:rPr>
                <w:rFonts w:ascii="標楷體" w:eastAsia="標楷體" w:hAnsi="標楷體" w:cs="細明體"/>
                <w:szCs w:val="24"/>
              </w:rPr>
              <w:t>增額發行之認購（售）權證，</w:t>
            </w:r>
            <w:r w:rsidRPr="00BB3F5B">
              <w:rPr>
                <w:rFonts w:ascii="標楷體" w:eastAsia="標楷體" w:hAnsi="標楷體" w:cs="細明體"/>
                <w:kern w:val="0"/>
                <w:szCs w:val="24"/>
              </w:rPr>
              <w:t>其存續期間是否自上市買賣日</w:t>
            </w:r>
            <w:proofErr w:type="gramStart"/>
            <w:r w:rsidRPr="00BB3F5B">
              <w:rPr>
                <w:rFonts w:ascii="標楷體" w:eastAsia="標楷體" w:hAnsi="標楷體" w:cs="細明體"/>
                <w:kern w:val="0"/>
                <w:szCs w:val="24"/>
              </w:rPr>
              <w:t>起算至</w:t>
            </w:r>
            <w:r w:rsidRPr="00BB3F5B">
              <w:rPr>
                <w:rFonts w:ascii="標楷體" w:eastAsia="標楷體" w:hAnsi="標楷體"/>
                <w:szCs w:val="24"/>
              </w:rPr>
              <w:t>到期</w:t>
            </w:r>
            <w:proofErr w:type="gramEnd"/>
            <w:r w:rsidRPr="00BB3F5B">
              <w:rPr>
                <w:rFonts w:ascii="標楷體" w:eastAsia="標楷體" w:hAnsi="標楷體"/>
                <w:szCs w:val="24"/>
              </w:rPr>
              <w:t>日止之期間。</w:t>
            </w:r>
          </w:p>
          <w:p w14:paraId="0ED4A246" w14:textId="77777777"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676" w:right="148"/>
              <w:jc w:val="both"/>
              <w:textAlignment w:val="baseline"/>
              <w:rPr>
                <w:rFonts w:ascii="標楷體" w:eastAsia="標楷體" w:hAnsi="標楷體"/>
                <w:szCs w:val="24"/>
              </w:rPr>
            </w:pPr>
            <w:r w:rsidRPr="00BB3F5B">
              <w:rPr>
                <w:rFonts w:ascii="標楷體" w:eastAsia="標楷體" w:hAnsi="標楷體"/>
                <w:szCs w:val="24"/>
              </w:rPr>
              <w:t>標的為國內證券或指數者，是否為本公司最近期公告之證券或指數</w:t>
            </w:r>
            <w:r w:rsidRPr="00BB3F5B">
              <w:rPr>
                <w:rFonts w:ascii="標楷體" w:eastAsia="標楷體" w:hAnsi="標楷體" w:hint="eastAsia"/>
                <w:szCs w:val="24"/>
              </w:rPr>
              <w:t>。標的為期貨者，是否為在臺灣期貨交易所上市交易之非股票期貨。</w:t>
            </w:r>
            <w:r w:rsidRPr="00BB3F5B">
              <w:rPr>
                <w:rFonts w:ascii="標楷體" w:eastAsia="標楷體" w:hAnsi="標楷體"/>
                <w:szCs w:val="24"/>
              </w:rPr>
              <w:t>標的為國內股票者，其</w:t>
            </w:r>
            <w:r w:rsidRPr="00BB3F5B">
              <w:rPr>
                <w:rFonts w:ascii="標楷體" w:eastAsia="標楷體" w:hAnsi="標楷體" w:hint="eastAsia"/>
                <w:szCs w:val="24"/>
              </w:rPr>
              <w:t>發行公司</w:t>
            </w:r>
            <w:r w:rsidRPr="00BB3F5B">
              <w:rPr>
                <w:rFonts w:ascii="標楷體" w:eastAsia="標楷體" w:hAnsi="標楷體"/>
                <w:szCs w:val="24"/>
              </w:rPr>
              <w:t>最近期經會計師查核或核閱之財務報告</w:t>
            </w:r>
            <w:r w:rsidRPr="00BB3F5B">
              <w:rPr>
                <w:rFonts w:ascii="標楷體" w:eastAsia="標楷體" w:hAnsi="標楷體" w:hint="eastAsia"/>
                <w:szCs w:val="24"/>
              </w:rPr>
              <w:t>是否</w:t>
            </w:r>
            <w:r w:rsidRPr="00BB3F5B">
              <w:rPr>
                <w:rFonts w:ascii="標楷體" w:eastAsia="標楷體" w:hAnsi="標楷體"/>
                <w:szCs w:val="24"/>
              </w:rPr>
              <w:t>無虧損</w:t>
            </w:r>
            <w:r w:rsidRPr="00BB3F5B">
              <w:rPr>
                <w:rFonts w:ascii="標楷體" w:eastAsia="標楷體" w:hAnsi="標楷體" w:hint="eastAsia"/>
                <w:szCs w:val="24"/>
              </w:rPr>
              <w:t>；</w:t>
            </w:r>
            <w:r w:rsidRPr="00BB3F5B">
              <w:rPr>
                <w:rFonts w:ascii="標楷體" w:eastAsia="標楷體" w:hAnsi="標楷體"/>
                <w:szCs w:val="24"/>
              </w:rPr>
              <w:t>若該股票</w:t>
            </w:r>
            <w:r w:rsidRPr="00BB3F5B">
              <w:rPr>
                <w:rFonts w:ascii="標楷體" w:eastAsia="標楷體" w:hAnsi="標楷體" w:hint="eastAsia"/>
                <w:szCs w:val="24"/>
              </w:rPr>
              <w:t>發行公司</w:t>
            </w:r>
            <w:r w:rsidRPr="00BB3F5B">
              <w:rPr>
                <w:rFonts w:ascii="標楷體" w:eastAsia="標楷體" w:hAnsi="標楷體"/>
                <w:szCs w:val="24"/>
              </w:rPr>
              <w:t>最近期經會計師查核或核閱之財務報告有虧損者，應說明以該標的證券發行權證之原因。</w:t>
            </w:r>
          </w:p>
          <w:p w14:paraId="0E620165" w14:textId="77777777"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676" w:right="148"/>
              <w:jc w:val="both"/>
              <w:textAlignment w:val="baseline"/>
              <w:rPr>
                <w:szCs w:val="24"/>
              </w:rPr>
            </w:pPr>
            <w:r w:rsidRPr="00BB3F5B">
              <w:rPr>
                <w:rFonts w:ascii="標楷體" w:eastAsia="標楷體" w:hAnsi="標楷體"/>
                <w:szCs w:val="24"/>
              </w:rPr>
              <w:t>標的為外國證券或指數者，是否符合「發行人發行</w:t>
            </w:r>
            <w:r w:rsidRPr="00BB3F5B">
              <w:rPr>
                <w:rFonts w:ascii="標楷體" w:eastAsia="標楷體" w:hAnsi="標楷體"/>
                <w:bCs/>
                <w:szCs w:val="24"/>
              </w:rPr>
              <w:t>認購（售）</w:t>
            </w:r>
            <w:r w:rsidRPr="00BB3F5B">
              <w:rPr>
                <w:rFonts w:ascii="標楷體" w:eastAsia="標楷體" w:hAnsi="標楷體"/>
                <w:bCs/>
                <w:szCs w:val="24"/>
              </w:rPr>
              <w:lastRenderedPageBreak/>
              <w:t>權證</w:t>
            </w:r>
            <w:r w:rsidRPr="00BB3F5B">
              <w:rPr>
                <w:rFonts w:ascii="標楷體" w:eastAsia="標楷體" w:hAnsi="標楷體"/>
                <w:szCs w:val="24"/>
              </w:rPr>
              <w:t>處理準則」第八條第三款規定，</w:t>
            </w:r>
            <w:r w:rsidRPr="00BB3F5B">
              <w:rPr>
                <w:rFonts w:ascii="標楷體" w:eastAsia="標楷體" w:hAnsi="標楷體" w:cs="細明體"/>
                <w:szCs w:val="24"/>
              </w:rPr>
              <w:t>且非為國內外機構編製之</w:t>
            </w:r>
            <w:proofErr w:type="gramStart"/>
            <w:r w:rsidRPr="00BB3F5B">
              <w:rPr>
                <w:rFonts w:ascii="標楷體" w:eastAsia="標楷體" w:hAnsi="標楷體" w:cs="細明體"/>
                <w:szCs w:val="24"/>
              </w:rPr>
              <w:t>臺</w:t>
            </w:r>
            <w:proofErr w:type="gramEnd"/>
            <w:r w:rsidRPr="00BB3F5B">
              <w:rPr>
                <w:rFonts w:ascii="標楷體" w:eastAsia="標楷體" w:hAnsi="標楷體" w:cs="細明體"/>
                <w:szCs w:val="24"/>
              </w:rPr>
              <w:t>股指數及其相關金融商品，但如該指數係由本公司或</w:t>
            </w:r>
            <w:r w:rsidRPr="00BB3F5B">
              <w:rPr>
                <w:rFonts w:ascii="標楷體" w:eastAsia="標楷體" w:hAnsi="標楷體" w:cs="細明體"/>
                <w:kern w:val="0"/>
                <w:szCs w:val="24"/>
              </w:rPr>
              <w:t>財團法人中華民國證券</w:t>
            </w:r>
            <w:r w:rsidRPr="00BB3F5B">
              <w:rPr>
                <w:rFonts w:ascii="標楷體" w:eastAsia="標楷體" w:hAnsi="標楷體" w:cs="細明體"/>
                <w:szCs w:val="24"/>
              </w:rPr>
              <w:t>櫃檯買賣中心與國外機構合作編製非以</w:t>
            </w:r>
            <w:proofErr w:type="gramStart"/>
            <w:r w:rsidRPr="00BB3F5B">
              <w:rPr>
                <w:rFonts w:ascii="標楷體" w:eastAsia="標楷體" w:hAnsi="標楷體" w:cs="細明體"/>
                <w:szCs w:val="24"/>
              </w:rPr>
              <w:t>臺</w:t>
            </w:r>
            <w:proofErr w:type="gramEnd"/>
            <w:r w:rsidRPr="00BB3F5B">
              <w:rPr>
                <w:rFonts w:ascii="標楷體" w:eastAsia="標楷體" w:hAnsi="標楷體" w:cs="細明體"/>
                <w:szCs w:val="24"/>
              </w:rPr>
              <w:t>股為主要成分股之指數，不在此限</w:t>
            </w:r>
            <w:r w:rsidRPr="00BB3F5B">
              <w:rPr>
                <w:rFonts w:ascii="標楷體" w:eastAsia="標楷體" w:hAnsi="標楷體"/>
                <w:szCs w:val="24"/>
              </w:rPr>
              <w:t>。</w:t>
            </w:r>
          </w:p>
          <w:p w14:paraId="60DC2860" w14:textId="77777777"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676" w:right="148"/>
              <w:jc w:val="both"/>
              <w:textAlignment w:val="baseline"/>
              <w:rPr>
                <w:rFonts w:ascii="標楷體" w:eastAsia="標楷體" w:hAnsi="標楷體" w:cs="細明體"/>
                <w:szCs w:val="24"/>
              </w:rPr>
            </w:pPr>
            <w:r w:rsidRPr="00BB3F5B">
              <w:rPr>
                <w:rFonts w:ascii="標楷體" w:eastAsia="標楷體" w:hAnsi="標楷體"/>
                <w:szCs w:val="24"/>
              </w:rPr>
              <w:t>標的為</w:t>
            </w:r>
            <w:r w:rsidRPr="00BB3F5B">
              <w:rPr>
                <w:rFonts w:ascii="標楷體" w:eastAsia="標楷體" w:hAnsi="標楷體" w:hint="eastAsia"/>
                <w:bCs/>
                <w:szCs w:val="24"/>
              </w:rPr>
              <w:t>指數、期貨、</w:t>
            </w:r>
            <w:r w:rsidRPr="00BB3F5B">
              <w:rPr>
                <w:rFonts w:ascii="標楷體" w:eastAsia="標楷體" w:hAnsi="標楷體" w:cs="細明體"/>
                <w:szCs w:val="24"/>
              </w:rPr>
              <w:t>指數股票型證券投資信託基金</w:t>
            </w:r>
            <w:r w:rsidRPr="00BB3F5B">
              <w:rPr>
                <w:rFonts w:ascii="標楷體" w:eastAsia="標楷體" w:hAnsi="標楷體" w:cs="細明體"/>
                <w:kern w:val="0"/>
                <w:szCs w:val="24"/>
              </w:rPr>
              <w:t>、</w:t>
            </w:r>
            <w:r w:rsidRPr="00BB3F5B">
              <w:rPr>
                <w:rFonts w:ascii="標楷體" w:eastAsia="標楷體" w:hAnsi="標楷體"/>
                <w:szCs w:val="24"/>
              </w:rPr>
              <w:t>指數股票型期貨信託基金</w:t>
            </w:r>
            <w:r w:rsidRPr="00BB3F5B">
              <w:rPr>
                <w:rFonts w:ascii="標楷體" w:eastAsia="標楷體" w:hAnsi="標楷體" w:cs="細明體"/>
                <w:szCs w:val="24"/>
              </w:rPr>
              <w:t>或境外指數股票型基金</w:t>
            </w:r>
            <w:r w:rsidRPr="00BB3F5B">
              <w:rPr>
                <w:rFonts w:ascii="標楷體" w:eastAsia="標楷體" w:hAnsi="標楷體"/>
                <w:szCs w:val="24"/>
              </w:rPr>
              <w:t>者，如須取得授權，是否已取得指數編製機構</w:t>
            </w:r>
            <w:r w:rsidRPr="00BB3F5B">
              <w:rPr>
                <w:rFonts w:ascii="標楷體" w:eastAsia="標楷體" w:hAnsi="標楷體" w:hint="eastAsia"/>
                <w:szCs w:val="24"/>
              </w:rPr>
              <w:t>或交易所</w:t>
            </w:r>
            <w:r w:rsidRPr="00BB3F5B">
              <w:rPr>
                <w:rFonts w:ascii="標楷體" w:eastAsia="標楷體" w:hAnsi="標楷體"/>
                <w:szCs w:val="24"/>
              </w:rPr>
              <w:t>之文件。</w:t>
            </w:r>
            <w:r w:rsidRPr="00BB3F5B">
              <w:rPr>
                <w:rFonts w:ascii="標楷體" w:eastAsia="標楷體" w:hAnsi="標楷體" w:cs="細明體"/>
                <w:kern w:val="0"/>
                <w:szCs w:val="24"/>
              </w:rPr>
              <w:t>但</w:t>
            </w:r>
            <w:r w:rsidRPr="00BB3F5B">
              <w:rPr>
                <w:rFonts w:ascii="標楷體" w:eastAsia="標楷體" w:hAnsi="標楷體" w:cs="細明體"/>
                <w:szCs w:val="24"/>
              </w:rPr>
              <w:t>增</w:t>
            </w:r>
            <w:r w:rsidRPr="00BB3F5B">
              <w:rPr>
                <w:rFonts w:ascii="標楷體" w:eastAsia="標楷體" w:hAnsi="標楷體"/>
                <w:szCs w:val="24"/>
              </w:rPr>
              <w:t>額</w:t>
            </w:r>
            <w:r w:rsidRPr="00BB3F5B">
              <w:rPr>
                <w:rFonts w:ascii="標楷體" w:eastAsia="標楷體" w:hAnsi="標楷體" w:cs="細明體"/>
                <w:szCs w:val="24"/>
              </w:rPr>
              <w:t>發行之認購（售）權證不適用之。</w:t>
            </w:r>
          </w:p>
          <w:p w14:paraId="7905DCEA" w14:textId="764FAA5C"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676" w:right="148"/>
              <w:jc w:val="both"/>
              <w:textAlignment w:val="baseline"/>
              <w:rPr>
                <w:szCs w:val="24"/>
              </w:rPr>
            </w:pPr>
            <w:r w:rsidRPr="00BB3F5B">
              <w:rPr>
                <w:rFonts w:ascii="標楷體" w:eastAsia="標楷體" w:hAnsi="標楷體"/>
                <w:szCs w:val="24"/>
              </w:rPr>
              <w:t>標的證券是否為近</w:t>
            </w:r>
            <w:r w:rsidR="00032E1B" w:rsidRPr="00027D18">
              <w:rPr>
                <w:rFonts w:ascii="標楷體" w:eastAsia="標楷體" w:hAnsi="標楷體" w:hint="eastAsia"/>
                <w:szCs w:val="24"/>
                <w:u w:val="single"/>
              </w:rPr>
              <w:t>一</w:t>
            </w:r>
            <w:r w:rsidRPr="00BB3F5B">
              <w:rPr>
                <w:rFonts w:ascii="標楷體" w:eastAsia="標楷體" w:hAnsi="標楷體"/>
                <w:szCs w:val="24"/>
              </w:rPr>
              <w:t>個月本公司監視制度所處置之證券，或是否為近</w:t>
            </w:r>
            <w:r w:rsidRPr="00BB3F5B">
              <w:rPr>
                <w:rFonts w:ascii="標楷體" w:eastAsia="標楷體" w:hAnsi="標楷體" w:cs="細明體"/>
                <w:kern w:val="0"/>
                <w:szCs w:val="24"/>
              </w:rPr>
              <w:t>六</w:t>
            </w:r>
            <w:proofErr w:type="gramStart"/>
            <w:r w:rsidRPr="00BB3F5B">
              <w:rPr>
                <w:rFonts w:ascii="標楷體" w:eastAsia="標楷體" w:hAnsi="標楷體" w:cs="細明體"/>
                <w:kern w:val="0"/>
                <w:szCs w:val="24"/>
              </w:rPr>
              <w:t>個</w:t>
            </w:r>
            <w:proofErr w:type="gramEnd"/>
            <w:r w:rsidRPr="00BB3F5B">
              <w:rPr>
                <w:rFonts w:ascii="標楷體" w:eastAsia="標楷體" w:hAnsi="標楷體" w:cs="細明體"/>
                <w:kern w:val="0"/>
                <w:szCs w:val="24"/>
              </w:rPr>
              <w:t>營業日中有二個營業日本公司</w:t>
            </w:r>
            <w:r w:rsidRPr="00BB3F5B">
              <w:rPr>
                <w:rFonts w:ascii="標楷體" w:eastAsia="標楷體" w:hAnsi="標楷體"/>
                <w:szCs w:val="24"/>
              </w:rPr>
              <w:t>所</w:t>
            </w:r>
            <w:r w:rsidRPr="00BB3F5B">
              <w:rPr>
                <w:rFonts w:ascii="標楷體" w:eastAsia="標楷體" w:hAnsi="標楷體" w:cs="細明體"/>
                <w:kern w:val="0"/>
                <w:szCs w:val="24"/>
              </w:rPr>
              <w:t>公布注意</w:t>
            </w:r>
            <w:r w:rsidRPr="00BB3F5B">
              <w:rPr>
                <w:rFonts w:ascii="標楷體" w:eastAsia="標楷體" w:hAnsi="標楷體"/>
                <w:szCs w:val="24"/>
              </w:rPr>
              <w:t>之證券。</w:t>
            </w:r>
          </w:p>
          <w:p w14:paraId="70F8E861" w14:textId="77777777"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676" w:right="148"/>
              <w:jc w:val="both"/>
              <w:textAlignment w:val="baseline"/>
              <w:rPr>
                <w:rFonts w:ascii="標楷體" w:eastAsia="標楷體" w:hAnsi="標楷體"/>
                <w:szCs w:val="24"/>
              </w:rPr>
            </w:pPr>
            <w:r w:rsidRPr="00BB3F5B">
              <w:rPr>
                <w:rFonts w:ascii="標楷體" w:eastAsia="標楷體" w:hAnsi="標楷體"/>
                <w:szCs w:val="24"/>
              </w:rPr>
              <w:t>其他因事業特性或特殊情形，可認對標的價格有不利影響者。</w:t>
            </w:r>
          </w:p>
          <w:p w14:paraId="17F7B652" w14:textId="77777777"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676" w:right="148"/>
              <w:jc w:val="both"/>
              <w:textAlignment w:val="baseline"/>
              <w:rPr>
                <w:szCs w:val="24"/>
              </w:rPr>
            </w:pPr>
            <w:r w:rsidRPr="00BB3F5B">
              <w:rPr>
                <w:rFonts w:ascii="標楷體" w:eastAsia="標楷體" w:hAnsi="標楷體" w:hint="eastAsia"/>
                <w:szCs w:val="24"/>
              </w:rPr>
              <w:t>公開資訊觀測站之「財務及交易資訊重點專區」所揭示標的證券發行公司之財務及交易指標，是否有警示標記。但增額發行之認購（售）權證不適用之。</w:t>
            </w:r>
          </w:p>
          <w:p w14:paraId="151A1C9E" w14:textId="77777777"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676" w:right="148"/>
              <w:jc w:val="both"/>
              <w:textAlignment w:val="baseline"/>
              <w:rPr>
                <w:rFonts w:ascii="標楷體" w:eastAsia="標楷體" w:hAnsi="標楷體"/>
                <w:szCs w:val="24"/>
              </w:rPr>
            </w:pPr>
            <w:r w:rsidRPr="00BB3F5B">
              <w:rPr>
                <w:rFonts w:ascii="標楷體" w:eastAsia="標楷體" w:hAnsi="標楷體"/>
                <w:szCs w:val="24"/>
              </w:rPr>
              <w:t>申請前一個月發行人或其聯屬公司是否曾發布有關其擬發行之認購（售）權證標的之相關預測或消息者。</w:t>
            </w:r>
          </w:p>
          <w:p w14:paraId="25C88F0D" w14:textId="20A6CCDC"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676" w:right="148"/>
              <w:jc w:val="both"/>
              <w:textAlignment w:val="baseline"/>
              <w:rPr>
                <w:szCs w:val="24"/>
              </w:rPr>
            </w:pPr>
            <w:r w:rsidRPr="00BB3F5B">
              <w:rPr>
                <w:rFonts w:ascii="標楷體" w:eastAsia="標楷體" w:hAnsi="標楷體"/>
                <w:szCs w:val="24"/>
              </w:rPr>
              <w:t>標的為國內股票者，其</w:t>
            </w:r>
            <w:r w:rsidRPr="00BB3F5B">
              <w:rPr>
                <w:rFonts w:ascii="標楷體" w:eastAsia="標楷體" w:hAnsi="標楷體"/>
                <w:bCs/>
                <w:szCs w:val="24"/>
              </w:rPr>
              <w:t>權證</w:t>
            </w:r>
            <w:r w:rsidRPr="00BB3F5B">
              <w:rPr>
                <w:rFonts w:ascii="標楷體" w:eastAsia="標楷體" w:hAnsi="標楷體"/>
                <w:szCs w:val="24"/>
              </w:rPr>
              <w:t>發行單位所表彰之認購（售）標的證券股數與現有其他已在本公司上市認購（售）權證同一標的證券</w:t>
            </w:r>
            <w:r w:rsidRPr="00027D18">
              <w:rPr>
                <w:rFonts w:ascii="標楷體" w:eastAsia="標楷體" w:hAnsi="標楷體"/>
                <w:szCs w:val="24"/>
                <w:u w:val="single"/>
              </w:rPr>
              <w:t>，</w:t>
            </w:r>
            <w:r w:rsidR="000428DA" w:rsidRPr="00027D18">
              <w:rPr>
                <w:rFonts w:ascii="Times New Roman" w:eastAsia="標楷體" w:hAnsi="Times New Roman" w:cs="Times New Roman" w:hint="eastAsia"/>
                <w:szCs w:val="24"/>
                <w:u w:val="single"/>
              </w:rPr>
              <w:t>加計全體證券商現有已交易未</w:t>
            </w:r>
            <w:proofErr w:type="gramStart"/>
            <w:r w:rsidR="000428DA" w:rsidRPr="00027D18">
              <w:rPr>
                <w:rFonts w:ascii="Times New Roman" w:eastAsia="標楷體" w:hAnsi="Times New Roman" w:cs="Times New Roman" w:hint="eastAsia"/>
                <w:szCs w:val="24"/>
                <w:u w:val="single"/>
              </w:rPr>
              <w:t>到期各議約</w:t>
            </w:r>
            <w:proofErr w:type="gramEnd"/>
            <w:r w:rsidR="000428DA" w:rsidRPr="00027D18">
              <w:rPr>
                <w:rFonts w:ascii="Times New Roman" w:eastAsia="標楷體" w:hAnsi="Times New Roman" w:cs="Times New Roman" w:hint="eastAsia"/>
                <w:szCs w:val="24"/>
                <w:u w:val="single"/>
              </w:rPr>
              <w:t>型認購</w:t>
            </w:r>
            <w:r w:rsidR="000428DA" w:rsidRPr="00027D18">
              <w:rPr>
                <w:rFonts w:ascii="Times New Roman" w:eastAsia="標楷體" w:hAnsi="Times New Roman" w:cs="Times New Roman" w:hint="eastAsia"/>
                <w:kern w:val="0"/>
                <w:szCs w:val="24"/>
                <w:u w:val="single"/>
              </w:rPr>
              <w:t>（售）</w:t>
            </w:r>
            <w:r w:rsidR="000428DA" w:rsidRPr="00027D18">
              <w:rPr>
                <w:rFonts w:ascii="Times New Roman" w:eastAsia="標楷體" w:hAnsi="Times New Roman" w:cs="Times New Roman" w:hint="eastAsia"/>
                <w:szCs w:val="24"/>
                <w:u w:val="single"/>
              </w:rPr>
              <w:t>權證可認購（售）同一標的證券股數</w:t>
            </w:r>
            <w:r w:rsidR="000428DA" w:rsidRPr="00027D18">
              <w:rPr>
                <w:rFonts w:ascii="Times New Roman" w:eastAsia="標楷體" w:hAnsi="Times New Roman" w:cs="Times New Roman" w:hint="eastAsia"/>
                <w:szCs w:val="24"/>
              </w:rPr>
              <w:t>之</w:t>
            </w:r>
            <w:r w:rsidR="000428DA" w:rsidRPr="008F07D7">
              <w:rPr>
                <w:rFonts w:ascii="Times New Roman" w:eastAsia="標楷體" w:hAnsi="Times New Roman" w:cs="Times New Roman" w:hint="eastAsia"/>
                <w:szCs w:val="24"/>
              </w:rPr>
              <w:t>合計數，</w:t>
            </w:r>
            <w:r w:rsidRPr="00BB3F5B">
              <w:rPr>
                <w:rFonts w:ascii="標楷體" w:eastAsia="標楷體" w:hAnsi="標楷體"/>
                <w:szCs w:val="24"/>
              </w:rPr>
              <w:t>是否超過該標的證券發行公司已發行股份總額扣除其全體董事</w:t>
            </w:r>
            <w:proofErr w:type="gramStart"/>
            <w:r w:rsidRPr="00BB3F5B">
              <w:rPr>
                <w:rFonts w:ascii="標楷體" w:eastAsia="標楷體" w:hAnsi="標楷體"/>
                <w:szCs w:val="24"/>
              </w:rPr>
              <w:t>､</w:t>
            </w:r>
            <w:proofErr w:type="gramEnd"/>
            <w:r w:rsidRPr="00BB3F5B">
              <w:rPr>
                <w:rFonts w:ascii="標楷體" w:eastAsia="標楷體" w:hAnsi="標楷體"/>
                <w:szCs w:val="24"/>
              </w:rPr>
              <w:t>監察人應持有之法定持股成數與已質押股數、新上市公司強制集保之股數、依「上市上櫃公司買回本公司股份辦法」規定已買回未註銷之股份及經主管機關限制上市買賣之股份後之百分之二十</w:t>
            </w:r>
            <w:r w:rsidR="00032E1B" w:rsidRPr="00027D18">
              <w:rPr>
                <w:rFonts w:ascii="標楷體" w:eastAsia="標楷體" w:hAnsi="標楷體" w:hint="eastAsia"/>
                <w:szCs w:val="24"/>
                <w:u w:val="single"/>
              </w:rPr>
              <w:t>五</w:t>
            </w:r>
            <w:r w:rsidR="000428DA" w:rsidRPr="00027D18">
              <w:rPr>
                <w:rFonts w:ascii="Times New Roman" w:eastAsia="標楷體" w:hAnsi="Times New Roman" w:cs="Times New Roman" w:hint="eastAsia"/>
                <w:kern w:val="0"/>
                <w:szCs w:val="24"/>
                <w:u w:val="single"/>
              </w:rPr>
              <w:t>，前述議約型</w:t>
            </w:r>
            <w:r w:rsidR="000428DA" w:rsidRPr="00027D18">
              <w:rPr>
                <w:rFonts w:ascii="Times New Roman" w:eastAsia="標楷體" w:hAnsi="Times New Roman" w:cs="Times New Roman" w:hint="eastAsia"/>
                <w:szCs w:val="24"/>
                <w:u w:val="single"/>
              </w:rPr>
              <w:t>認購（售）權證是否超過百分之三</w:t>
            </w:r>
            <w:r w:rsidRPr="00027D18">
              <w:rPr>
                <w:rFonts w:ascii="標楷體" w:eastAsia="標楷體" w:hAnsi="標楷體"/>
                <w:szCs w:val="24"/>
              </w:rPr>
              <w:t>，</w:t>
            </w:r>
            <w:r w:rsidRPr="00BB3F5B">
              <w:rPr>
                <w:rFonts w:ascii="標楷體" w:eastAsia="標楷體" w:hAnsi="標楷體"/>
                <w:szCs w:val="24"/>
              </w:rPr>
              <w:t>如係增額發行之認購（售）權證，是否超過百分之三十；如係依據認購（售）權證發行人</w:t>
            </w:r>
            <w:r w:rsidRPr="00BB3F5B">
              <w:rPr>
                <w:rFonts w:ascii="標楷體" w:eastAsia="標楷體" w:hAnsi="標楷體" w:cs="細明體"/>
                <w:kern w:val="0"/>
                <w:szCs w:val="24"/>
              </w:rPr>
              <w:t>評等</w:t>
            </w:r>
            <w:r w:rsidRPr="00BB3F5B">
              <w:rPr>
                <w:rFonts w:ascii="標楷體" w:eastAsia="標楷體" w:hAnsi="標楷體"/>
                <w:szCs w:val="24"/>
              </w:rPr>
              <w:t>辦法申請發行者，是否超過該辦法第六條規定額度</w:t>
            </w:r>
            <w:r w:rsidRPr="00BB3F5B">
              <w:rPr>
                <w:rFonts w:ascii="標楷體" w:eastAsia="標楷體" w:hAnsi="標楷體" w:cs="細明體"/>
                <w:szCs w:val="24"/>
              </w:rPr>
              <w:t>。</w:t>
            </w:r>
          </w:p>
          <w:p w14:paraId="1A249B4D" w14:textId="77777777"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919" w:right="147" w:hanging="964"/>
              <w:jc w:val="both"/>
              <w:textAlignment w:val="baseline"/>
              <w:rPr>
                <w:rFonts w:ascii="標楷體" w:eastAsia="標楷體" w:hAnsi="標楷體"/>
                <w:szCs w:val="24"/>
              </w:rPr>
            </w:pPr>
            <w:r w:rsidRPr="00BB3F5B">
              <w:rPr>
                <w:rFonts w:ascii="標楷體" w:eastAsia="標楷體" w:hAnsi="標楷體"/>
                <w:szCs w:val="24"/>
              </w:rPr>
              <w:t>標的為外國股票者，其權證發行單位所表彰之認購（售）標的證券股數與現有其他已在本公司上市認購（售）權證同一標的證券之合計數，是否超過該標的證券發行公司已發行股數之百分之十五，</w:t>
            </w:r>
            <w:proofErr w:type="gramStart"/>
            <w:r w:rsidRPr="00BB3F5B">
              <w:rPr>
                <w:rFonts w:ascii="標楷體" w:eastAsia="標楷體" w:hAnsi="標楷體"/>
                <w:szCs w:val="24"/>
              </w:rPr>
              <w:t>且標的</w:t>
            </w:r>
            <w:proofErr w:type="gramEnd"/>
            <w:r w:rsidRPr="00BB3F5B">
              <w:rPr>
                <w:rFonts w:ascii="標楷體" w:eastAsia="標楷體" w:hAnsi="標楷體"/>
                <w:szCs w:val="24"/>
              </w:rPr>
              <w:t>證券發行公司之市值</w:t>
            </w:r>
            <w:r w:rsidRPr="00BB3F5B">
              <w:rPr>
                <w:rFonts w:ascii="標楷體" w:eastAsia="標楷體" w:hAnsi="標楷體"/>
                <w:szCs w:val="24"/>
              </w:rPr>
              <w:lastRenderedPageBreak/>
              <w:t>是否高於五億美元（含），其最近三個月份成交股數占已發行股份總額之比例是否達百分之二十以上，或最近三個月月平均成交股數是否達一億股以上。</w:t>
            </w:r>
          </w:p>
          <w:p w14:paraId="09668795" w14:textId="74808A6E"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919" w:right="147" w:hanging="964"/>
              <w:jc w:val="both"/>
              <w:textAlignment w:val="baseline"/>
              <w:rPr>
                <w:szCs w:val="24"/>
              </w:rPr>
            </w:pPr>
            <w:r w:rsidRPr="00BB3F5B">
              <w:rPr>
                <w:rFonts w:ascii="標楷體" w:eastAsia="標楷體" w:hAnsi="標楷體"/>
                <w:szCs w:val="24"/>
              </w:rPr>
              <w:t>標的</w:t>
            </w:r>
            <w:r w:rsidRPr="00BB3F5B">
              <w:rPr>
                <w:rFonts w:ascii="標楷體" w:eastAsia="標楷體" w:hAnsi="標楷體"/>
                <w:bCs/>
                <w:szCs w:val="24"/>
              </w:rPr>
              <w:t>為國內</w:t>
            </w:r>
            <w:r w:rsidRPr="00BB3F5B">
              <w:rPr>
                <w:rFonts w:ascii="標楷體" w:eastAsia="標楷體" w:hAnsi="標楷體" w:cs="細明體"/>
                <w:szCs w:val="24"/>
              </w:rPr>
              <w:t>指數股票型證券投資信託基金</w:t>
            </w:r>
            <w:r w:rsidRPr="00032E1B">
              <w:rPr>
                <w:rFonts w:ascii="標楷體" w:eastAsia="標楷體" w:hAnsi="標楷體" w:cs="細明體" w:hint="eastAsia"/>
                <w:szCs w:val="24"/>
              </w:rPr>
              <w:t>、主動式交易所交易基金</w:t>
            </w:r>
            <w:r w:rsidRPr="00BB3F5B">
              <w:rPr>
                <w:rFonts w:ascii="標楷體" w:eastAsia="標楷體" w:hAnsi="標楷體" w:cs="細明體"/>
                <w:kern w:val="0"/>
                <w:szCs w:val="24"/>
              </w:rPr>
              <w:t>、</w:t>
            </w:r>
            <w:r w:rsidRPr="00BB3F5B">
              <w:rPr>
                <w:rFonts w:ascii="標楷體" w:eastAsia="標楷體" w:hAnsi="標楷體"/>
                <w:szCs w:val="24"/>
              </w:rPr>
              <w:t>指數股票型期貨信託基金</w:t>
            </w:r>
            <w:r w:rsidRPr="00BB3F5B">
              <w:rPr>
                <w:rFonts w:ascii="標楷體" w:eastAsia="標楷體" w:hAnsi="標楷體"/>
                <w:bCs/>
                <w:szCs w:val="24"/>
              </w:rPr>
              <w:t>者，其發行單位</w:t>
            </w:r>
            <w:r w:rsidRPr="00BB3F5B">
              <w:rPr>
                <w:rFonts w:ascii="標楷體" w:eastAsia="標楷體" w:hAnsi="標楷體"/>
                <w:szCs w:val="24"/>
              </w:rPr>
              <w:t>所表彰之</w:t>
            </w:r>
            <w:r w:rsidRPr="00BB3F5B">
              <w:rPr>
                <w:rFonts w:ascii="標楷體" w:eastAsia="標楷體" w:hAnsi="標楷體"/>
                <w:bCs/>
                <w:szCs w:val="24"/>
              </w:rPr>
              <w:t>認購（售）標的證券受益權單位數與現有其他已在本公司上市認購（售）權證同一標的證券之合計數，</w:t>
            </w:r>
            <w:r w:rsidRPr="00BB3F5B">
              <w:rPr>
                <w:rFonts w:ascii="標楷體" w:eastAsia="標楷體" w:hAnsi="標楷體"/>
                <w:szCs w:val="24"/>
              </w:rPr>
              <w:t>加計發行人</w:t>
            </w:r>
            <w:proofErr w:type="gramStart"/>
            <w:r w:rsidRPr="00BB3F5B">
              <w:rPr>
                <w:rFonts w:ascii="標楷體" w:eastAsia="標楷體" w:hAnsi="標楷體"/>
                <w:szCs w:val="24"/>
              </w:rPr>
              <w:t>或其委外</w:t>
            </w:r>
            <w:proofErr w:type="gramEnd"/>
            <w:r w:rsidRPr="00BB3F5B">
              <w:rPr>
                <w:rFonts w:ascii="標楷體" w:eastAsia="標楷體" w:hAnsi="標楷體"/>
                <w:szCs w:val="24"/>
              </w:rPr>
              <w:t>機構在國外發行之認購（售）權證表彰同一標的證券之數量，</w:t>
            </w:r>
            <w:r w:rsidRPr="00BB3F5B">
              <w:rPr>
                <w:rFonts w:ascii="標楷體" w:eastAsia="標楷體" w:hAnsi="標楷體"/>
                <w:bCs/>
                <w:szCs w:val="24"/>
              </w:rPr>
              <w:t>是否超過該</w:t>
            </w:r>
            <w:r w:rsidRPr="00BB3F5B">
              <w:rPr>
                <w:rFonts w:ascii="標楷體" w:eastAsia="標楷體" w:hAnsi="標楷體"/>
                <w:szCs w:val="24"/>
              </w:rPr>
              <w:t>基金</w:t>
            </w:r>
            <w:r w:rsidRPr="00BB3F5B">
              <w:rPr>
                <w:rFonts w:ascii="標楷體" w:eastAsia="標楷體" w:hAnsi="標楷體"/>
                <w:bCs/>
                <w:szCs w:val="24"/>
              </w:rPr>
              <w:t>已發行受益權單位總數。</w:t>
            </w:r>
            <w:r w:rsidRPr="00BB3F5B">
              <w:rPr>
                <w:rFonts w:ascii="標楷體" w:eastAsia="標楷體" w:hAnsi="標楷體" w:cs="細明體"/>
                <w:kern w:val="0"/>
                <w:szCs w:val="24"/>
              </w:rPr>
              <w:t>標的為境外指數股票型基金者，其發行單位</w:t>
            </w:r>
            <w:r w:rsidRPr="00BB3F5B">
              <w:rPr>
                <w:rFonts w:ascii="標楷體" w:eastAsia="標楷體" w:hAnsi="標楷體"/>
                <w:szCs w:val="24"/>
              </w:rPr>
              <w:t>所表彰之</w:t>
            </w:r>
            <w:r w:rsidRPr="00BB3F5B">
              <w:rPr>
                <w:rFonts w:ascii="標楷體" w:eastAsia="標楷體" w:hAnsi="標楷體" w:cs="細明體"/>
                <w:kern w:val="0"/>
                <w:szCs w:val="24"/>
              </w:rPr>
              <w:t>認購（售）標的證券單位數與現有其他已在本公司上市認購（售）權證同一標的證券之合計數，是否超過該基金於國內募集及銷售單位總數。</w:t>
            </w:r>
          </w:p>
          <w:p w14:paraId="3D6C11DB" w14:textId="77777777"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919" w:right="147" w:hanging="964"/>
              <w:jc w:val="both"/>
              <w:textAlignment w:val="baseline"/>
              <w:rPr>
                <w:szCs w:val="24"/>
              </w:rPr>
            </w:pPr>
            <w:r w:rsidRPr="00BB3F5B">
              <w:rPr>
                <w:rFonts w:ascii="標楷體" w:eastAsia="標楷體" w:hAnsi="標楷體"/>
                <w:szCs w:val="24"/>
              </w:rPr>
              <w:t>標的</w:t>
            </w:r>
            <w:r w:rsidRPr="00BB3F5B">
              <w:rPr>
                <w:rFonts w:ascii="標楷體" w:eastAsia="標楷體" w:hAnsi="標楷體" w:cs="細明體"/>
                <w:szCs w:val="24"/>
              </w:rPr>
              <w:t>為外國指數股票型證券投資信託基金者，其發行單位</w:t>
            </w:r>
            <w:r w:rsidRPr="00BB3F5B">
              <w:rPr>
                <w:rFonts w:ascii="標楷體" w:eastAsia="標楷體" w:hAnsi="標楷體"/>
                <w:szCs w:val="24"/>
              </w:rPr>
              <w:t>所表彰之</w:t>
            </w:r>
            <w:r w:rsidRPr="00BB3F5B">
              <w:rPr>
                <w:rFonts w:ascii="標楷體" w:eastAsia="標楷體" w:hAnsi="標楷體" w:cs="細明體"/>
                <w:szCs w:val="24"/>
              </w:rPr>
              <w:t>認購（售）標的證券受益權單位數與現有其他已在本公司上市認購（售）權證同一標的證券之合計數，</w:t>
            </w:r>
            <w:r w:rsidRPr="00BB3F5B">
              <w:rPr>
                <w:rFonts w:ascii="標楷體" w:eastAsia="標楷體" w:hAnsi="標楷體" w:cs="細明體"/>
                <w:kern w:val="0"/>
                <w:szCs w:val="24"/>
              </w:rPr>
              <w:t>是否</w:t>
            </w:r>
            <w:r w:rsidRPr="00BB3F5B">
              <w:rPr>
                <w:rFonts w:ascii="標楷體" w:eastAsia="標楷體" w:hAnsi="標楷體" w:cs="細明體"/>
                <w:szCs w:val="24"/>
              </w:rPr>
              <w:t>超過該基金已發行受益權單位總數</w:t>
            </w:r>
            <w:r w:rsidRPr="00BB3F5B">
              <w:rPr>
                <w:rFonts w:ascii="標楷體" w:eastAsia="標楷體" w:hAnsi="標楷體"/>
                <w:szCs w:val="24"/>
              </w:rPr>
              <w:t>之百分之五十</w:t>
            </w:r>
            <w:r w:rsidRPr="00BB3F5B">
              <w:rPr>
                <w:rFonts w:ascii="標楷體" w:eastAsia="標楷體" w:hAnsi="標楷體" w:cs="細明體"/>
                <w:szCs w:val="24"/>
              </w:rPr>
              <w:t>。</w:t>
            </w:r>
          </w:p>
          <w:p w14:paraId="75F5D745" w14:textId="77777777"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919" w:right="147" w:hanging="964"/>
              <w:jc w:val="both"/>
              <w:textAlignment w:val="baseline"/>
              <w:rPr>
                <w:szCs w:val="24"/>
              </w:rPr>
            </w:pPr>
            <w:r w:rsidRPr="00BB3F5B">
              <w:rPr>
                <w:rFonts w:ascii="標楷體" w:eastAsia="標楷體" w:hAnsi="標楷體"/>
                <w:szCs w:val="24"/>
              </w:rPr>
              <w:t>標的為臺灣存託憑證者，其權證發行單位所表彰之認購（售）標的證券單位數與現有其他已在本公司上市認購（售）權證同一標的證券之合計數，是否超過該存託憑證已上市單位之百分之二十二，如係增額發行之認購（售）權證，是否超過百分之三十；如係依據認購（售）權證發行人</w:t>
            </w:r>
            <w:r w:rsidRPr="00BB3F5B">
              <w:rPr>
                <w:rFonts w:ascii="標楷體" w:eastAsia="標楷體" w:hAnsi="標楷體" w:cs="細明體"/>
                <w:kern w:val="0"/>
                <w:szCs w:val="24"/>
              </w:rPr>
              <w:t>評等</w:t>
            </w:r>
            <w:r w:rsidRPr="00BB3F5B">
              <w:rPr>
                <w:rFonts w:ascii="標楷體" w:eastAsia="標楷體" w:hAnsi="標楷體"/>
                <w:szCs w:val="24"/>
              </w:rPr>
              <w:t>辦法申請發行者，是否超過該辦法第六條規定額度</w:t>
            </w:r>
            <w:r w:rsidRPr="00BB3F5B">
              <w:rPr>
                <w:rFonts w:ascii="標楷體" w:eastAsia="標楷體" w:hAnsi="標楷體" w:cs="細明體"/>
                <w:szCs w:val="24"/>
              </w:rPr>
              <w:t>。</w:t>
            </w:r>
          </w:p>
          <w:p w14:paraId="735074AA" w14:textId="77777777"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919" w:right="147" w:hanging="964"/>
              <w:jc w:val="both"/>
              <w:textAlignment w:val="baseline"/>
              <w:rPr>
                <w:szCs w:val="24"/>
              </w:rPr>
            </w:pPr>
            <w:r w:rsidRPr="00BB3F5B">
              <w:rPr>
                <w:rFonts w:ascii="標楷體" w:eastAsia="標楷體" w:hAnsi="標楷體"/>
                <w:szCs w:val="24"/>
              </w:rPr>
              <w:t>標的為外國存託憑證者，其權證發行單位所表彰之認購（售）標的證券單位數與現有其他已在本公司上市認購（售）權證同一標的證券之合計數，是否超過該存託憑證已上市單位之百分之十五</w:t>
            </w:r>
            <w:r w:rsidRPr="00BB3F5B">
              <w:rPr>
                <w:rFonts w:ascii="標楷體" w:eastAsia="標楷體" w:hAnsi="標楷體" w:cs="細明體"/>
                <w:szCs w:val="24"/>
              </w:rPr>
              <w:t>，且其</w:t>
            </w:r>
            <w:r w:rsidRPr="00BB3F5B">
              <w:rPr>
                <w:rFonts w:ascii="標楷體" w:eastAsia="標楷體" w:hAnsi="標楷體"/>
                <w:szCs w:val="24"/>
              </w:rPr>
              <w:t>最近三個月份成交單位數占上市單位之比例是否達百分之二十以上。</w:t>
            </w:r>
          </w:p>
          <w:p w14:paraId="70988EAC" w14:textId="77777777"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919" w:right="147" w:hanging="964"/>
              <w:jc w:val="both"/>
              <w:textAlignment w:val="baseline"/>
              <w:rPr>
                <w:szCs w:val="24"/>
              </w:rPr>
            </w:pPr>
            <w:r w:rsidRPr="00BB3F5B">
              <w:rPr>
                <w:rFonts w:ascii="標楷體" w:eastAsia="標楷體" w:hAnsi="標楷體"/>
                <w:szCs w:val="24"/>
              </w:rPr>
              <w:t>發行人國內已發行而未到期之現有已上市、上櫃、店頭市場議約型認購(售)權證、海外已發行而未到期之認購 (售)權證及其擬發行認購(售) 權證之發行市價總額與為其海外子公司發行海外認購（售）權證業務保證或提供財產設定擔保金額之合計數，是否超過本公司認購(售)</w:t>
            </w:r>
            <w:r w:rsidRPr="00BB3F5B">
              <w:rPr>
                <w:rFonts w:ascii="標楷體" w:eastAsia="標楷體" w:hAnsi="標楷體"/>
                <w:szCs w:val="24"/>
              </w:rPr>
              <w:lastRenderedPageBreak/>
              <w:t>權證上市審查準則第十二條第五款各目規定或認購（售）權證發行人</w:t>
            </w:r>
            <w:r w:rsidRPr="00BB3F5B">
              <w:rPr>
                <w:rFonts w:ascii="標楷體" w:eastAsia="標楷體" w:hAnsi="標楷體" w:cs="細明體"/>
                <w:kern w:val="0"/>
                <w:szCs w:val="24"/>
              </w:rPr>
              <w:t>評等</w:t>
            </w:r>
            <w:r w:rsidRPr="00BB3F5B">
              <w:rPr>
                <w:rFonts w:ascii="標楷體" w:eastAsia="標楷體" w:hAnsi="標楷體"/>
                <w:szCs w:val="24"/>
              </w:rPr>
              <w:t>辦法第六條規定</w:t>
            </w:r>
            <w:r w:rsidRPr="00BB3F5B">
              <w:rPr>
                <w:rFonts w:ascii="標楷體" w:eastAsia="標楷體" w:hAnsi="標楷體" w:cs="標楷體"/>
                <w:szCs w:val="24"/>
                <w:lang w:val="zh-TW"/>
              </w:rPr>
              <w:t>額度</w:t>
            </w:r>
            <w:r w:rsidRPr="00BB3F5B">
              <w:rPr>
                <w:rFonts w:ascii="標楷體" w:eastAsia="標楷體" w:hAnsi="標楷體"/>
                <w:szCs w:val="24"/>
              </w:rPr>
              <w:t>。</w:t>
            </w:r>
          </w:p>
          <w:p w14:paraId="27A65280" w14:textId="77777777"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919" w:right="147" w:hanging="964"/>
              <w:jc w:val="both"/>
              <w:textAlignment w:val="baseline"/>
              <w:rPr>
                <w:rFonts w:ascii="標楷體" w:eastAsia="標楷體" w:hAnsi="標楷體"/>
                <w:szCs w:val="24"/>
              </w:rPr>
            </w:pPr>
            <w:r w:rsidRPr="00BB3F5B">
              <w:rPr>
                <w:rFonts w:ascii="標楷體" w:eastAsia="標楷體" w:hAnsi="標楷體"/>
                <w:szCs w:val="24"/>
              </w:rPr>
              <w:t>發行人</w:t>
            </w:r>
            <w:r w:rsidRPr="00BB3F5B">
              <w:rPr>
                <w:rFonts w:ascii="標楷體" w:eastAsia="標楷體" w:hAnsi="標楷體" w:hint="eastAsia"/>
                <w:szCs w:val="24"/>
              </w:rPr>
              <w:t>發行上(下)</w:t>
            </w:r>
            <w:proofErr w:type="gramStart"/>
            <w:r w:rsidRPr="00BB3F5B">
              <w:rPr>
                <w:rFonts w:ascii="標楷體" w:eastAsia="標楷體" w:hAnsi="標楷體" w:hint="eastAsia"/>
                <w:szCs w:val="24"/>
              </w:rPr>
              <w:t>限型認購</w:t>
            </w:r>
            <w:proofErr w:type="gramEnd"/>
            <w:r w:rsidRPr="00BB3F5B">
              <w:rPr>
                <w:rFonts w:ascii="標楷體" w:eastAsia="標楷體" w:hAnsi="標楷體" w:hint="eastAsia"/>
                <w:szCs w:val="24"/>
              </w:rPr>
              <w:t>（售）權證，是否符合下列規定：</w:t>
            </w:r>
          </w:p>
          <w:p w14:paraId="32B7AF46" w14:textId="77777777" w:rsidR="003E4552" w:rsidRPr="00BB3F5B" w:rsidRDefault="003E4552" w:rsidP="0014616B">
            <w:pPr>
              <w:suppressAutoHyphens/>
              <w:autoSpaceDN w:val="0"/>
              <w:snapToGrid w:val="0"/>
              <w:spacing w:line="400" w:lineRule="atLeast"/>
              <w:ind w:left="1185" w:rightChars="67" w:right="161" w:hanging="227"/>
              <w:jc w:val="both"/>
              <w:textAlignment w:val="baseline"/>
              <w:rPr>
                <w:rFonts w:ascii="標楷體" w:eastAsia="標楷體" w:hAnsi="標楷體"/>
                <w:kern w:val="3"/>
                <w:szCs w:val="24"/>
              </w:rPr>
            </w:pPr>
            <w:r w:rsidRPr="00BB3F5B">
              <w:rPr>
                <w:rFonts w:ascii="標楷體" w:eastAsia="標楷體" w:hAnsi="標楷體" w:hint="eastAsia"/>
                <w:kern w:val="3"/>
                <w:szCs w:val="24"/>
              </w:rPr>
              <w:t>1.</w:t>
            </w:r>
            <w:r w:rsidRPr="00BB3F5B">
              <w:rPr>
                <w:rFonts w:ascii="標楷體" w:eastAsia="標楷體" w:hAnsi="標楷體"/>
                <w:kern w:val="3"/>
                <w:szCs w:val="24"/>
              </w:rPr>
              <w:t>發行上限型認購權證或</w:t>
            </w:r>
            <w:proofErr w:type="gramStart"/>
            <w:r w:rsidRPr="00BB3F5B">
              <w:rPr>
                <w:rFonts w:ascii="標楷體" w:eastAsia="標楷體" w:hAnsi="標楷體"/>
                <w:kern w:val="3"/>
                <w:szCs w:val="24"/>
              </w:rPr>
              <w:t>下限型認售</w:t>
            </w:r>
            <w:proofErr w:type="gramEnd"/>
            <w:r w:rsidRPr="00BB3F5B">
              <w:rPr>
                <w:rFonts w:ascii="標楷體" w:eastAsia="標楷體" w:hAnsi="標楷體"/>
                <w:kern w:val="3"/>
                <w:szCs w:val="24"/>
              </w:rPr>
              <w:t>權證</w:t>
            </w:r>
            <w:r w:rsidRPr="00BB3F5B">
              <w:rPr>
                <w:rFonts w:ascii="標楷體" w:eastAsia="標楷體" w:hAnsi="標楷體" w:hint="eastAsia"/>
                <w:kern w:val="3"/>
                <w:szCs w:val="24"/>
              </w:rPr>
              <w:t>者</w:t>
            </w:r>
            <w:r w:rsidRPr="00BB3F5B">
              <w:rPr>
                <w:rFonts w:ascii="標楷體" w:eastAsia="標楷體" w:hAnsi="標楷體"/>
                <w:kern w:val="3"/>
                <w:szCs w:val="24"/>
              </w:rPr>
              <w:t>，其設定之上限價格或</w:t>
            </w:r>
            <w:r w:rsidRPr="00BB3F5B">
              <w:rPr>
                <w:rFonts w:ascii="標楷體" w:eastAsia="標楷體" w:hAnsi="標楷體" w:hint="eastAsia"/>
                <w:kern w:val="3"/>
                <w:szCs w:val="24"/>
              </w:rPr>
              <w:t>點</w:t>
            </w:r>
            <w:r w:rsidRPr="00BB3F5B">
              <w:rPr>
                <w:rFonts w:ascii="標楷體" w:eastAsia="標楷體" w:hAnsi="標楷體"/>
                <w:kern w:val="3"/>
                <w:szCs w:val="24"/>
              </w:rPr>
              <w:t>數是否達履約價格或</w:t>
            </w:r>
            <w:r w:rsidRPr="00BB3F5B">
              <w:rPr>
                <w:rFonts w:ascii="標楷體" w:eastAsia="標楷體" w:hAnsi="標楷體" w:hint="eastAsia"/>
                <w:kern w:val="3"/>
                <w:szCs w:val="24"/>
              </w:rPr>
              <w:t>點</w:t>
            </w:r>
            <w:r w:rsidRPr="00BB3F5B">
              <w:rPr>
                <w:rFonts w:ascii="標楷體" w:eastAsia="標楷體" w:hAnsi="標楷體"/>
                <w:kern w:val="3"/>
                <w:szCs w:val="24"/>
              </w:rPr>
              <w:t>數之百分之一百五十（含）以上</w:t>
            </w:r>
            <w:r w:rsidRPr="00BB3F5B">
              <w:rPr>
                <w:rFonts w:ascii="標楷體" w:eastAsia="標楷體" w:hAnsi="標楷體" w:hint="eastAsia"/>
                <w:kern w:val="3"/>
                <w:szCs w:val="24"/>
              </w:rPr>
              <w:t>，</w:t>
            </w:r>
            <w:r w:rsidRPr="00BB3F5B">
              <w:rPr>
                <w:rFonts w:ascii="標楷體" w:eastAsia="標楷體" w:hAnsi="標楷體"/>
                <w:kern w:val="3"/>
                <w:szCs w:val="24"/>
              </w:rPr>
              <w:t>或下限價格或</w:t>
            </w:r>
            <w:r w:rsidRPr="00BB3F5B">
              <w:rPr>
                <w:rFonts w:ascii="標楷體" w:eastAsia="標楷體" w:hAnsi="標楷體" w:hint="eastAsia"/>
                <w:kern w:val="3"/>
                <w:szCs w:val="24"/>
              </w:rPr>
              <w:t>點</w:t>
            </w:r>
            <w:r w:rsidRPr="00BB3F5B">
              <w:rPr>
                <w:rFonts w:ascii="標楷體" w:eastAsia="標楷體" w:hAnsi="標楷體"/>
                <w:kern w:val="3"/>
                <w:szCs w:val="24"/>
              </w:rPr>
              <w:t>數是否達履約價格或</w:t>
            </w:r>
            <w:r w:rsidRPr="00BB3F5B">
              <w:rPr>
                <w:rFonts w:ascii="標楷體" w:eastAsia="標楷體" w:hAnsi="標楷體" w:hint="eastAsia"/>
                <w:kern w:val="3"/>
                <w:szCs w:val="24"/>
              </w:rPr>
              <w:t>點</w:t>
            </w:r>
            <w:r w:rsidRPr="00BB3F5B">
              <w:rPr>
                <w:rFonts w:ascii="標楷體" w:eastAsia="標楷體" w:hAnsi="標楷體"/>
                <w:kern w:val="3"/>
                <w:szCs w:val="24"/>
              </w:rPr>
              <w:t>數之百分之五十（含）以下</w:t>
            </w:r>
            <w:r w:rsidRPr="00BB3F5B">
              <w:rPr>
                <w:rFonts w:ascii="標楷體" w:eastAsia="標楷體" w:hAnsi="標楷體" w:hint="eastAsia"/>
                <w:kern w:val="3"/>
                <w:szCs w:val="24"/>
              </w:rPr>
              <w:t>。</w:t>
            </w:r>
          </w:p>
          <w:p w14:paraId="4BCBE1CD" w14:textId="77777777" w:rsidR="003E4552" w:rsidRPr="00BB3F5B" w:rsidRDefault="003E4552" w:rsidP="0014616B">
            <w:pPr>
              <w:suppressAutoHyphens/>
              <w:autoSpaceDN w:val="0"/>
              <w:snapToGrid w:val="0"/>
              <w:spacing w:line="400" w:lineRule="atLeast"/>
              <w:ind w:left="1185" w:rightChars="67" w:right="161" w:hanging="227"/>
              <w:jc w:val="both"/>
              <w:textAlignment w:val="baseline"/>
              <w:rPr>
                <w:rFonts w:ascii="標楷體" w:eastAsia="標楷體" w:hAnsi="標楷體" w:cs="細明體"/>
                <w:kern w:val="3"/>
                <w:szCs w:val="24"/>
              </w:rPr>
            </w:pPr>
            <w:r w:rsidRPr="00BB3F5B">
              <w:rPr>
                <w:rFonts w:ascii="標楷體" w:eastAsia="標楷體" w:hAnsi="標楷體" w:hint="eastAsia"/>
                <w:kern w:val="3"/>
                <w:szCs w:val="24"/>
              </w:rPr>
              <w:t>2.</w:t>
            </w:r>
            <w:r w:rsidRPr="00BB3F5B">
              <w:rPr>
                <w:rFonts w:ascii="標楷體" w:eastAsia="標楷體" w:hAnsi="標楷體"/>
                <w:kern w:val="3"/>
                <w:szCs w:val="24"/>
              </w:rPr>
              <w:t>發行下限型認購權證（牛證）或</w:t>
            </w:r>
            <w:proofErr w:type="gramStart"/>
            <w:r w:rsidRPr="00BB3F5B">
              <w:rPr>
                <w:rFonts w:ascii="標楷體" w:eastAsia="標楷體" w:hAnsi="標楷體"/>
                <w:kern w:val="3"/>
                <w:szCs w:val="24"/>
              </w:rPr>
              <w:t>上限型認售</w:t>
            </w:r>
            <w:proofErr w:type="gramEnd"/>
            <w:r w:rsidRPr="00BB3F5B">
              <w:rPr>
                <w:rFonts w:ascii="標楷體" w:eastAsia="標楷體" w:hAnsi="標楷體"/>
                <w:kern w:val="3"/>
                <w:szCs w:val="24"/>
              </w:rPr>
              <w:t>權證（熊證）</w:t>
            </w:r>
            <w:r w:rsidRPr="00BB3F5B">
              <w:rPr>
                <w:rFonts w:ascii="標楷體" w:eastAsia="標楷體" w:hAnsi="標楷體" w:cs="細明體"/>
                <w:kern w:val="3"/>
                <w:szCs w:val="24"/>
              </w:rPr>
              <w:t>暨可展延存續期間者</w:t>
            </w:r>
            <w:r w:rsidRPr="00BB3F5B">
              <w:rPr>
                <w:rFonts w:ascii="標楷體" w:eastAsia="標楷體" w:hAnsi="標楷體" w:cs="細明體" w:hint="eastAsia"/>
                <w:kern w:val="3"/>
                <w:szCs w:val="24"/>
              </w:rPr>
              <w:t>：</w:t>
            </w:r>
          </w:p>
          <w:p w14:paraId="67A2595A" w14:textId="77777777" w:rsidR="003E4552" w:rsidRPr="00BB3F5B" w:rsidRDefault="003E4552" w:rsidP="0014616B">
            <w:pPr>
              <w:tabs>
                <w:tab w:val="left" w:pos="1109"/>
              </w:tabs>
              <w:suppressAutoHyphens/>
              <w:autoSpaceDN w:val="0"/>
              <w:snapToGrid w:val="0"/>
              <w:spacing w:line="400" w:lineRule="atLeast"/>
              <w:ind w:left="1451" w:rightChars="67" w:right="161" w:hanging="340"/>
              <w:jc w:val="both"/>
              <w:textAlignment w:val="baseline"/>
              <w:rPr>
                <w:rFonts w:ascii="標楷體" w:eastAsia="標楷體" w:hAnsi="標楷體"/>
                <w:kern w:val="3"/>
                <w:szCs w:val="24"/>
              </w:rPr>
            </w:pPr>
            <w:r w:rsidRPr="00BB3F5B">
              <w:rPr>
                <w:rFonts w:ascii="標楷體" w:eastAsia="標楷體" w:hAnsi="標楷體" w:hint="eastAsia"/>
                <w:kern w:val="3"/>
                <w:szCs w:val="24"/>
              </w:rPr>
              <w:t>(1)</w:t>
            </w:r>
            <w:r w:rsidRPr="00BB3F5B">
              <w:rPr>
                <w:rFonts w:ascii="標楷體" w:eastAsia="標楷體" w:hAnsi="標楷體"/>
                <w:kern w:val="3"/>
                <w:szCs w:val="24"/>
              </w:rPr>
              <w:t>設定之下（上）限價格或</w:t>
            </w:r>
            <w:r w:rsidRPr="00BB3F5B">
              <w:rPr>
                <w:rFonts w:ascii="標楷體" w:eastAsia="標楷體" w:hAnsi="標楷體" w:hint="eastAsia"/>
                <w:kern w:val="3"/>
                <w:szCs w:val="24"/>
              </w:rPr>
              <w:t>點</w:t>
            </w:r>
            <w:r w:rsidRPr="00BB3F5B">
              <w:rPr>
                <w:rFonts w:ascii="標楷體" w:eastAsia="標楷體" w:hAnsi="標楷體"/>
                <w:kern w:val="3"/>
                <w:szCs w:val="24"/>
              </w:rPr>
              <w:t>數是否介於標的證券收盤價格</w:t>
            </w:r>
            <w:r w:rsidRPr="00BB3F5B">
              <w:rPr>
                <w:rFonts w:ascii="標楷體" w:eastAsia="標楷體" w:hAnsi="標楷體" w:hint="eastAsia"/>
                <w:kern w:val="3"/>
                <w:szCs w:val="24"/>
              </w:rPr>
              <w:t>、</w:t>
            </w:r>
            <w:r w:rsidRPr="00BB3F5B">
              <w:rPr>
                <w:rFonts w:ascii="標楷體" w:eastAsia="標楷體" w:hAnsi="標楷體"/>
                <w:kern w:val="3"/>
                <w:szCs w:val="24"/>
              </w:rPr>
              <w:t>標的指數收盤指數</w:t>
            </w:r>
            <w:r w:rsidRPr="00BB3F5B">
              <w:rPr>
                <w:rFonts w:ascii="標楷體" w:eastAsia="標楷體" w:hAnsi="標楷體" w:hint="eastAsia"/>
                <w:kern w:val="3"/>
                <w:szCs w:val="24"/>
              </w:rPr>
              <w:t>或標的期貨前一營業日每日結算價</w:t>
            </w:r>
            <w:r w:rsidRPr="00BB3F5B">
              <w:rPr>
                <w:rFonts w:ascii="標楷體" w:eastAsia="標楷體" w:hAnsi="標楷體"/>
                <w:kern w:val="3"/>
                <w:szCs w:val="24"/>
              </w:rPr>
              <w:t>與履約價格或</w:t>
            </w:r>
            <w:r w:rsidRPr="00BB3F5B">
              <w:rPr>
                <w:rFonts w:ascii="標楷體" w:eastAsia="標楷體" w:hAnsi="標楷體" w:hint="eastAsia"/>
                <w:kern w:val="3"/>
                <w:szCs w:val="24"/>
              </w:rPr>
              <w:t>點</w:t>
            </w:r>
            <w:r w:rsidRPr="00BB3F5B">
              <w:rPr>
                <w:rFonts w:ascii="標楷體" w:eastAsia="標楷體" w:hAnsi="標楷體"/>
                <w:kern w:val="3"/>
                <w:szCs w:val="24"/>
              </w:rPr>
              <w:t>數（含）之間</w:t>
            </w:r>
            <w:r w:rsidRPr="00BB3F5B">
              <w:rPr>
                <w:rFonts w:ascii="標楷體" w:eastAsia="標楷體" w:hAnsi="標楷體" w:hint="eastAsia"/>
                <w:kern w:val="3"/>
                <w:szCs w:val="24"/>
              </w:rPr>
              <w:t>。</w:t>
            </w:r>
          </w:p>
          <w:p w14:paraId="5A4AB067" w14:textId="77777777" w:rsidR="003E4552" w:rsidRPr="00BB3F5B" w:rsidRDefault="003E4552" w:rsidP="0014616B">
            <w:pPr>
              <w:tabs>
                <w:tab w:val="left" w:pos="1103"/>
              </w:tabs>
              <w:suppressAutoHyphens/>
              <w:autoSpaceDN w:val="0"/>
              <w:snapToGrid w:val="0"/>
              <w:spacing w:line="400" w:lineRule="atLeast"/>
              <w:ind w:left="1451" w:rightChars="67" w:right="161" w:hanging="340"/>
              <w:jc w:val="both"/>
              <w:textAlignment w:val="baseline"/>
              <w:rPr>
                <w:rFonts w:ascii="標楷體" w:eastAsia="標楷體" w:hAnsi="標楷體"/>
                <w:kern w:val="3"/>
                <w:szCs w:val="24"/>
              </w:rPr>
            </w:pPr>
            <w:r w:rsidRPr="00BB3F5B">
              <w:rPr>
                <w:rFonts w:ascii="標楷體" w:eastAsia="標楷體" w:hAnsi="標楷體" w:hint="eastAsia"/>
                <w:kern w:val="3"/>
                <w:szCs w:val="24"/>
              </w:rPr>
              <w:t>(2)</w:t>
            </w:r>
            <w:r w:rsidRPr="00BB3F5B">
              <w:rPr>
                <w:rFonts w:ascii="標楷體" w:eastAsia="標楷體" w:hAnsi="標楷體"/>
                <w:kern w:val="3"/>
                <w:szCs w:val="24"/>
              </w:rPr>
              <w:t>下限價格或</w:t>
            </w:r>
            <w:r w:rsidRPr="00BB3F5B">
              <w:rPr>
                <w:rFonts w:ascii="標楷體" w:eastAsia="標楷體" w:hAnsi="標楷體" w:hint="eastAsia"/>
                <w:kern w:val="3"/>
                <w:szCs w:val="24"/>
              </w:rPr>
              <w:t>點</w:t>
            </w:r>
            <w:r w:rsidRPr="00BB3F5B">
              <w:rPr>
                <w:rFonts w:ascii="標楷體" w:eastAsia="標楷體" w:hAnsi="標楷體"/>
                <w:kern w:val="3"/>
                <w:szCs w:val="24"/>
              </w:rPr>
              <w:t>數是否達標的證券收盤價格</w:t>
            </w:r>
            <w:r w:rsidRPr="00BB3F5B">
              <w:rPr>
                <w:rFonts w:ascii="標楷體" w:eastAsia="標楷體" w:hAnsi="標楷體" w:hint="eastAsia"/>
                <w:kern w:val="3"/>
                <w:szCs w:val="24"/>
              </w:rPr>
              <w:t>、</w:t>
            </w:r>
            <w:r w:rsidRPr="00BB3F5B">
              <w:rPr>
                <w:rFonts w:ascii="標楷體" w:eastAsia="標楷體" w:hAnsi="標楷體"/>
                <w:kern w:val="3"/>
                <w:szCs w:val="24"/>
              </w:rPr>
              <w:t>標的指數收盤指數</w:t>
            </w:r>
            <w:r w:rsidRPr="00BB3F5B">
              <w:rPr>
                <w:rFonts w:ascii="標楷體" w:eastAsia="標楷體" w:hAnsi="標楷體" w:hint="eastAsia"/>
                <w:kern w:val="3"/>
                <w:szCs w:val="24"/>
              </w:rPr>
              <w:t>或標的期貨前一營業日每日結算價</w:t>
            </w:r>
            <w:r w:rsidRPr="00BB3F5B">
              <w:rPr>
                <w:rFonts w:ascii="標楷體" w:eastAsia="標楷體" w:hAnsi="標楷體"/>
                <w:kern w:val="3"/>
                <w:szCs w:val="24"/>
              </w:rPr>
              <w:t>之百分之九十（含）以下</w:t>
            </w:r>
            <w:r w:rsidRPr="00BB3F5B">
              <w:rPr>
                <w:rFonts w:ascii="標楷體" w:eastAsia="標楷體" w:hAnsi="標楷體" w:hint="eastAsia"/>
                <w:kern w:val="3"/>
                <w:szCs w:val="24"/>
              </w:rPr>
              <w:t>；</w:t>
            </w:r>
            <w:r w:rsidRPr="00BB3F5B">
              <w:rPr>
                <w:rFonts w:ascii="標楷體" w:eastAsia="標楷體" w:hAnsi="標楷體"/>
                <w:kern w:val="3"/>
                <w:szCs w:val="24"/>
              </w:rPr>
              <w:t>上限價格或</w:t>
            </w:r>
            <w:r w:rsidRPr="00BB3F5B">
              <w:rPr>
                <w:rFonts w:ascii="標楷體" w:eastAsia="標楷體" w:hAnsi="標楷體" w:hint="eastAsia"/>
                <w:kern w:val="3"/>
                <w:szCs w:val="24"/>
              </w:rPr>
              <w:t>點</w:t>
            </w:r>
            <w:r w:rsidRPr="00BB3F5B">
              <w:rPr>
                <w:rFonts w:ascii="標楷體" w:eastAsia="標楷體" w:hAnsi="標楷體"/>
                <w:kern w:val="3"/>
                <w:szCs w:val="24"/>
              </w:rPr>
              <w:t>數是否達標的證券收盤價格</w:t>
            </w:r>
            <w:r w:rsidRPr="00BB3F5B">
              <w:rPr>
                <w:rFonts w:ascii="標楷體" w:eastAsia="標楷體" w:hAnsi="標楷體" w:hint="eastAsia"/>
                <w:kern w:val="3"/>
                <w:szCs w:val="24"/>
              </w:rPr>
              <w:t>、</w:t>
            </w:r>
            <w:r w:rsidRPr="00BB3F5B">
              <w:rPr>
                <w:rFonts w:ascii="標楷體" w:eastAsia="標楷體" w:hAnsi="標楷體"/>
                <w:kern w:val="3"/>
                <w:szCs w:val="24"/>
              </w:rPr>
              <w:t>標的指數收盤指數</w:t>
            </w:r>
            <w:r w:rsidRPr="00BB3F5B">
              <w:rPr>
                <w:rFonts w:ascii="標楷體" w:eastAsia="標楷體" w:hAnsi="標楷體" w:hint="eastAsia"/>
                <w:kern w:val="3"/>
                <w:szCs w:val="24"/>
              </w:rPr>
              <w:t>或標的期貨前一營業日每日結算價</w:t>
            </w:r>
            <w:r w:rsidRPr="00BB3F5B">
              <w:rPr>
                <w:rFonts w:ascii="標楷體" w:eastAsia="標楷體" w:hAnsi="標楷體"/>
                <w:kern w:val="3"/>
                <w:szCs w:val="24"/>
              </w:rPr>
              <w:t>之百分之一百一十（含）以上</w:t>
            </w:r>
            <w:r w:rsidRPr="00BB3F5B">
              <w:rPr>
                <w:rFonts w:ascii="標楷體" w:eastAsia="標楷體" w:hAnsi="標楷體" w:hint="eastAsia"/>
                <w:kern w:val="3"/>
                <w:szCs w:val="24"/>
              </w:rPr>
              <w:t>。</w:t>
            </w:r>
          </w:p>
          <w:p w14:paraId="7E5E5008" w14:textId="77777777" w:rsidR="003E4552" w:rsidRPr="00BB3F5B" w:rsidRDefault="003E4552" w:rsidP="0014616B">
            <w:pPr>
              <w:tabs>
                <w:tab w:val="left" w:pos="1103"/>
              </w:tabs>
              <w:suppressAutoHyphens/>
              <w:autoSpaceDN w:val="0"/>
              <w:snapToGrid w:val="0"/>
              <w:spacing w:line="400" w:lineRule="atLeast"/>
              <w:ind w:left="1451" w:rightChars="67" w:right="161" w:hanging="340"/>
              <w:jc w:val="both"/>
              <w:textAlignment w:val="baseline"/>
              <w:rPr>
                <w:rFonts w:ascii="標楷體" w:eastAsia="標楷體" w:hAnsi="標楷體" w:cs="細明體"/>
                <w:kern w:val="3"/>
                <w:szCs w:val="24"/>
              </w:rPr>
            </w:pPr>
            <w:r w:rsidRPr="00BB3F5B">
              <w:rPr>
                <w:rFonts w:ascii="標楷體" w:eastAsia="標楷體" w:hAnsi="標楷體" w:hint="eastAsia"/>
                <w:kern w:val="3"/>
                <w:szCs w:val="24"/>
              </w:rPr>
              <w:t>(3)</w:t>
            </w:r>
            <w:r w:rsidRPr="00BB3F5B">
              <w:rPr>
                <w:rFonts w:ascii="標楷體" w:eastAsia="標楷體" w:hAnsi="標楷體" w:cs="細明體"/>
                <w:kern w:val="3"/>
                <w:szCs w:val="24"/>
              </w:rPr>
              <w:t>可展延存續期間者</w:t>
            </w:r>
            <w:r w:rsidRPr="00BB3F5B">
              <w:rPr>
                <w:rFonts w:ascii="標楷體" w:eastAsia="標楷體" w:hAnsi="標楷體"/>
                <w:kern w:val="3"/>
                <w:szCs w:val="24"/>
              </w:rPr>
              <w:t>，其</w:t>
            </w:r>
            <w:r w:rsidRPr="00BB3F5B">
              <w:rPr>
                <w:rFonts w:ascii="標楷體" w:eastAsia="標楷體" w:hAnsi="標楷體" w:cs="細明體"/>
                <w:kern w:val="3"/>
                <w:szCs w:val="24"/>
              </w:rPr>
              <w:t>下限價格或</w:t>
            </w:r>
            <w:r w:rsidRPr="00BB3F5B">
              <w:rPr>
                <w:rFonts w:ascii="標楷體" w:eastAsia="標楷體" w:hAnsi="標楷體" w:hint="eastAsia"/>
                <w:kern w:val="3"/>
                <w:szCs w:val="24"/>
              </w:rPr>
              <w:t>點</w:t>
            </w:r>
            <w:r w:rsidRPr="00BB3F5B">
              <w:rPr>
                <w:rFonts w:ascii="標楷體" w:eastAsia="標楷體" w:hAnsi="標楷體" w:cs="細明體"/>
                <w:kern w:val="3"/>
                <w:szCs w:val="24"/>
              </w:rPr>
              <w:t>數</w:t>
            </w:r>
            <w:r w:rsidRPr="00BB3F5B">
              <w:rPr>
                <w:rFonts w:ascii="標楷體" w:eastAsia="標楷體" w:hAnsi="標楷體"/>
                <w:kern w:val="3"/>
                <w:szCs w:val="24"/>
              </w:rPr>
              <w:t>是否</w:t>
            </w:r>
            <w:r w:rsidRPr="00BB3F5B">
              <w:rPr>
                <w:rFonts w:ascii="標楷體" w:eastAsia="標楷體" w:hAnsi="標楷體" w:cs="細明體"/>
                <w:kern w:val="3"/>
                <w:szCs w:val="24"/>
              </w:rPr>
              <w:t>達標的證券收盤價格或標的指數收盤指數之百分之七十（含）以下</w:t>
            </w:r>
            <w:r w:rsidRPr="00BB3F5B">
              <w:rPr>
                <w:rFonts w:ascii="標楷體" w:eastAsia="標楷體" w:hAnsi="標楷體" w:cs="細明體" w:hint="eastAsia"/>
                <w:kern w:val="3"/>
                <w:szCs w:val="24"/>
              </w:rPr>
              <w:t>，</w:t>
            </w:r>
            <w:r w:rsidRPr="00BB3F5B">
              <w:rPr>
                <w:rFonts w:ascii="標楷體" w:eastAsia="標楷體" w:hAnsi="標楷體" w:cs="細明體"/>
                <w:kern w:val="3"/>
                <w:szCs w:val="24"/>
              </w:rPr>
              <w:t>或上限價格或</w:t>
            </w:r>
            <w:r w:rsidRPr="00BB3F5B">
              <w:rPr>
                <w:rFonts w:ascii="標楷體" w:eastAsia="標楷體" w:hAnsi="標楷體" w:hint="eastAsia"/>
                <w:kern w:val="3"/>
                <w:szCs w:val="24"/>
              </w:rPr>
              <w:t>點</w:t>
            </w:r>
            <w:r w:rsidRPr="00BB3F5B">
              <w:rPr>
                <w:rFonts w:ascii="標楷體" w:eastAsia="標楷體" w:hAnsi="標楷體" w:cs="細明體"/>
                <w:kern w:val="3"/>
                <w:szCs w:val="24"/>
              </w:rPr>
              <w:t>數</w:t>
            </w:r>
            <w:r w:rsidRPr="00BB3F5B">
              <w:rPr>
                <w:rFonts w:ascii="標楷體" w:eastAsia="標楷體" w:hAnsi="標楷體"/>
                <w:kern w:val="3"/>
                <w:szCs w:val="24"/>
              </w:rPr>
              <w:t>是否</w:t>
            </w:r>
            <w:r w:rsidRPr="00BB3F5B">
              <w:rPr>
                <w:rFonts w:ascii="標楷體" w:eastAsia="標楷體" w:hAnsi="標楷體" w:cs="細明體"/>
                <w:kern w:val="3"/>
                <w:szCs w:val="24"/>
              </w:rPr>
              <w:t>達標的證券收盤價格或標的指數收盤指數之百分之一百三十（含）以上。</w:t>
            </w:r>
          </w:p>
          <w:p w14:paraId="03314356" w14:textId="77777777" w:rsidR="003E4552" w:rsidRPr="00BB3F5B" w:rsidRDefault="003E4552" w:rsidP="0014616B">
            <w:pPr>
              <w:tabs>
                <w:tab w:val="left" w:pos="1111"/>
              </w:tabs>
              <w:suppressAutoHyphens/>
              <w:autoSpaceDN w:val="0"/>
              <w:snapToGrid w:val="0"/>
              <w:spacing w:line="400" w:lineRule="atLeast"/>
              <w:ind w:left="1451" w:rightChars="67" w:right="161" w:hanging="340"/>
              <w:jc w:val="both"/>
              <w:textAlignment w:val="baseline"/>
              <w:rPr>
                <w:rFonts w:ascii="標楷體" w:eastAsia="標楷體" w:hAnsi="標楷體" w:cs="細明體"/>
                <w:kern w:val="3"/>
                <w:szCs w:val="24"/>
              </w:rPr>
            </w:pPr>
            <w:r w:rsidRPr="00BB3F5B">
              <w:rPr>
                <w:rFonts w:ascii="標楷體" w:eastAsia="標楷體" w:hAnsi="標楷體" w:hint="eastAsia"/>
                <w:kern w:val="3"/>
                <w:szCs w:val="24"/>
              </w:rPr>
              <w:t>(4)</w:t>
            </w:r>
            <w:r w:rsidRPr="00BB3F5B">
              <w:rPr>
                <w:rFonts w:ascii="標楷體" w:eastAsia="標楷體" w:hAnsi="標楷體"/>
                <w:kern w:val="3"/>
                <w:szCs w:val="24"/>
              </w:rPr>
              <w:t>所訂定重設調整後之履約價格</w:t>
            </w:r>
            <w:r w:rsidRPr="00BB3F5B">
              <w:rPr>
                <w:rFonts w:ascii="標楷體" w:eastAsia="標楷體" w:hAnsi="標楷體" w:hint="eastAsia"/>
                <w:kern w:val="3"/>
                <w:szCs w:val="24"/>
              </w:rPr>
              <w:t>或點數</w:t>
            </w:r>
            <w:r w:rsidRPr="00BB3F5B">
              <w:rPr>
                <w:rFonts w:ascii="標楷體" w:eastAsia="標楷體" w:hAnsi="標楷體"/>
                <w:kern w:val="3"/>
                <w:szCs w:val="24"/>
              </w:rPr>
              <w:t>及下（上）限價格</w:t>
            </w:r>
            <w:r w:rsidRPr="00BB3F5B">
              <w:rPr>
                <w:rFonts w:ascii="標楷體" w:eastAsia="標楷體" w:hAnsi="標楷體" w:hint="eastAsia"/>
                <w:kern w:val="3"/>
                <w:szCs w:val="24"/>
              </w:rPr>
              <w:t>或點數</w:t>
            </w:r>
            <w:r w:rsidRPr="00BB3F5B">
              <w:rPr>
                <w:rFonts w:ascii="標楷體" w:eastAsia="標楷體" w:hAnsi="標楷體"/>
                <w:kern w:val="3"/>
                <w:szCs w:val="24"/>
              </w:rPr>
              <w:t>，是否於</w:t>
            </w:r>
            <w:r w:rsidRPr="00BB3F5B">
              <w:rPr>
                <w:rFonts w:ascii="標楷體" w:eastAsia="標楷體" w:hAnsi="標楷體" w:cs="細明體"/>
                <w:kern w:val="3"/>
                <w:szCs w:val="24"/>
              </w:rPr>
              <w:t>上市首日生效，其價格及</w:t>
            </w:r>
            <w:r w:rsidRPr="00BB3F5B">
              <w:rPr>
                <w:rFonts w:ascii="標楷體" w:eastAsia="標楷體" w:hAnsi="標楷體" w:hint="eastAsia"/>
                <w:kern w:val="3"/>
                <w:szCs w:val="24"/>
              </w:rPr>
              <w:t>點</w:t>
            </w:r>
            <w:r w:rsidRPr="00BB3F5B">
              <w:rPr>
                <w:rFonts w:ascii="標楷體" w:eastAsia="標楷體" w:hAnsi="標楷體" w:cs="細明體"/>
                <w:kern w:val="3"/>
                <w:szCs w:val="24"/>
              </w:rPr>
              <w:t>數之訂定是否符合上開規定。</w:t>
            </w:r>
          </w:p>
          <w:p w14:paraId="13F0FA9C" w14:textId="77777777" w:rsidR="003E4552" w:rsidRPr="00BB3F5B" w:rsidRDefault="003E4552" w:rsidP="0014616B">
            <w:pPr>
              <w:suppressAutoHyphens/>
              <w:autoSpaceDN w:val="0"/>
              <w:snapToGrid w:val="0"/>
              <w:spacing w:line="400" w:lineRule="atLeast"/>
              <w:ind w:left="1185" w:rightChars="67" w:right="161" w:hanging="227"/>
              <w:jc w:val="both"/>
              <w:textAlignment w:val="baseline"/>
              <w:rPr>
                <w:kern w:val="3"/>
                <w:szCs w:val="24"/>
              </w:rPr>
            </w:pPr>
            <w:r w:rsidRPr="00BB3F5B">
              <w:rPr>
                <w:rFonts w:ascii="標楷體" w:eastAsia="標楷體" w:hAnsi="標楷體" w:hint="eastAsia"/>
                <w:kern w:val="3"/>
                <w:szCs w:val="24"/>
              </w:rPr>
              <w:t>3.</w:t>
            </w:r>
            <w:r w:rsidRPr="00BB3F5B">
              <w:rPr>
                <w:rFonts w:ascii="標楷體" w:eastAsia="標楷體" w:hAnsi="標楷體" w:cs="細明體"/>
                <w:kern w:val="3"/>
                <w:szCs w:val="24"/>
              </w:rPr>
              <w:t>增額發行之認購（售）權證，其上（下）限價格或</w:t>
            </w:r>
            <w:r w:rsidRPr="00BB3F5B">
              <w:rPr>
                <w:rFonts w:ascii="標楷體" w:eastAsia="標楷體" w:hAnsi="標楷體" w:hint="eastAsia"/>
                <w:kern w:val="3"/>
                <w:szCs w:val="24"/>
              </w:rPr>
              <w:t>點</w:t>
            </w:r>
            <w:r w:rsidRPr="00BB3F5B">
              <w:rPr>
                <w:rFonts w:ascii="標楷體" w:eastAsia="標楷體" w:hAnsi="標楷體" w:cs="細明體"/>
                <w:kern w:val="3"/>
                <w:szCs w:val="24"/>
              </w:rPr>
              <w:t>數</w:t>
            </w:r>
            <w:r w:rsidRPr="00BB3F5B">
              <w:rPr>
                <w:rFonts w:ascii="標楷體" w:eastAsia="標楷體" w:hAnsi="標楷體"/>
                <w:kern w:val="3"/>
                <w:szCs w:val="24"/>
              </w:rPr>
              <w:t>是否</w:t>
            </w:r>
            <w:r w:rsidRPr="00BB3F5B">
              <w:rPr>
                <w:rFonts w:ascii="標楷體" w:eastAsia="標楷體" w:hAnsi="標楷體" w:cs="細明體"/>
                <w:kern w:val="3"/>
                <w:szCs w:val="24"/>
              </w:rPr>
              <w:t>為</w:t>
            </w:r>
            <w:r w:rsidRPr="00BB3F5B">
              <w:rPr>
                <w:rFonts w:ascii="標楷體" w:eastAsia="標楷體" w:hAnsi="標楷體"/>
                <w:kern w:val="3"/>
                <w:szCs w:val="24"/>
              </w:rPr>
              <w:t>最新</w:t>
            </w:r>
            <w:r w:rsidRPr="00BB3F5B">
              <w:rPr>
                <w:rFonts w:ascii="標楷體" w:eastAsia="標楷體" w:hAnsi="標楷體" w:cs="細明體"/>
                <w:kern w:val="3"/>
                <w:szCs w:val="24"/>
              </w:rPr>
              <w:t>上（下）限價格或</w:t>
            </w:r>
            <w:r w:rsidRPr="00BB3F5B">
              <w:rPr>
                <w:rFonts w:ascii="標楷體" w:eastAsia="標楷體" w:hAnsi="標楷體" w:hint="eastAsia"/>
                <w:kern w:val="3"/>
                <w:szCs w:val="24"/>
              </w:rPr>
              <w:t>點</w:t>
            </w:r>
            <w:r w:rsidRPr="00BB3F5B">
              <w:rPr>
                <w:rFonts w:ascii="標楷體" w:eastAsia="標楷體" w:hAnsi="標楷體" w:cs="細明體"/>
                <w:kern w:val="3"/>
                <w:szCs w:val="24"/>
              </w:rPr>
              <w:t>數。</w:t>
            </w:r>
          </w:p>
          <w:p w14:paraId="1ECAE747" w14:textId="77777777" w:rsidR="003E4552" w:rsidRPr="00BB3F5B" w:rsidRDefault="003E4552" w:rsidP="003E4552">
            <w:pPr>
              <w:numPr>
                <w:ilvl w:val="0"/>
                <w:numId w:val="50"/>
              </w:numPr>
              <w:tabs>
                <w:tab w:val="left" w:pos="-1440"/>
                <w:tab w:val="left" w:pos="-480"/>
              </w:tabs>
              <w:suppressAutoHyphens/>
              <w:autoSpaceDE w:val="0"/>
              <w:autoSpaceDN w:val="0"/>
              <w:snapToGrid w:val="0"/>
              <w:spacing w:line="400" w:lineRule="atLeast"/>
              <w:ind w:left="919" w:right="147" w:hanging="964"/>
              <w:jc w:val="both"/>
              <w:textAlignment w:val="baseline"/>
              <w:rPr>
                <w:szCs w:val="24"/>
              </w:rPr>
            </w:pPr>
            <w:r w:rsidRPr="00BB3F5B">
              <w:rPr>
                <w:rFonts w:ascii="標楷體" w:eastAsia="標楷體" w:hAnsi="標楷體"/>
                <w:szCs w:val="24"/>
              </w:rPr>
              <w:t>外國發行人申請發行認購（售）權證時，</w:t>
            </w:r>
            <w:r w:rsidRPr="00BB3F5B">
              <w:rPr>
                <w:rFonts w:ascii="標楷體" w:eastAsia="標楷體" w:hAnsi="標楷體" w:cs="細明體"/>
                <w:kern w:val="0"/>
                <w:szCs w:val="24"/>
              </w:rPr>
              <w:t>其</w:t>
            </w:r>
            <w:r w:rsidRPr="00BB3F5B">
              <w:rPr>
                <w:rFonts w:ascii="標楷體" w:eastAsia="標楷體" w:hAnsi="標楷體" w:cs="細明體"/>
                <w:szCs w:val="24"/>
              </w:rPr>
              <w:t>因避險所需</w:t>
            </w:r>
            <w:r w:rsidRPr="00BB3F5B">
              <w:rPr>
                <w:rFonts w:ascii="標楷體" w:eastAsia="標楷體" w:hAnsi="標楷體" w:cs="新細明體"/>
                <w:szCs w:val="24"/>
              </w:rPr>
              <w:t>匯入國內之淨金額（即匯入之金額扣除非因本次避險所需之金額）</w:t>
            </w:r>
            <w:r w:rsidRPr="00BB3F5B">
              <w:rPr>
                <w:rFonts w:ascii="標楷體" w:eastAsia="標楷體" w:hAnsi="標楷體" w:cs="細明體"/>
                <w:szCs w:val="24"/>
              </w:rPr>
              <w:t>或</w:t>
            </w:r>
            <w:r w:rsidRPr="00BB3F5B">
              <w:rPr>
                <w:rFonts w:ascii="標楷體" w:eastAsia="標楷體" w:hAnsi="標楷體"/>
                <w:szCs w:val="24"/>
              </w:rPr>
              <w:t>提供設定質權予本公司之定期存單、政府債券或金融機構出具之履約保證契約等</w:t>
            </w:r>
            <w:r w:rsidRPr="00BB3F5B">
              <w:rPr>
                <w:rFonts w:ascii="標楷體" w:eastAsia="標楷體" w:hAnsi="標楷體" w:cs="細明體"/>
                <w:kern w:val="0"/>
                <w:szCs w:val="24"/>
              </w:rPr>
              <w:t>擔保品</w:t>
            </w:r>
            <w:r w:rsidRPr="00BB3F5B">
              <w:rPr>
                <w:rFonts w:ascii="標楷體" w:eastAsia="標楷體" w:hAnsi="標楷體"/>
                <w:szCs w:val="24"/>
              </w:rPr>
              <w:t>之金額，是否大於所發行（含本次）未到期之上市及上櫃認購（售）權證表彰標的證券市值</w:t>
            </w:r>
            <w:r w:rsidRPr="00BB3F5B">
              <w:rPr>
                <w:rFonts w:ascii="標楷體" w:eastAsia="標楷體" w:hAnsi="標楷體" w:cs="細明體"/>
                <w:kern w:val="0"/>
                <w:szCs w:val="24"/>
              </w:rPr>
              <w:t>百分之二十</w:t>
            </w:r>
            <w:r w:rsidRPr="00BB3F5B">
              <w:rPr>
                <w:rFonts w:ascii="標楷體" w:eastAsia="標楷體" w:hAnsi="標楷體"/>
                <w:szCs w:val="24"/>
              </w:rPr>
              <w:t>，另是否出具該次發行</w:t>
            </w:r>
            <w:r w:rsidRPr="00BB3F5B">
              <w:rPr>
                <w:rFonts w:ascii="標楷體" w:eastAsia="標楷體" w:hAnsi="標楷體"/>
                <w:szCs w:val="24"/>
              </w:rPr>
              <w:lastRenderedPageBreak/>
              <w:t>權證收取之權利金</w:t>
            </w:r>
            <w:proofErr w:type="gramStart"/>
            <w:r w:rsidRPr="00BB3F5B">
              <w:rPr>
                <w:rFonts w:ascii="標楷體" w:eastAsia="標楷體" w:hAnsi="標楷體"/>
                <w:szCs w:val="24"/>
              </w:rPr>
              <w:t>俟</w:t>
            </w:r>
            <w:proofErr w:type="gramEnd"/>
            <w:r w:rsidRPr="00BB3F5B">
              <w:rPr>
                <w:rFonts w:ascii="標楷體" w:eastAsia="標楷體" w:hAnsi="標楷體"/>
                <w:szCs w:val="24"/>
              </w:rPr>
              <w:t>權證到期後始匯出國內之承諾書之證明。</w:t>
            </w:r>
          </w:p>
          <w:p w14:paraId="6917468A" w14:textId="77777777" w:rsidR="003E4552" w:rsidRPr="00BB3F5B" w:rsidRDefault="003E4552" w:rsidP="0014616B">
            <w:pPr>
              <w:suppressAutoHyphens/>
              <w:autoSpaceDE w:val="0"/>
              <w:autoSpaceDN w:val="0"/>
              <w:snapToGrid w:val="0"/>
              <w:spacing w:line="400" w:lineRule="atLeast"/>
              <w:ind w:right="148"/>
              <w:jc w:val="both"/>
              <w:textAlignment w:val="baseline"/>
              <w:rPr>
                <w:rFonts w:ascii="Calibri" w:hAnsi="Calibri"/>
                <w:szCs w:val="24"/>
              </w:rPr>
            </w:pPr>
            <w:r w:rsidRPr="00BB3F5B">
              <w:rPr>
                <w:rFonts w:ascii="標楷體" w:eastAsia="標楷體" w:hAnsi="標楷體" w:hint="eastAsia"/>
                <w:szCs w:val="24"/>
              </w:rPr>
              <w:t>三、</w:t>
            </w:r>
            <w:r w:rsidRPr="00BB3F5B">
              <w:rPr>
                <w:rFonts w:ascii="標楷體" w:eastAsia="標楷體" w:hAnsi="標楷體"/>
                <w:szCs w:val="24"/>
              </w:rPr>
              <w:t>認購（售）權證契約條款</w:t>
            </w:r>
          </w:p>
          <w:p w14:paraId="3CF9FB5E" w14:textId="77777777" w:rsidR="003E4552" w:rsidRPr="00BB3F5B" w:rsidRDefault="003E4552" w:rsidP="003E4552">
            <w:pPr>
              <w:numPr>
                <w:ilvl w:val="0"/>
                <w:numId w:val="51"/>
              </w:numPr>
              <w:tabs>
                <w:tab w:val="left" w:pos="-1440"/>
                <w:tab w:val="left" w:pos="-480"/>
              </w:tabs>
              <w:suppressAutoHyphens/>
              <w:autoSpaceDE w:val="0"/>
              <w:autoSpaceDN w:val="0"/>
              <w:snapToGrid w:val="0"/>
              <w:spacing w:line="400" w:lineRule="atLeast"/>
              <w:ind w:left="687" w:right="148"/>
              <w:jc w:val="both"/>
              <w:textAlignment w:val="baseline"/>
              <w:rPr>
                <w:szCs w:val="24"/>
              </w:rPr>
            </w:pPr>
            <w:r w:rsidRPr="00BB3F5B">
              <w:rPr>
                <w:rFonts w:ascii="標楷體" w:eastAsia="標楷體" w:hAnsi="標楷體"/>
                <w:szCs w:val="24"/>
              </w:rPr>
              <w:t>發行條件</w:t>
            </w:r>
            <w:r w:rsidRPr="00BB3F5B">
              <w:rPr>
                <w:rFonts w:ascii="標楷體" w:eastAsia="標楷體" w:hAnsi="標楷體" w:hint="eastAsia"/>
                <w:szCs w:val="24"/>
              </w:rPr>
              <w:t>，包</w:t>
            </w:r>
            <w:r w:rsidRPr="00BB3F5B">
              <w:rPr>
                <w:rFonts w:ascii="標楷體" w:eastAsia="標楷體" w:hAnsi="標楷體"/>
                <w:szCs w:val="24"/>
              </w:rPr>
              <w:t>含發行價格、履約價格或</w:t>
            </w:r>
            <w:r w:rsidRPr="00BB3F5B">
              <w:rPr>
                <w:rFonts w:ascii="標楷體" w:eastAsia="標楷體" w:hAnsi="標楷體" w:hint="eastAsia"/>
                <w:szCs w:val="24"/>
              </w:rPr>
              <w:t>點</w:t>
            </w:r>
            <w:r w:rsidRPr="00BB3F5B">
              <w:rPr>
                <w:rFonts w:ascii="標楷體" w:eastAsia="標楷體" w:hAnsi="標楷體"/>
                <w:szCs w:val="24"/>
              </w:rPr>
              <w:t>數、履約</w:t>
            </w:r>
            <w:proofErr w:type="gramStart"/>
            <w:r w:rsidRPr="00BB3F5B">
              <w:rPr>
                <w:rFonts w:ascii="標楷體" w:eastAsia="標楷體" w:hAnsi="標楷體"/>
                <w:szCs w:val="24"/>
              </w:rPr>
              <w:t>期間、</w:t>
            </w:r>
            <w:proofErr w:type="gramEnd"/>
            <w:r w:rsidRPr="00BB3F5B">
              <w:rPr>
                <w:rFonts w:ascii="標楷體" w:eastAsia="標楷體" w:hAnsi="標楷體"/>
                <w:szCs w:val="24"/>
              </w:rPr>
              <w:t>每單位代表股份</w:t>
            </w:r>
            <w:r w:rsidRPr="00BB3F5B">
              <w:rPr>
                <w:rFonts w:ascii="標楷體" w:eastAsia="標楷體" w:hAnsi="標楷體" w:hint="eastAsia"/>
                <w:szCs w:val="24"/>
              </w:rPr>
              <w:t>(或</w:t>
            </w:r>
            <w:r w:rsidRPr="00BB3F5B">
              <w:rPr>
                <w:rFonts w:ascii="標楷體" w:eastAsia="標楷體" w:hAnsi="標楷體"/>
                <w:szCs w:val="24"/>
              </w:rPr>
              <w:t>受益權單位</w:t>
            </w:r>
            <w:r w:rsidRPr="00BB3F5B">
              <w:rPr>
                <w:rFonts w:ascii="標楷體" w:eastAsia="標楷體" w:hAnsi="標楷體" w:hint="eastAsia"/>
                <w:szCs w:val="24"/>
              </w:rPr>
              <w:t>或</w:t>
            </w:r>
            <w:r w:rsidRPr="00BB3F5B">
              <w:rPr>
                <w:rFonts w:ascii="標楷體" w:eastAsia="標楷體" w:hAnsi="標楷體"/>
                <w:szCs w:val="24"/>
              </w:rPr>
              <w:t>存託憑證單位</w:t>
            </w:r>
            <w:r w:rsidRPr="00BB3F5B">
              <w:rPr>
                <w:rFonts w:ascii="標楷體" w:eastAsia="標楷體" w:hAnsi="標楷體" w:hint="eastAsia"/>
                <w:szCs w:val="24"/>
              </w:rPr>
              <w:t>或</w:t>
            </w:r>
            <w:r w:rsidRPr="00BB3F5B">
              <w:rPr>
                <w:rFonts w:ascii="標楷體" w:eastAsia="標楷體" w:hAnsi="標楷體"/>
                <w:szCs w:val="24"/>
              </w:rPr>
              <w:t>指數點數</w:t>
            </w:r>
            <w:r w:rsidRPr="00BB3F5B">
              <w:rPr>
                <w:rFonts w:ascii="標楷體" w:eastAsia="標楷體" w:hAnsi="標楷體" w:hint="eastAsia"/>
                <w:szCs w:val="24"/>
              </w:rPr>
              <w:t>或期貨點數</w:t>
            </w:r>
            <w:proofErr w:type="gramStart"/>
            <w:r w:rsidRPr="00BB3F5B">
              <w:rPr>
                <w:rFonts w:ascii="標楷體" w:eastAsia="標楷體" w:hAnsi="標楷體"/>
                <w:szCs w:val="24"/>
              </w:rPr>
              <w:t>）</w:t>
            </w:r>
            <w:proofErr w:type="gramEnd"/>
            <w:r w:rsidRPr="00BB3F5B">
              <w:rPr>
                <w:rFonts w:ascii="標楷體" w:eastAsia="標楷體" w:hAnsi="標楷體"/>
                <w:szCs w:val="24"/>
              </w:rPr>
              <w:t>等</w:t>
            </w:r>
            <w:r w:rsidRPr="00BB3F5B">
              <w:rPr>
                <w:rFonts w:ascii="標楷體" w:eastAsia="標楷體" w:hAnsi="標楷體" w:cs="細明體"/>
                <w:szCs w:val="24"/>
              </w:rPr>
              <w:t>。</w:t>
            </w:r>
          </w:p>
          <w:p w14:paraId="5D2D19D1" w14:textId="77777777" w:rsidR="003E4552" w:rsidRPr="00BB3F5B" w:rsidRDefault="003E4552" w:rsidP="003E4552">
            <w:pPr>
              <w:numPr>
                <w:ilvl w:val="0"/>
                <w:numId w:val="51"/>
              </w:numPr>
              <w:tabs>
                <w:tab w:val="left" w:pos="-1440"/>
                <w:tab w:val="left" w:pos="-480"/>
              </w:tabs>
              <w:suppressAutoHyphens/>
              <w:autoSpaceDE w:val="0"/>
              <w:autoSpaceDN w:val="0"/>
              <w:snapToGrid w:val="0"/>
              <w:spacing w:line="400" w:lineRule="atLeast"/>
              <w:ind w:left="679" w:right="148"/>
              <w:jc w:val="both"/>
              <w:textAlignment w:val="baseline"/>
              <w:rPr>
                <w:rFonts w:ascii="標楷體" w:eastAsia="標楷體" w:hAnsi="標楷體" w:cs="細明體"/>
                <w:szCs w:val="24"/>
              </w:rPr>
            </w:pPr>
            <w:r w:rsidRPr="00BB3F5B">
              <w:rPr>
                <w:rFonts w:ascii="標楷體" w:eastAsia="標楷體" w:hAnsi="標楷體" w:cs="細明體"/>
                <w:szCs w:val="24"/>
              </w:rPr>
              <w:t>如係發行上（下）</w:t>
            </w:r>
            <w:proofErr w:type="gramStart"/>
            <w:r w:rsidRPr="00BB3F5B">
              <w:rPr>
                <w:rFonts w:ascii="標楷體" w:eastAsia="標楷體" w:hAnsi="標楷體" w:cs="細明體"/>
                <w:szCs w:val="24"/>
              </w:rPr>
              <w:t>限型認購</w:t>
            </w:r>
            <w:proofErr w:type="gramEnd"/>
            <w:r w:rsidRPr="00BB3F5B">
              <w:rPr>
                <w:rFonts w:ascii="標楷體" w:eastAsia="標楷體" w:hAnsi="標楷體" w:cs="細明體"/>
                <w:szCs w:val="24"/>
              </w:rPr>
              <w:t>（售）權證是否另以顯著字體說明下列事項：</w:t>
            </w:r>
          </w:p>
          <w:p w14:paraId="26444A82" w14:textId="77777777" w:rsidR="003E4552" w:rsidRPr="00BB3F5B" w:rsidRDefault="003E4552" w:rsidP="0014616B">
            <w:pPr>
              <w:autoSpaceDE w:val="0"/>
              <w:snapToGrid w:val="0"/>
              <w:spacing w:line="400" w:lineRule="atLeast"/>
              <w:ind w:left="963" w:right="148" w:hanging="284"/>
              <w:jc w:val="both"/>
              <w:rPr>
                <w:szCs w:val="24"/>
              </w:rPr>
            </w:pPr>
            <w:r w:rsidRPr="00BB3F5B">
              <w:rPr>
                <w:rFonts w:ascii="標楷體" w:eastAsia="標楷體" w:hAnsi="標楷體" w:cs="細明體"/>
                <w:szCs w:val="24"/>
              </w:rPr>
              <w:t>1.發行上限型認購權證或</w:t>
            </w:r>
            <w:proofErr w:type="gramStart"/>
            <w:r w:rsidRPr="00BB3F5B">
              <w:rPr>
                <w:rFonts w:ascii="標楷體" w:eastAsia="標楷體" w:hAnsi="標楷體" w:cs="細明體"/>
                <w:szCs w:val="24"/>
              </w:rPr>
              <w:t>下限型認售</w:t>
            </w:r>
            <w:proofErr w:type="gramEnd"/>
            <w:r w:rsidRPr="00BB3F5B">
              <w:rPr>
                <w:rFonts w:ascii="標楷體" w:eastAsia="標楷體" w:hAnsi="標楷體" w:cs="細明體"/>
                <w:szCs w:val="24"/>
              </w:rPr>
              <w:t>權證者：</w:t>
            </w:r>
            <w:r w:rsidRPr="00BB3F5B">
              <w:rPr>
                <w:rFonts w:ascii="標楷體" w:eastAsia="標楷體" w:hAnsi="標楷體"/>
                <w:szCs w:val="24"/>
              </w:rPr>
              <w:t xml:space="preserve"> </w:t>
            </w:r>
          </w:p>
          <w:p w14:paraId="24EB2011" w14:textId="77777777" w:rsidR="003E4552" w:rsidRPr="00BB3F5B" w:rsidRDefault="003E4552" w:rsidP="0014616B">
            <w:pPr>
              <w:tabs>
                <w:tab w:val="left" w:pos="821"/>
                <w:tab w:val="left" w:pos="1109"/>
              </w:tabs>
              <w:suppressAutoHyphens/>
              <w:autoSpaceDN w:val="0"/>
              <w:snapToGrid w:val="0"/>
              <w:spacing w:line="400" w:lineRule="atLeast"/>
              <w:ind w:left="1246" w:right="148" w:hanging="425"/>
              <w:jc w:val="both"/>
              <w:textAlignment w:val="baseline"/>
              <w:rPr>
                <w:rFonts w:ascii="標楷體" w:eastAsia="標楷體" w:hAnsi="標楷體" w:cs="細明體"/>
                <w:kern w:val="3"/>
                <w:szCs w:val="24"/>
              </w:rPr>
            </w:pPr>
            <w:r w:rsidRPr="00BB3F5B">
              <w:rPr>
                <w:rFonts w:ascii="標楷體" w:eastAsia="標楷體" w:hAnsi="標楷體" w:cs="細明體" w:hint="eastAsia"/>
                <w:kern w:val="3"/>
                <w:szCs w:val="24"/>
              </w:rPr>
              <w:t>(1)</w:t>
            </w:r>
            <w:r w:rsidRPr="00BB3F5B">
              <w:rPr>
                <w:rFonts w:ascii="標楷體" w:eastAsia="標楷體" w:hAnsi="標楷體" w:cs="細明體"/>
                <w:kern w:val="3"/>
                <w:szCs w:val="24"/>
              </w:rPr>
              <w:t>上（下）限之價格或</w:t>
            </w:r>
            <w:r w:rsidRPr="00BB3F5B">
              <w:rPr>
                <w:rFonts w:ascii="標楷體" w:eastAsia="標楷體" w:hAnsi="標楷體" w:hint="eastAsia"/>
                <w:kern w:val="3"/>
                <w:szCs w:val="24"/>
              </w:rPr>
              <w:t>點</w:t>
            </w:r>
            <w:r w:rsidRPr="00BB3F5B">
              <w:rPr>
                <w:rFonts w:ascii="標楷體" w:eastAsia="標楷體" w:hAnsi="標楷體" w:cs="細明體"/>
                <w:kern w:val="3"/>
                <w:szCs w:val="24"/>
              </w:rPr>
              <w:t>數</w:t>
            </w:r>
          </w:p>
          <w:p w14:paraId="6B39E08C" w14:textId="77777777" w:rsidR="003E4552" w:rsidRPr="00BB3F5B" w:rsidRDefault="003E4552" w:rsidP="0014616B">
            <w:pPr>
              <w:suppressAutoHyphens/>
              <w:autoSpaceDN w:val="0"/>
              <w:snapToGrid w:val="0"/>
              <w:spacing w:line="400" w:lineRule="atLeast"/>
              <w:ind w:left="1191" w:rightChars="67" w:right="161" w:hanging="369"/>
              <w:jc w:val="both"/>
              <w:textAlignment w:val="baseline"/>
              <w:rPr>
                <w:kern w:val="3"/>
                <w:szCs w:val="24"/>
              </w:rPr>
            </w:pPr>
            <w:r w:rsidRPr="00BB3F5B">
              <w:rPr>
                <w:rFonts w:ascii="標楷體" w:eastAsia="標楷體" w:hAnsi="標楷體" w:cs="細明體" w:hint="eastAsia"/>
                <w:kern w:val="3"/>
                <w:szCs w:val="24"/>
              </w:rPr>
              <w:t>(2)</w:t>
            </w:r>
            <w:r w:rsidRPr="00BB3F5B">
              <w:rPr>
                <w:rFonts w:ascii="標楷體" w:eastAsia="標楷體" w:hAnsi="標楷體" w:cs="細明體"/>
                <w:kern w:val="3"/>
                <w:szCs w:val="24"/>
              </w:rPr>
              <w:t>標的證券之收盤價格</w:t>
            </w:r>
            <w:r w:rsidRPr="00BB3F5B">
              <w:rPr>
                <w:rFonts w:ascii="標楷體" w:eastAsia="標楷體" w:hAnsi="標楷體" w:cs="細明體" w:hint="eastAsia"/>
                <w:kern w:val="3"/>
                <w:szCs w:val="24"/>
              </w:rPr>
              <w:t>、</w:t>
            </w:r>
            <w:r w:rsidRPr="00BB3F5B">
              <w:rPr>
                <w:rFonts w:ascii="標楷體" w:eastAsia="標楷體" w:hAnsi="標楷體" w:cs="細明體"/>
                <w:kern w:val="3"/>
                <w:szCs w:val="24"/>
              </w:rPr>
              <w:t>標的指數之收盤指數</w:t>
            </w:r>
            <w:r w:rsidRPr="00BB3F5B">
              <w:rPr>
                <w:rFonts w:ascii="標楷體" w:eastAsia="標楷體" w:hAnsi="標楷體" w:hint="eastAsia"/>
                <w:kern w:val="3"/>
                <w:szCs w:val="24"/>
              </w:rPr>
              <w:t>或標的期貨</w:t>
            </w:r>
            <w:r w:rsidRPr="00BB3F5B">
              <w:rPr>
                <w:rFonts w:ascii="標楷體" w:eastAsia="標楷體" w:hAnsi="標楷體" w:hint="eastAsia"/>
                <w:bCs/>
                <w:kern w:val="3"/>
                <w:szCs w:val="24"/>
              </w:rPr>
              <w:t>於下午一時三十分前一分鐘內成交價之簡單算術平均價</w:t>
            </w:r>
            <w:r w:rsidRPr="00BB3F5B">
              <w:rPr>
                <w:rFonts w:ascii="標楷體" w:eastAsia="標楷體" w:hAnsi="標楷體" w:cs="細明體"/>
                <w:kern w:val="3"/>
                <w:szCs w:val="24"/>
              </w:rPr>
              <w:t>達到上（下）限價格或</w:t>
            </w:r>
            <w:r w:rsidRPr="00BB3F5B">
              <w:rPr>
                <w:rFonts w:ascii="標楷體" w:eastAsia="標楷體" w:hAnsi="標楷體" w:hint="eastAsia"/>
                <w:kern w:val="3"/>
                <w:szCs w:val="24"/>
              </w:rPr>
              <w:t>點</w:t>
            </w:r>
            <w:r w:rsidRPr="00BB3F5B">
              <w:rPr>
                <w:rFonts w:ascii="標楷體" w:eastAsia="標楷體" w:hAnsi="標楷體" w:cs="細明體"/>
                <w:kern w:val="3"/>
                <w:szCs w:val="24"/>
              </w:rPr>
              <w:t>數時，當日視同該權證最後交易日，並於次二營業日到期，一律按該權證最後交易日標的證券之收盤價格</w:t>
            </w:r>
            <w:r w:rsidRPr="00BB3F5B">
              <w:rPr>
                <w:rFonts w:ascii="標楷體" w:eastAsia="標楷體" w:hAnsi="標楷體" w:cs="細明體" w:hint="eastAsia"/>
                <w:kern w:val="3"/>
                <w:szCs w:val="24"/>
              </w:rPr>
              <w:t>、</w:t>
            </w:r>
            <w:r w:rsidRPr="00BB3F5B">
              <w:rPr>
                <w:rFonts w:ascii="標楷體" w:eastAsia="標楷體" w:hAnsi="標楷體" w:cs="細明體"/>
                <w:kern w:val="3"/>
                <w:szCs w:val="24"/>
              </w:rPr>
              <w:t>標的指數之收盤指數</w:t>
            </w:r>
            <w:r w:rsidRPr="00BB3F5B">
              <w:rPr>
                <w:rFonts w:ascii="標楷體" w:eastAsia="標楷體" w:hAnsi="標楷體" w:hint="eastAsia"/>
                <w:kern w:val="3"/>
                <w:szCs w:val="24"/>
              </w:rPr>
              <w:t>或標的期貨</w:t>
            </w:r>
            <w:r w:rsidRPr="00BB3F5B">
              <w:rPr>
                <w:rFonts w:ascii="標楷體" w:eastAsia="標楷體" w:hAnsi="標楷體" w:hint="eastAsia"/>
                <w:bCs/>
                <w:kern w:val="3"/>
                <w:szCs w:val="24"/>
              </w:rPr>
              <w:t>下午一時三十分前一分鐘內成交價之簡單算術平均價</w:t>
            </w:r>
            <w:proofErr w:type="gramStart"/>
            <w:r w:rsidRPr="00BB3F5B">
              <w:rPr>
                <w:rFonts w:ascii="標楷體" w:eastAsia="標楷體" w:hAnsi="標楷體" w:cs="細明體"/>
                <w:kern w:val="3"/>
                <w:szCs w:val="24"/>
              </w:rPr>
              <w:t>採</w:t>
            </w:r>
            <w:proofErr w:type="gramEnd"/>
            <w:r w:rsidRPr="00BB3F5B">
              <w:rPr>
                <w:rFonts w:ascii="標楷體" w:eastAsia="標楷體" w:hAnsi="標楷體" w:cs="細明體"/>
                <w:kern w:val="3"/>
                <w:szCs w:val="24"/>
              </w:rPr>
              <w:t>自動現金結算</w:t>
            </w:r>
            <w:r w:rsidRPr="00BB3F5B">
              <w:rPr>
                <w:rFonts w:ascii="標楷體" w:eastAsia="標楷體" w:hAnsi="標楷體"/>
                <w:kern w:val="3"/>
                <w:szCs w:val="24"/>
              </w:rPr>
              <w:t>。</w:t>
            </w:r>
          </w:p>
          <w:p w14:paraId="266859CA" w14:textId="77777777" w:rsidR="003E4552" w:rsidRPr="00BB3F5B" w:rsidRDefault="003E4552" w:rsidP="0014616B">
            <w:pPr>
              <w:autoSpaceDE w:val="0"/>
              <w:snapToGrid w:val="0"/>
              <w:spacing w:line="400" w:lineRule="atLeast"/>
              <w:ind w:left="907" w:right="147" w:hanging="227"/>
              <w:jc w:val="both"/>
              <w:rPr>
                <w:szCs w:val="24"/>
              </w:rPr>
            </w:pPr>
            <w:r w:rsidRPr="00BB3F5B">
              <w:rPr>
                <w:rFonts w:ascii="標楷體" w:eastAsia="標楷體" w:hAnsi="標楷體"/>
                <w:szCs w:val="24"/>
              </w:rPr>
              <w:t>2.發行下限型認購權證（牛證）或</w:t>
            </w:r>
            <w:proofErr w:type="gramStart"/>
            <w:r w:rsidRPr="00BB3F5B">
              <w:rPr>
                <w:rFonts w:ascii="標楷體" w:eastAsia="標楷體" w:hAnsi="標楷體"/>
                <w:szCs w:val="24"/>
              </w:rPr>
              <w:t>上限型認售</w:t>
            </w:r>
            <w:proofErr w:type="gramEnd"/>
            <w:r w:rsidRPr="00BB3F5B">
              <w:rPr>
                <w:rFonts w:ascii="標楷體" w:eastAsia="標楷體" w:hAnsi="標楷體"/>
                <w:szCs w:val="24"/>
              </w:rPr>
              <w:t>權證（熊證）</w:t>
            </w:r>
            <w:r w:rsidRPr="00BB3F5B">
              <w:rPr>
                <w:rFonts w:ascii="標楷體" w:eastAsia="標楷體" w:hAnsi="標楷體" w:cs="細明體"/>
                <w:kern w:val="0"/>
                <w:szCs w:val="24"/>
              </w:rPr>
              <w:t>暨可展延</w:t>
            </w:r>
            <w:r w:rsidRPr="00BB3F5B">
              <w:rPr>
                <w:rFonts w:ascii="標楷體" w:eastAsia="標楷體" w:hAnsi="標楷體" w:cs="細明體"/>
                <w:szCs w:val="24"/>
              </w:rPr>
              <w:t>存續期間者：</w:t>
            </w:r>
            <w:r w:rsidRPr="00BB3F5B">
              <w:rPr>
                <w:rFonts w:ascii="標楷體" w:eastAsia="標楷體" w:hAnsi="標楷體"/>
                <w:szCs w:val="24"/>
              </w:rPr>
              <w:t xml:space="preserve"> </w:t>
            </w:r>
          </w:p>
          <w:p w14:paraId="0C4968D6" w14:textId="77777777" w:rsidR="003E4552" w:rsidRPr="00BB3F5B" w:rsidRDefault="003E4552" w:rsidP="0014616B">
            <w:pPr>
              <w:suppressAutoHyphens/>
              <w:autoSpaceDN w:val="0"/>
              <w:snapToGrid w:val="0"/>
              <w:spacing w:line="400" w:lineRule="atLeast"/>
              <w:ind w:left="1246" w:right="148" w:hanging="425"/>
              <w:jc w:val="both"/>
              <w:textAlignment w:val="baseline"/>
              <w:rPr>
                <w:kern w:val="3"/>
                <w:szCs w:val="24"/>
              </w:rPr>
            </w:pPr>
            <w:r w:rsidRPr="00BB3F5B">
              <w:rPr>
                <w:rFonts w:ascii="標楷體" w:eastAsia="標楷體" w:hAnsi="標楷體" w:cs="細明體" w:hint="eastAsia"/>
                <w:kern w:val="3"/>
                <w:szCs w:val="24"/>
              </w:rPr>
              <w:t>(1)</w:t>
            </w:r>
            <w:r w:rsidRPr="00BB3F5B">
              <w:rPr>
                <w:rFonts w:ascii="標楷體" w:eastAsia="標楷體" w:hAnsi="標楷體"/>
                <w:kern w:val="3"/>
                <w:szCs w:val="24"/>
              </w:rPr>
              <w:t>下（上）</w:t>
            </w:r>
            <w:r w:rsidRPr="00BB3F5B">
              <w:rPr>
                <w:rFonts w:ascii="標楷體" w:eastAsia="標楷體" w:hAnsi="標楷體" w:cs="細明體"/>
                <w:kern w:val="3"/>
                <w:szCs w:val="24"/>
              </w:rPr>
              <w:t>限之價格或</w:t>
            </w:r>
            <w:r w:rsidRPr="00BB3F5B">
              <w:rPr>
                <w:rFonts w:ascii="標楷體" w:eastAsia="標楷體" w:hAnsi="標楷體" w:hint="eastAsia"/>
                <w:kern w:val="3"/>
                <w:szCs w:val="24"/>
              </w:rPr>
              <w:t>點</w:t>
            </w:r>
            <w:r w:rsidRPr="00BB3F5B">
              <w:rPr>
                <w:rFonts w:ascii="標楷體" w:eastAsia="標楷體" w:hAnsi="標楷體" w:cs="細明體"/>
                <w:kern w:val="3"/>
                <w:szCs w:val="24"/>
              </w:rPr>
              <w:t>數</w:t>
            </w:r>
          </w:p>
          <w:p w14:paraId="77479409" w14:textId="77777777" w:rsidR="003E4552" w:rsidRPr="00BB3F5B" w:rsidRDefault="003E4552" w:rsidP="0014616B">
            <w:pPr>
              <w:suppressAutoHyphens/>
              <w:autoSpaceDN w:val="0"/>
              <w:snapToGrid w:val="0"/>
              <w:spacing w:line="400" w:lineRule="atLeast"/>
              <w:ind w:left="1191" w:rightChars="67" w:right="161" w:hanging="369"/>
              <w:jc w:val="both"/>
              <w:textAlignment w:val="baseline"/>
              <w:rPr>
                <w:kern w:val="3"/>
                <w:szCs w:val="24"/>
              </w:rPr>
            </w:pPr>
            <w:r w:rsidRPr="00BB3F5B">
              <w:rPr>
                <w:rFonts w:ascii="標楷體" w:eastAsia="標楷體" w:hAnsi="標楷體" w:cs="細明體" w:hint="eastAsia"/>
                <w:kern w:val="3"/>
                <w:szCs w:val="24"/>
              </w:rPr>
              <w:t>(2)</w:t>
            </w:r>
            <w:r w:rsidRPr="00BB3F5B">
              <w:rPr>
                <w:rFonts w:ascii="標楷體" w:eastAsia="標楷體" w:hAnsi="標楷體"/>
                <w:kern w:val="3"/>
                <w:szCs w:val="24"/>
              </w:rPr>
              <w:t>標的證券之收盤價格</w:t>
            </w:r>
            <w:r w:rsidRPr="00BB3F5B">
              <w:rPr>
                <w:rFonts w:ascii="標楷體" w:eastAsia="標楷體" w:hAnsi="標楷體" w:hint="eastAsia"/>
                <w:kern w:val="3"/>
                <w:szCs w:val="24"/>
              </w:rPr>
              <w:t>、</w:t>
            </w:r>
            <w:r w:rsidRPr="00BB3F5B">
              <w:rPr>
                <w:rFonts w:ascii="標楷體" w:eastAsia="標楷體" w:hAnsi="標楷體"/>
                <w:kern w:val="3"/>
                <w:szCs w:val="24"/>
              </w:rPr>
              <w:t>標的指數之收盤指數</w:t>
            </w:r>
            <w:r w:rsidRPr="00BB3F5B">
              <w:rPr>
                <w:rFonts w:ascii="標楷體" w:eastAsia="標楷體" w:hAnsi="標楷體" w:hint="eastAsia"/>
                <w:kern w:val="3"/>
                <w:szCs w:val="24"/>
              </w:rPr>
              <w:t>或標的期貨</w:t>
            </w:r>
            <w:r w:rsidRPr="00BB3F5B">
              <w:rPr>
                <w:rFonts w:ascii="標楷體" w:eastAsia="標楷體" w:hAnsi="標楷體" w:hint="eastAsia"/>
                <w:bCs/>
                <w:kern w:val="3"/>
                <w:szCs w:val="24"/>
              </w:rPr>
              <w:t>於下午一時三十分前一分鐘內成交價之簡單算術平均價</w:t>
            </w:r>
            <w:r w:rsidRPr="00BB3F5B">
              <w:rPr>
                <w:rFonts w:ascii="標楷體" w:eastAsia="標楷體" w:hAnsi="標楷體"/>
                <w:kern w:val="3"/>
                <w:szCs w:val="24"/>
              </w:rPr>
              <w:t>達到下（上）限價格或</w:t>
            </w:r>
            <w:r w:rsidRPr="00BB3F5B">
              <w:rPr>
                <w:rFonts w:ascii="標楷體" w:eastAsia="標楷體" w:hAnsi="標楷體" w:hint="eastAsia"/>
                <w:kern w:val="3"/>
                <w:szCs w:val="24"/>
              </w:rPr>
              <w:t>點</w:t>
            </w:r>
            <w:r w:rsidRPr="00BB3F5B">
              <w:rPr>
                <w:rFonts w:ascii="標楷體" w:eastAsia="標楷體" w:hAnsi="標楷體"/>
                <w:kern w:val="3"/>
                <w:szCs w:val="24"/>
              </w:rPr>
              <w:t>數時，當日視同該權證最後交易日，並於次二營業日到期，一律按該權證最後交易日之次一營業日標的證券</w:t>
            </w:r>
            <w:r w:rsidRPr="00BB3F5B">
              <w:rPr>
                <w:rFonts w:ascii="標楷體" w:eastAsia="標楷體" w:hAnsi="標楷體" w:cs="細明體"/>
                <w:kern w:val="3"/>
                <w:szCs w:val="24"/>
              </w:rPr>
              <w:t>成交價格之簡單算</w:t>
            </w:r>
            <w:r w:rsidRPr="00BB3F5B">
              <w:rPr>
                <w:rFonts w:ascii="標楷體" w:eastAsia="標楷體" w:hAnsi="標楷體" w:cs="細明體" w:hint="eastAsia"/>
                <w:kern w:val="3"/>
                <w:szCs w:val="24"/>
              </w:rPr>
              <w:t>術</w:t>
            </w:r>
            <w:r w:rsidRPr="00BB3F5B">
              <w:rPr>
                <w:rFonts w:ascii="標楷體" w:eastAsia="標楷體" w:hAnsi="標楷體" w:cs="細明體"/>
                <w:kern w:val="3"/>
                <w:szCs w:val="24"/>
              </w:rPr>
              <w:t>平均價</w:t>
            </w:r>
            <w:r w:rsidRPr="00BB3F5B">
              <w:rPr>
                <w:rFonts w:ascii="標楷體" w:eastAsia="標楷體" w:hAnsi="標楷體" w:cs="細明體" w:hint="eastAsia"/>
                <w:kern w:val="3"/>
                <w:szCs w:val="24"/>
              </w:rPr>
              <w:t>、</w:t>
            </w:r>
            <w:r w:rsidRPr="00BB3F5B">
              <w:rPr>
                <w:rFonts w:ascii="標楷體" w:eastAsia="標楷體" w:hAnsi="標楷體" w:cs="細明體"/>
                <w:kern w:val="3"/>
                <w:szCs w:val="24"/>
              </w:rPr>
              <w:t>標的結算指數</w:t>
            </w:r>
            <w:r w:rsidRPr="00BB3F5B">
              <w:rPr>
                <w:rFonts w:ascii="標楷體" w:eastAsia="標楷體" w:hAnsi="標楷體" w:cs="細明體" w:hint="eastAsia"/>
                <w:kern w:val="3"/>
                <w:szCs w:val="24"/>
              </w:rPr>
              <w:t>或標的期貨結算價格</w:t>
            </w:r>
            <w:proofErr w:type="gramStart"/>
            <w:r w:rsidRPr="00BB3F5B">
              <w:rPr>
                <w:rFonts w:ascii="標楷體" w:eastAsia="標楷體" w:hAnsi="標楷體" w:cs="細明體"/>
                <w:kern w:val="3"/>
                <w:szCs w:val="24"/>
              </w:rPr>
              <w:t>採</w:t>
            </w:r>
            <w:proofErr w:type="gramEnd"/>
            <w:r w:rsidRPr="00BB3F5B">
              <w:rPr>
                <w:rFonts w:ascii="標楷體" w:eastAsia="標楷體" w:hAnsi="標楷體" w:cs="細明體"/>
                <w:kern w:val="3"/>
                <w:szCs w:val="24"/>
              </w:rPr>
              <w:t>自動現金結算；如標的證券無成交價格，則按</w:t>
            </w:r>
            <w:r w:rsidRPr="00BB3F5B">
              <w:rPr>
                <w:rFonts w:ascii="標楷體" w:eastAsia="標楷體" w:hAnsi="標楷體"/>
                <w:kern w:val="3"/>
                <w:szCs w:val="24"/>
              </w:rPr>
              <w:t>該權證</w:t>
            </w:r>
            <w:r w:rsidRPr="00BB3F5B">
              <w:rPr>
                <w:rFonts w:ascii="標楷體" w:eastAsia="標楷體" w:hAnsi="標楷體" w:cs="細明體"/>
                <w:kern w:val="3"/>
                <w:szCs w:val="24"/>
              </w:rPr>
              <w:t>到期日</w:t>
            </w:r>
            <w:r w:rsidRPr="00BB3F5B">
              <w:rPr>
                <w:rFonts w:ascii="標楷體" w:eastAsia="標楷體" w:hAnsi="標楷體"/>
                <w:kern w:val="3"/>
                <w:szCs w:val="24"/>
              </w:rPr>
              <w:t>標的證券</w:t>
            </w:r>
            <w:r w:rsidRPr="00BB3F5B">
              <w:rPr>
                <w:rFonts w:ascii="標楷體" w:eastAsia="標楷體" w:hAnsi="標楷體" w:cs="細明體"/>
                <w:kern w:val="3"/>
                <w:szCs w:val="24"/>
              </w:rPr>
              <w:t>開盤競價基準計算；如</w:t>
            </w:r>
            <w:r w:rsidRPr="00BB3F5B">
              <w:rPr>
                <w:rFonts w:ascii="標楷體" w:eastAsia="標楷體" w:hAnsi="標楷體"/>
                <w:kern w:val="3"/>
                <w:szCs w:val="24"/>
              </w:rPr>
              <w:t>該權證最後交易日之次一營業日及</w:t>
            </w:r>
            <w:r w:rsidRPr="00BB3F5B">
              <w:rPr>
                <w:rFonts w:ascii="標楷體" w:eastAsia="標楷體" w:hAnsi="標楷體" w:cs="細明體"/>
                <w:kern w:val="3"/>
                <w:szCs w:val="24"/>
              </w:rPr>
              <w:t>到期日</w:t>
            </w:r>
            <w:r w:rsidRPr="00BB3F5B">
              <w:rPr>
                <w:rFonts w:ascii="標楷體" w:eastAsia="標楷體" w:hAnsi="標楷體"/>
                <w:kern w:val="3"/>
                <w:szCs w:val="24"/>
              </w:rPr>
              <w:t>標的證券</w:t>
            </w:r>
            <w:r w:rsidRPr="00BB3F5B">
              <w:rPr>
                <w:rFonts w:ascii="標楷體" w:eastAsia="標楷體" w:hAnsi="標楷體" w:hint="eastAsia"/>
                <w:kern w:val="3"/>
                <w:szCs w:val="24"/>
              </w:rPr>
              <w:t>或標的期貨</w:t>
            </w:r>
            <w:r w:rsidRPr="00BB3F5B">
              <w:rPr>
                <w:rFonts w:ascii="標楷體" w:eastAsia="標楷體" w:hAnsi="標楷體"/>
                <w:kern w:val="3"/>
                <w:szCs w:val="24"/>
              </w:rPr>
              <w:t>暫停交易或停止買賣</w:t>
            </w:r>
            <w:r w:rsidRPr="00BB3F5B">
              <w:rPr>
                <w:rFonts w:ascii="標楷體" w:eastAsia="標楷體" w:hAnsi="標楷體" w:cs="細明體"/>
                <w:kern w:val="3"/>
                <w:szCs w:val="24"/>
              </w:rPr>
              <w:t>，則按</w:t>
            </w:r>
            <w:r w:rsidRPr="00BB3F5B">
              <w:rPr>
                <w:rFonts w:ascii="標楷體" w:eastAsia="標楷體" w:hAnsi="標楷體"/>
                <w:kern w:val="3"/>
                <w:szCs w:val="24"/>
              </w:rPr>
              <w:t>該權證最後交易日標的證券之收盤價格</w:t>
            </w:r>
            <w:r w:rsidRPr="00BB3F5B">
              <w:rPr>
                <w:rFonts w:ascii="標楷體" w:eastAsia="標楷體" w:hAnsi="標楷體" w:hint="eastAsia"/>
                <w:kern w:val="3"/>
                <w:szCs w:val="24"/>
              </w:rPr>
              <w:t>或標的期貨之每日結算價</w:t>
            </w:r>
            <w:r w:rsidRPr="00BB3F5B">
              <w:rPr>
                <w:rFonts w:ascii="標楷體" w:eastAsia="標楷體" w:hAnsi="標楷體" w:cs="細明體"/>
                <w:kern w:val="3"/>
                <w:szCs w:val="24"/>
              </w:rPr>
              <w:t>計算</w:t>
            </w:r>
            <w:r w:rsidRPr="00BB3F5B">
              <w:rPr>
                <w:rFonts w:ascii="標楷體" w:eastAsia="標楷體" w:hAnsi="標楷體"/>
                <w:kern w:val="3"/>
                <w:szCs w:val="24"/>
              </w:rPr>
              <w:t>。</w:t>
            </w:r>
            <w:proofErr w:type="gramStart"/>
            <w:r w:rsidRPr="00BB3F5B">
              <w:rPr>
                <w:rFonts w:ascii="標楷體" w:eastAsia="標楷體" w:hAnsi="標楷體" w:cs="細明體"/>
                <w:kern w:val="0"/>
                <w:szCs w:val="24"/>
              </w:rPr>
              <w:t>前揭標的</w:t>
            </w:r>
            <w:proofErr w:type="gramEnd"/>
            <w:r w:rsidRPr="00BB3F5B">
              <w:rPr>
                <w:rFonts w:ascii="標楷體" w:eastAsia="標楷體" w:hAnsi="標楷體" w:cs="細明體"/>
                <w:kern w:val="0"/>
                <w:szCs w:val="24"/>
              </w:rPr>
              <w:t>結算指數</w:t>
            </w:r>
            <w:r w:rsidRPr="00BB3F5B">
              <w:rPr>
                <w:rFonts w:ascii="標楷體" w:eastAsia="標楷體" w:hAnsi="標楷體" w:cs="細明體" w:hint="eastAsia"/>
                <w:kern w:val="0"/>
                <w:szCs w:val="24"/>
              </w:rPr>
              <w:t>及</w:t>
            </w:r>
            <w:r w:rsidRPr="00BB3F5B">
              <w:rPr>
                <w:rFonts w:ascii="標楷體" w:eastAsia="標楷體" w:hAnsi="標楷體" w:cs="細明體" w:hint="eastAsia"/>
                <w:kern w:val="3"/>
                <w:szCs w:val="24"/>
              </w:rPr>
              <w:t>標的期貨結算價格</w:t>
            </w:r>
            <w:r w:rsidRPr="00BB3F5B">
              <w:rPr>
                <w:rFonts w:ascii="標楷體" w:eastAsia="標楷體" w:hAnsi="標楷體" w:hint="eastAsia"/>
                <w:kern w:val="3"/>
                <w:szCs w:val="24"/>
              </w:rPr>
              <w:t>及每日結算價</w:t>
            </w:r>
            <w:r w:rsidRPr="00BB3F5B">
              <w:rPr>
                <w:rFonts w:ascii="標楷體" w:eastAsia="標楷體" w:hAnsi="標楷體" w:cs="細明體"/>
                <w:kern w:val="0"/>
                <w:szCs w:val="24"/>
              </w:rPr>
              <w:t>，</w:t>
            </w:r>
            <w:r w:rsidRPr="00BB3F5B">
              <w:rPr>
                <w:rFonts w:ascii="標楷體" w:eastAsia="標楷體" w:hAnsi="標楷體"/>
                <w:kern w:val="3"/>
                <w:szCs w:val="24"/>
              </w:rPr>
              <w:t>應依本公司認購（售）權證上市審查準則第十</w:t>
            </w:r>
            <w:r w:rsidRPr="00BB3F5B">
              <w:rPr>
                <w:rFonts w:ascii="標楷體" w:eastAsia="標楷體" w:hAnsi="標楷體" w:hint="eastAsia"/>
                <w:kern w:val="3"/>
                <w:szCs w:val="24"/>
              </w:rPr>
              <w:t>一</w:t>
            </w:r>
            <w:r w:rsidRPr="00BB3F5B">
              <w:rPr>
                <w:rFonts w:ascii="標楷體" w:eastAsia="標楷體" w:hAnsi="標楷體"/>
                <w:kern w:val="3"/>
                <w:szCs w:val="24"/>
              </w:rPr>
              <w:t>條第六款</w:t>
            </w:r>
            <w:r w:rsidRPr="00BB3F5B">
              <w:rPr>
                <w:rFonts w:ascii="標楷體" w:eastAsia="標楷體" w:hAnsi="標楷體" w:hint="eastAsia"/>
                <w:kern w:val="3"/>
                <w:szCs w:val="24"/>
              </w:rPr>
              <w:t>、第七款及第八款第七目</w:t>
            </w:r>
            <w:r w:rsidRPr="00BB3F5B">
              <w:rPr>
                <w:rFonts w:ascii="標楷體" w:eastAsia="標楷體" w:hAnsi="標楷體"/>
                <w:kern w:val="3"/>
                <w:szCs w:val="24"/>
              </w:rPr>
              <w:t>之規定</w:t>
            </w:r>
            <w:r w:rsidRPr="00BB3F5B">
              <w:rPr>
                <w:rFonts w:ascii="標楷體" w:eastAsia="標楷體" w:hAnsi="標楷體" w:hint="eastAsia"/>
                <w:kern w:val="3"/>
                <w:szCs w:val="24"/>
              </w:rPr>
              <w:t>辦理</w:t>
            </w:r>
            <w:r w:rsidRPr="00BB3F5B">
              <w:rPr>
                <w:rFonts w:ascii="標楷體" w:eastAsia="標楷體" w:hAnsi="標楷體"/>
                <w:kern w:val="3"/>
                <w:szCs w:val="24"/>
              </w:rPr>
              <w:t>。</w:t>
            </w:r>
          </w:p>
          <w:p w14:paraId="10070340" w14:textId="77777777" w:rsidR="003E4552" w:rsidRPr="00BB3F5B" w:rsidRDefault="003E4552" w:rsidP="003E4552">
            <w:pPr>
              <w:numPr>
                <w:ilvl w:val="0"/>
                <w:numId w:val="51"/>
              </w:numPr>
              <w:tabs>
                <w:tab w:val="left" w:pos="-1440"/>
                <w:tab w:val="left" w:pos="-480"/>
              </w:tabs>
              <w:suppressAutoHyphens/>
              <w:autoSpaceDE w:val="0"/>
              <w:autoSpaceDN w:val="0"/>
              <w:snapToGrid w:val="0"/>
              <w:spacing w:line="400" w:lineRule="atLeast"/>
              <w:ind w:left="679" w:right="148"/>
              <w:jc w:val="both"/>
              <w:textAlignment w:val="baseline"/>
              <w:rPr>
                <w:szCs w:val="24"/>
              </w:rPr>
            </w:pPr>
            <w:r w:rsidRPr="00BB3F5B">
              <w:rPr>
                <w:rFonts w:ascii="標楷體" w:eastAsia="標楷體" w:hAnsi="標楷體" w:cs="細明體"/>
                <w:szCs w:val="24"/>
              </w:rPr>
              <w:lastRenderedPageBreak/>
              <w:t>發行</w:t>
            </w:r>
            <w:r w:rsidRPr="00BB3F5B">
              <w:rPr>
                <w:rFonts w:ascii="標楷體" w:eastAsia="標楷體" w:hAnsi="標楷體"/>
                <w:szCs w:val="24"/>
              </w:rPr>
              <w:t>可展延</w:t>
            </w:r>
            <w:r w:rsidRPr="00BB3F5B">
              <w:rPr>
                <w:rFonts w:ascii="標楷體" w:eastAsia="標楷體" w:hAnsi="標楷體" w:cs="細明體"/>
                <w:szCs w:val="24"/>
              </w:rPr>
              <w:t>下限型認購權證（牛證）或</w:t>
            </w:r>
            <w:proofErr w:type="gramStart"/>
            <w:r w:rsidRPr="00BB3F5B">
              <w:rPr>
                <w:rFonts w:ascii="標楷體" w:eastAsia="標楷體" w:hAnsi="標楷體" w:cs="細明體"/>
                <w:szCs w:val="24"/>
              </w:rPr>
              <w:t>上限型認售</w:t>
            </w:r>
            <w:proofErr w:type="gramEnd"/>
            <w:r w:rsidRPr="00BB3F5B">
              <w:rPr>
                <w:rFonts w:ascii="標楷體" w:eastAsia="標楷體" w:hAnsi="標楷體" w:cs="細明體"/>
                <w:szCs w:val="24"/>
              </w:rPr>
              <w:t>權證（熊證），是否載明</w:t>
            </w:r>
            <w:r w:rsidRPr="00BB3F5B">
              <w:rPr>
                <w:rFonts w:ascii="標楷體" w:eastAsia="標楷體" w:hAnsi="標楷體"/>
                <w:szCs w:val="24"/>
              </w:rPr>
              <w:t>於權證最後交易日時，其</w:t>
            </w:r>
            <w:r w:rsidRPr="00BB3F5B">
              <w:rPr>
                <w:rFonts w:ascii="標楷體" w:eastAsia="標楷體" w:hAnsi="標楷體" w:cs="細明體"/>
                <w:szCs w:val="24"/>
              </w:rPr>
              <w:t>下限價格或</w:t>
            </w:r>
            <w:r w:rsidRPr="00BB3F5B">
              <w:rPr>
                <w:rFonts w:ascii="標楷體" w:eastAsia="標楷體" w:hAnsi="標楷體" w:hint="eastAsia"/>
                <w:szCs w:val="24"/>
              </w:rPr>
              <w:t>點</w:t>
            </w:r>
            <w:r w:rsidRPr="00BB3F5B">
              <w:rPr>
                <w:rFonts w:ascii="標楷體" w:eastAsia="標楷體" w:hAnsi="標楷體" w:cs="細明體"/>
                <w:szCs w:val="24"/>
              </w:rPr>
              <w:t>數達標的證券收盤價格或標的指數收盤指數之百分之八十（含）以下</w:t>
            </w:r>
            <w:r w:rsidRPr="00BB3F5B">
              <w:rPr>
                <w:rFonts w:ascii="標楷體" w:eastAsia="標楷體" w:hAnsi="標楷體" w:cs="細明體" w:hint="eastAsia"/>
                <w:szCs w:val="24"/>
              </w:rPr>
              <w:t>，</w:t>
            </w:r>
            <w:r w:rsidRPr="00BB3F5B">
              <w:rPr>
                <w:rFonts w:ascii="標楷體" w:eastAsia="標楷體" w:hAnsi="標楷體" w:cs="細明體"/>
                <w:szCs w:val="24"/>
              </w:rPr>
              <w:t>或上限價格或</w:t>
            </w:r>
            <w:r w:rsidRPr="00BB3F5B">
              <w:rPr>
                <w:rFonts w:ascii="標楷體" w:eastAsia="標楷體" w:hAnsi="標楷體" w:hint="eastAsia"/>
                <w:szCs w:val="24"/>
              </w:rPr>
              <w:t>點</w:t>
            </w:r>
            <w:r w:rsidRPr="00BB3F5B">
              <w:rPr>
                <w:rFonts w:ascii="標楷體" w:eastAsia="標楷體" w:hAnsi="標楷體" w:cs="細明體"/>
                <w:szCs w:val="24"/>
              </w:rPr>
              <w:t>數達標的證券收盤價格或標的指數收盤指數之百分之一百二十（含）以上，應展延權證存續期間</w:t>
            </w:r>
            <w:r w:rsidRPr="00BB3F5B">
              <w:rPr>
                <w:rFonts w:ascii="標楷體" w:eastAsia="標楷體" w:hAnsi="標楷體" w:cs="新細明體"/>
                <w:szCs w:val="24"/>
              </w:rPr>
              <w:t>。</w:t>
            </w:r>
          </w:p>
          <w:p w14:paraId="781469F7" w14:textId="77777777" w:rsidR="003E4552" w:rsidRPr="00BB3F5B" w:rsidRDefault="003E4552" w:rsidP="003E4552">
            <w:pPr>
              <w:numPr>
                <w:ilvl w:val="0"/>
                <w:numId w:val="51"/>
              </w:numPr>
              <w:tabs>
                <w:tab w:val="left" w:pos="-1440"/>
                <w:tab w:val="left" w:pos="-480"/>
              </w:tabs>
              <w:suppressAutoHyphens/>
              <w:autoSpaceDE w:val="0"/>
              <w:autoSpaceDN w:val="0"/>
              <w:snapToGrid w:val="0"/>
              <w:spacing w:line="400" w:lineRule="atLeast"/>
              <w:ind w:left="679" w:right="148"/>
              <w:jc w:val="both"/>
              <w:textAlignment w:val="baseline"/>
              <w:rPr>
                <w:szCs w:val="24"/>
              </w:rPr>
            </w:pPr>
            <w:r w:rsidRPr="00BB3F5B">
              <w:rPr>
                <w:rFonts w:ascii="標楷體" w:eastAsia="標楷體" w:hAnsi="標楷體" w:cs="細明體"/>
                <w:szCs w:val="24"/>
              </w:rPr>
              <w:t>發行</w:t>
            </w:r>
            <w:r w:rsidRPr="00BB3F5B">
              <w:rPr>
                <w:rFonts w:ascii="標楷體" w:eastAsia="標楷體" w:hAnsi="標楷體"/>
                <w:szCs w:val="24"/>
              </w:rPr>
              <w:t>可展延</w:t>
            </w:r>
            <w:r w:rsidRPr="00BB3F5B">
              <w:rPr>
                <w:rFonts w:ascii="標楷體" w:eastAsia="標楷體" w:hAnsi="標楷體" w:cs="細明體"/>
                <w:szCs w:val="24"/>
              </w:rPr>
              <w:t>下限型認購權證（牛證）或</w:t>
            </w:r>
            <w:proofErr w:type="gramStart"/>
            <w:r w:rsidRPr="00BB3F5B">
              <w:rPr>
                <w:rFonts w:ascii="標楷體" w:eastAsia="標楷體" w:hAnsi="標楷體" w:cs="細明體"/>
                <w:szCs w:val="24"/>
              </w:rPr>
              <w:t>上限型認售</w:t>
            </w:r>
            <w:proofErr w:type="gramEnd"/>
            <w:r w:rsidRPr="00BB3F5B">
              <w:rPr>
                <w:rFonts w:ascii="標楷體" w:eastAsia="標楷體" w:hAnsi="標楷體" w:cs="細明體"/>
                <w:szCs w:val="24"/>
              </w:rPr>
              <w:t>權證（熊證），</w:t>
            </w:r>
            <w:r w:rsidRPr="00BB3F5B">
              <w:rPr>
                <w:rFonts w:ascii="標楷體" w:eastAsia="標楷體" w:hAnsi="標楷體"/>
                <w:szCs w:val="24"/>
              </w:rPr>
              <w:t>是否載明本公司審查認購(售)權證上市作業程序第七條第三款規定展延應辦理事項。</w:t>
            </w:r>
          </w:p>
          <w:p w14:paraId="42322004" w14:textId="77777777" w:rsidR="003E4552" w:rsidRPr="00BB3F5B" w:rsidRDefault="003E4552" w:rsidP="003E4552">
            <w:pPr>
              <w:numPr>
                <w:ilvl w:val="0"/>
                <w:numId w:val="51"/>
              </w:numPr>
              <w:tabs>
                <w:tab w:val="left" w:pos="-1440"/>
                <w:tab w:val="left" w:pos="-480"/>
              </w:tabs>
              <w:suppressAutoHyphens/>
              <w:autoSpaceDE w:val="0"/>
              <w:autoSpaceDN w:val="0"/>
              <w:snapToGrid w:val="0"/>
              <w:spacing w:line="400" w:lineRule="atLeast"/>
              <w:ind w:left="679" w:right="148"/>
              <w:jc w:val="both"/>
              <w:textAlignment w:val="baseline"/>
              <w:rPr>
                <w:szCs w:val="24"/>
              </w:rPr>
            </w:pPr>
            <w:r w:rsidRPr="00BB3F5B">
              <w:rPr>
                <w:rFonts w:ascii="標楷體" w:eastAsia="標楷體" w:hAnsi="標楷體"/>
                <w:szCs w:val="24"/>
              </w:rPr>
              <w:t>請求履約之程序及因履約而收回之認購（售）權證應予註銷之條款。</w:t>
            </w:r>
          </w:p>
          <w:p w14:paraId="180319E3" w14:textId="77777777" w:rsidR="003E4552" w:rsidRPr="00BB3F5B" w:rsidRDefault="003E4552" w:rsidP="0014616B">
            <w:pPr>
              <w:suppressAutoHyphens/>
              <w:autoSpaceDE w:val="0"/>
              <w:autoSpaceDN w:val="0"/>
              <w:snapToGrid w:val="0"/>
              <w:spacing w:line="400" w:lineRule="atLeast"/>
              <w:ind w:left="679" w:right="148"/>
              <w:jc w:val="both"/>
              <w:textAlignment w:val="baseline"/>
              <w:rPr>
                <w:rFonts w:ascii="標楷體" w:eastAsia="標楷體" w:hAnsi="標楷體"/>
                <w:kern w:val="0"/>
                <w:szCs w:val="24"/>
              </w:rPr>
            </w:pPr>
            <w:proofErr w:type="gramStart"/>
            <w:r w:rsidRPr="00BB3F5B">
              <w:rPr>
                <w:rFonts w:ascii="標楷體" w:eastAsia="標楷體" w:hAnsi="標楷體"/>
                <w:kern w:val="0"/>
                <w:szCs w:val="24"/>
              </w:rPr>
              <w:t>（</w:t>
            </w:r>
            <w:proofErr w:type="gramEnd"/>
            <w:r w:rsidRPr="00BB3F5B">
              <w:rPr>
                <w:rFonts w:ascii="標楷體" w:eastAsia="標楷體" w:hAnsi="標楷體"/>
                <w:kern w:val="0"/>
                <w:szCs w:val="24"/>
              </w:rPr>
              <w:t>是否符合營業細則第五十七條之一、五十八條之四及認購</w:t>
            </w:r>
            <w:proofErr w:type="gramStart"/>
            <w:r w:rsidRPr="00BB3F5B">
              <w:rPr>
                <w:rFonts w:ascii="標楷體" w:eastAsia="標楷體" w:hAnsi="標楷體"/>
                <w:kern w:val="0"/>
                <w:szCs w:val="24"/>
              </w:rPr>
              <w:t>（</w:t>
            </w:r>
            <w:proofErr w:type="gramEnd"/>
            <w:r w:rsidRPr="00BB3F5B">
              <w:rPr>
                <w:rFonts w:ascii="標楷體" w:eastAsia="標楷體" w:hAnsi="標楷體"/>
                <w:kern w:val="0"/>
                <w:szCs w:val="24"/>
              </w:rPr>
              <w:t>售</w:t>
            </w:r>
            <w:proofErr w:type="gramStart"/>
            <w:r w:rsidRPr="00BB3F5B">
              <w:rPr>
                <w:rFonts w:ascii="標楷體" w:eastAsia="標楷體" w:hAnsi="標楷體"/>
                <w:kern w:val="0"/>
                <w:szCs w:val="24"/>
              </w:rPr>
              <w:t>）</w:t>
            </w:r>
            <w:proofErr w:type="gramEnd"/>
            <w:r w:rsidRPr="00BB3F5B">
              <w:rPr>
                <w:rFonts w:ascii="標楷體" w:eastAsia="標楷體" w:hAnsi="標楷體"/>
                <w:kern w:val="0"/>
                <w:szCs w:val="24"/>
              </w:rPr>
              <w:t>權證買賣辦法、履約應注意事項有關之規定</w:t>
            </w:r>
            <w:proofErr w:type="gramStart"/>
            <w:r w:rsidRPr="00BB3F5B">
              <w:rPr>
                <w:rFonts w:ascii="標楷體" w:eastAsia="標楷體" w:hAnsi="標楷體"/>
                <w:kern w:val="0"/>
                <w:szCs w:val="24"/>
              </w:rPr>
              <w:t>）</w:t>
            </w:r>
            <w:proofErr w:type="gramEnd"/>
          </w:p>
          <w:p w14:paraId="4A04EA89" w14:textId="77777777" w:rsidR="003E4552" w:rsidRPr="00BB3F5B" w:rsidRDefault="003E4552" w:rsidP="003E4552">
            <w:pPr>
              <w:numPr>
                <w:ilvl w:val="0"/>
                <w:numId w:val="51"/>
              </w:numPr>
              <w:tabs>
                <w:tab w:val="left" w:pos="-1440"/>
                <w:tab w:val="left" w:pos="-480"/>
              </w:tabs>
              <w:suppressAutoHyphens/>
              <w:autoSpaceDE w:val="0"/>
              <w:autoSpaceDN w:val="0"/>
              <w:snapToGrid w:val="0"/>
              <w:spacing w:line="400" w:lineRule="atLeast"/>
              <w:ind w:left="679" w:right="148"/>
              <w:jc w:val="both"/>
              <w:textAlignment w:val="baseline"/>
              <w:rPr>
                <w:szCs w:val="24"/>
              </w:rPr>
            </w:pPr>
            <w:r w:rsidRPr="00BB3F5B">
              <w:rPr>
                <w:rFonts w:ascii="標楷體" w:eastAsia="標楷體" w:hAnsi="標楷體"/>
                <w:szCs w:val="24"/>
              </w:rPr>
              <w:t>預定之風險沖銷策略。</w:t>
            </w:r>
          </w:p>
          <w:p w14:paraId="39A67824" w14:textId="77777777" w:rsidR="003E4552" w:rsidRPr="00BB3F5B" w:rsidRDefault="003E4552" w:rsidP="003E4552">
            <w:pPr>
              <w:numPr>
                <w:ilvl w:val="0"/>
                <w:numId w:val="51"/>
              </w:numPr>
              <w:tabs>
                <w:tab w:val="left" w:pos="-1440"/>
                <w:tab w:val="left" w:pos="-480"/>
              </w:tabs>
              <w:suppressAutoHyphens/>
              <w:autoSpaceDE w:val="0"/>
              <w:autoSpaceDN w:val="0"/>
              <w:snapToGrid w:val="0"/>
              <w:spacing w:line="400" w:lineRule="atLeast"/>
              <w:ind w:left="679" w:right="148"/>
              <w:jc w:val="both"/>
              <w:textAlignment w:val="baseline"/>
              <w:rPr>
                <w:szCs w:val="24"/>
              </w:rPr>
            </w:pPr>
            <w:r w:rsidRPr="00BB3F5B">
              <w:rPr>
                <w:rFonts w:ascii="標楷體" w:eastAsia="標楷體" w:hAnsi="標楷體"/>
                <w:szCs w:val="24"/>
              </w:rPr>
              <w:t>發行價格計算之說明，包括計算使用之標的價格或</w:t>
            </w:r>
            <w:r w:rsidRPr="00BB3F5B">
              <w:rPr>
                <w:rFonts w:ascii="標楷體" w:eastAsia="標楷體" w:hAnsi="標楷體" w:hint="eastAsia"/>
                <w:szCs w:val="24"/>
              </w:rPr>
              <w:t>點</w:t>
            </w:r>
            <w:r w:rsidRPr="00BB3F5B">
              <w:rPr>
                <w:rFonts w:ascii="標楷體" w:eastAsia="標楷體" w:hAnsi="標楷體"/>
                <w:szCs w:val="24"/>
              </w:rPr>
              <w:t>數、履約價格或</w:t>
            </w:r>
            <w:r w:rsidRPr="00BB3F5B">
              <w:rPr>
                <w:rFonts w:ascii="標楷體" w:eastAsia="標楷體" w:hAnsi="標楷體" w:hint="eastAsia"/>
                <w:szCs w:val="24"/>
              </w:rPr>
              <w:t>點</w:t>
            </w:r>
            <w:r w:rsidRPr="00BB3F5B">
              <w:rPr>
                <w:rFonts w:ascii="標楷體" w:eastAsia="標楷體" w:hAnsi="標楷體"/>
                <w:szCs w:val="24"/>
              </w:rPr>
              <w:t>數、存續</w:t>
            </w:r>
            <w:proofErr w:type="gramStart"/>
            <w:r w:rsidRPr="00BB3F5B">
              <w:rPr>
                <w:rFonts w:ascii="標楷體" w:eastAsia="標楷體" w:hAnsi="標楷體"/>
                <w:szCs w:val="24"/>
              </w:rPr>
              <w:t>期間、</w:t>
            </w:r>
            <w:proofErr w:type="gramEnd"/>
            <w:r w:rsidRPr="00BB3F5B">
              <w:rPr>
                <w:rFonts w:ascii="標楷體" w:eastAsia="標楷體" w:hAnsi="標楷體"/>
                <w:szCs w:val="24"/>
              </w:rPr>
              <w:t>利率、波動率及其他參考因素，並與一年來以同一標的之權證列表比較。</w:t>
            </w:r>
            <w:r w:rsidRPr="00BB3F5B">
              <w:rPr>
                <w:rFonts w:ascii="標楷體" w:eastAsia="標楷體" w:hAnsi="標楷體" w:cs="新細明體"/>
                <w:kern w:val="0"/>
                <w:szCs w:val="24"/>
              </w:rPr>
              <w:t>如係發行</w:t>
            </w:r>
            <w:r w:rsidRPr="00BB3F5B">
              <w:rPr>
                <w:rFonts w:ascii="標楷體" w:eastAsia="標楷體" w:hAnsi="標楷體" w:cs="細明體"/>
                <w:kern w:val="0"/>
                <w:szCs w:val="24"/>
              </w:rPr>
              <w:t>下限型認購權證</w:t>
            </w:r>
            <w:r w:rsidRPr="00BB3F5B">
              <w:rPr>
                <w:rFonts w:ascii="標楷體" w:eastAsia="標楷體" w:hAnsi="標楷體"/>
                <w:szCs w:val="24"/>
              </w:rPr>
              <w:t>（牛證）</w:t>
            </w:r>
            <w:r w:rsidRPr="00BB3F5B">
              <w:rPr>
                <w:rFonts w:ascii="標楷體" w:eastAsia="標楷體" w:hAnsi="標楷體" w:cs="細明體"/>
                <w:kern w:val="0"/>
                <w:szCs w:val="24"/>
              </w:rPr>
              <w:t>或</w:t>
            </w:r>
            <w:proofErr w:type="gramStart"/>
            <w:r w:rsidRPr="00BB3F5B">
              <w:rPr>
                <w:rFonts w:ascii="標楷體" w:eastAsia="標楷體" w:hAnsi="標楷體" w:cs="細明體"/>
                <w:kern w:val="0"/>
                <w:szCs w:val="24"/>
              </w:rPr>
              <w:t>上限型認售</w:t>
            </w:r>
            <w:proofErr w:type="gramEnd"/>
            <w:r w:rsidRPr="00BB3F5B">
              <w:rPr>
                <w:rFonts w:ascii="標楷體" w:eastAsia="標楷體" w:hAnsi="標楷體" w:cs="細明體"/>
                <w:kern w:val="0"/>
                <w:szCs w:val="24"/>
              </w:rPr>
              <w:t>權證（熊證）者，其發行價格是否以「標的證券價格</w:t>
            </w:r>
            <w:r w:rsidRPr="00BB3F5B">
              <w:rPr>
                <w:rFonts w:ascii="標楷體" w:eastAsia="標楷體" w:hAnsi="標楷體" w:cs="細明體" w:hint="eastAsia"/>
                <w:kern w:val="0"/>
                <w:szCs w:val="24"/>
              </w:rPr>
              <w:t>、</w:t>
            </w:r>
            <w:r w:rsidRPr="00BB3F5B">
              <w:rPr>
                <w:rFonts w:ascii="標楷體" w:eastAsia="標楷體" w:hAnsi="標楷體" w:cs="細明體"/>
                <w:kern w:val="0"/>
                <w:szCs w:val="24"/>
              </w:rPr>
              <w:t>標的指數</w:t>
            </w:r>
            <w:r w:rsidRPr="00BB3F5B">
              <w:rPr>
                <w:rFonts w:ascii="標楷體" w:eastAsia="標楷體" w:hAnsi="標楷體" w:cs="細明體" w:hint="eastAsia"/>
                <w:kern w:val="0"/>
                <w:szCs w:val="24"/>
              </w:rPr>
              <w:t>或標的期貨每日結算價</w:t>
            </w:r>
            <w:r w:rsidRPr="00BB3F5B">
              <w:rPr>
                <w:rFonts w:ascii="標楷體" w:eastAsia="標楷體" w:hAnsi="標楷體" w:cs="細明體"/>
                <w:kern w:val="0"/>
                <w:szCs w:val="24"/>
              </w:rPr>
              <w:t>與履約價格或</w:t>
            </w:r>
            <w:r w:rsidRPr="00BB3F5B">
              <w:rPr>
                <w:rFonts w:ascii="標楷體" w:eastAsia="標楷體" w:hAnsi="標楷體" w:hint="eastAsia"/>
                <w:szCs w:val="24"/>
              </w:rPr>
              <w:t>點</w:t>
            </w:r>
            <w:r w:rsidRPr="00BB3F5B">
              <w:rPr>
                <w:rFonts w:ascii="標楷體" w:eastAsia="標楷體" w:hAnsi="標楷體" w:cs="細明體"/>
                <w:kern w:val="0"/>
                <w:szCs w:val="24"/>
              </w:rPr>
              <w:t>數</w:t>
            </w:r>
            <w:proofErr w:type="gramStart"/>
            <w:r w:rsidRPr="00BB3F5B">
              <w:rPr>
                <w:rFonts w:ascii="標楷體" w:eastAsia="標楷體" w:hAnsi="標楷體" w:cs="細明體"/>
                <w:kern w:val="0"/>
                <w:szCs w:val="24"/>
              </w:rPr>
              <w:t>之差值</w:t>
            </w:r>
            <w:proofErr w:type="gramEnd"/>
            <w:r w:rsidRPr="00BB3F5B">
              <w:rPr>
                <w:rFonts w:ascii="標楷體" w:eastAsia="標楷體" w:hAnsi="標楷體" w:cs="細明體"/>
                <w:kern w:val="0"/>
                <w:szCs w:val="24"/>
              </w:rPr>
              <w:t>×行使比例＋財務相關費用」計算之，其中財務相關費用則以「財務相關費用年率×履約價格或</w:t>
            </w:r>
            <w:r w:rsidRPr="00BB3F5B">
              <w:rPr>
                <w:rFonts w:ascii="標楷體" w:eastAsia="標楷體" w:hAnsi="標楷體" w:hint="eastAsia"/>
                <w:szCs w:val="24"/>
              </w:rPr>
              <w:t>點</w:t>
            </w:r>
            <w:r w:rsidRPr="00BB3F5B">
              <w:rPr>
                <w:rFonts w:ascii="標楷體" w:eastAsia="標楷體" w:hAnsi="標楷體" w:cs="細明體"/>
                <w:kern w:val="0"/>
                <w:szCs w:val="24"/>
              </w:rPr>
              <w:t>數×（距到期日天數÷365）×行使比例」計算。但</w:t>
            </w:r>
            <w:r w:rsidRPr="00BB3F5B">
              <w:rPr>
                <w:rFonts w:ascii="標楷體" w:eastAsia="標楷體" w:hAnsi="標楷體" w:cs="細明體"/>
                <w:szCs w:val="24"/>
              </w:rPr>
              <w:t>增</w:t>
            </w:r>
            <w:r w:rsidRPr="00BB3F5B">
              <w:rPr>
                <w:rFonts w:ascii="標楷體" w:eastAsia="標楷體" w:hAnsi="標楷體"/>
                <w:szCs w:val="24"/>
              </w:rPr>
              <w:t>額</w:t>
            </w:r>
            <w:r w:rsidRPr="00BB3F5B">
              <w:rPr>
                <w:rFonts w:ascii="標楷體" w:eastAsia="標楷體" w:hAnsi="標楷體" w:cs="細明體"/>
                <w:szCs w:val="24"/>
              </w:rPr>
              <w:t>發行之認購（售）權證不適用之。</w:t>
            </w:r>
          </w:p>
          <w:p w14:paraId="425BC5E9" w14:textId="5E5F373E" w:rsidR="003E4552" w:rsidRPr="00BB3F5B" w:rsidRDefault="003E4552" w:rsidP="003E4552">
            <w:pPr>
              <w:numPr>
                <w:ilvl w:val="0"/>
                <w:numId w:val="51"/>
              </w:numPr>
              <w:tabs>
                <w:tab w:val="left" w:pos="-1440"/>
                <w:tab w:val="left" w:pos="-480"/>
              </w:tabs>
              <w:suppressAutoHyphens/>
              <w:autoSpaceDE w:val="0"/>
              <w:autoSpaceDN w:val="0"/>
              <w:snapToGrid w:val="0"/>
              <w:spacing w:line="400" w:lineRule="atLeast"/>
              <w:ind w:left="679" w:right="148"/>
              <w:jc w:val="both"/>
              <w:textAlignment w:val="baseline"/>
              <w:rPr>
                <w:szCs w:val="24"/>
              </w:rPr>
            </w:pPr>
            <w:r w:rsidRPr="00BB3F5B">
              <w:rPr>
                <w:rFonts w:ascii="標楷體" w:eastAsia="標楷體" w:hAnsi="標楷體"/>
                <w:szCs w:val="24"/>
              </w:rPr>
              <w:t>標的證券發行公司辦理配發股息、紅利、增資、減資、股票分割、合併及其他相關事項</w:t>
            </w:r>
            <w:r w:rsidRPr="00BB3F5B">
              <w:rPr>
                <w:rFonts w:ascii="標楷體" w:eastAsia="標楷體" w:hAnsi="標楷體"/>
                <w:bCs/>
                <w:szCs w:val="24"/>
              </w:rPr>
              <w:t>或證券投資信託事業辦理標的</w:t>
            </w:r>
            <w:r w:rsidRPr="00BB3F5B">
              <w:rPr>
                <w:rFonts w:ascii="標楷體" w:eastAsia="標楷體" w:hAnsi="標楷體" w:cs="細明體"/>
                <w:szCs w:val="24"/>
              </w:rPr>
              <w:t>指數股票型證券投資信託基金</w:t>
            </w:r>
            <w:r w:rsidR="004E4842" w:rsidRPr="00032E1B">
              <w:rPr>
                <w:rFonts w:ascii="標楷體" w:eastAsia="標楷體" w:hAnsi="標楷體" w:cs="細明體" w:hint="eastAsia"/>
                <w:szCs w:val="24"/>
              </w:rPr>
              <w:t>或主動式交易所交易基金</w:t>
            </w:r>
            <w:r w:rsidRPr="00BB3F5B">
              <w:rPr>
                <w:rFonts w:ascii="標楷體" w:eastAsia="標楷體" w:hAnsi="標楷體" w:cs="細明體"/>
                <w:kern w:val="0"/>
                <w:szCs w:val="24"/>
              </w:rPr>
              <w:t>、</w:t>
            </w:r>
            <w:r w:rsidRPr="00BB3F5B">
              <w:rPr>
                <w:rFonts w:ascii="標楷體" w:eastAsia="標楷體" w:hAnsi="標楷體"/>
                <w:szCs w:val="24"/>
              </w:rPr>
              <w:t>期貨信託事業</w:t>
            </w:r>
            <w:r w:rsidRPr="00BB3F5B">
              <w:rPr>
                <w:rFonts w:ascii="標楷體" w:eastAsia="標楷體" w:hAnsi="標楷體" w:cs="細明體"/>
                <w:kern w:val="0"/>
                <w:szCs w:val="24"/>
              </w:rPr>
              <w:t>辦理標的</w:t>
            </w:r>
            <w:r w:rsidRPr="00BB3F5B">
              <w:rPr>
                <w:rFonts w:ascii="標楷體" w:eastAsia="標楷體" w:hAnsi="標楷體"/>
                <w:szCs w:val="24"/>
              </w:rPr>
              <w:t>指數股票型期貨信託基金</w:t>
            </w:r>
            <w:r w:rsidRPr="00BB3F5B">
              <w:rPr>
                <w:rFonts w:ascii="標楷體" w:eastAsia="標楷體" w:hAnsi="標楷體" w:cs="細明體"/>
                <w:szCs w:val="24"/>
              </w:rPr>
              <w:t>、境外基金管理機構或其指定機構辦理</w:t>
            </w:r>
            <w:r w:rsidRPr="00BB3F5B">
              <w:rPr>
                <w:rFonts w:ascii="標楷體" w:eastAsia="標楷體" w:hAnsi="標楷體"/>
                <w:szCs w:val="24"/>
              </w:rPr>
              <w:t>標的</w:t>
            </w:r>
            <w:r w:rsidRPr="00BB3F5B">
              <w:rPr>
                <w:rFonts w:ascii="標楷體" w:eastAsia="標楷體" w:hAnsi="標楷體" w:cs="細明體"/>
                <w:szCs w:val="24"/>
              </w:rPr>
              <w:t>境外指數股票型基金</w:t>
            </w:r>
            <w:r w:rsidRPr="00BB3F5B">
              <w:rPr>
                <w:rFonts w:ascii="標楷體" w:eastAsia="標楷體" w:hAnsi="標楷體"/>
                <w:bCs/>
                <w:szCs w:val="24"/>
              </w:rPr>
              <w:t>配發股息及其他相關事項時</w:t>
            </w:r>
            <w:r w:rsidRPr="00BB3F5B">
              <w:rPr>
                <w:rFonts w:ascii="標楷體" w:eastAsia="標楷體" w:hAnsi="標楷體"/>
                <w:szCs w:val="24"/>
              </w:rPr>
              <w:t>，調整其認購（售）權證履約價格或相關事項之約定，若未依本公司參考調整公式訂定，應以顯著字體說明。</w:t>
            </w:r>
            <w:r w:rsidRPr="00BB3F5B">
              <w:rPr>
                <w:rFonts w:ascii="標楷體" w:eastAsia="標楷體" w:hAnsi="標楷體" w:cs="細明體"/>
                <w:kern w:val="0"/>
                <w:szCs w:val="24"/>
              </w:rPr>
              <w:t>如以外國證券為標的者，發行人應自行訂定調整公式。</w:t>
            </w:r>
          </w:p>
          <w:p w14:paraId="55C44466" w14:textId="77777777" w:rsidR="003E4552" w:rsidRPr="00BB3F5B" w:rsidRDefault="003E4552" w:rsidP="003E4552">
            <w:pPr>
              <w:numPr>
                <w:ilvl w:val="0"/>
                <w:numId w:val="51"/>
              </w:numPr>
              <w:tabs>
                <w:tab w:val="left" w:pos="-1440"/>
                <w:tab w:val="left" w:pos="-480"/>
              </w:tabs>
              <w:suppressAutoHyphens/>
              <w:autoSpaceDE w:val="0"/>
              <w:autoSpaceDN w:val="0"/>
              <w:snapToGrid w:val="0"/>
              <w:spacing w:line="400" w:lineRule="atLeast"/>
              <w:ind w:left="679" w:right="148"/>
              <w:jc w:val="both"/>
              <w:textAlignment w:val="baseline"/>
              <w:rPr>
                <w:szCs w:val="24"/>
              </w:rPr>
            </w:pPr>
            <w:r w:rsidRPr="00BB3F5B">
              <w:rPr>
                <w:rFonts w:ascii="標楷體" w:eastAsia="標楷體" w:hAnsi="標楷體"/>
                <w:szCs w:val="24"/>
              </w:rPr>
              <w:t>標的證券發行公司有公司合併</w:t>
            </w:r>
            <w:r w:rsidRPr="00CE1B10">
              <w:rPr>
                <w:rFonts w:eastAsia="標楷體"/>
                <w:szCs w:val="24"/>
              </w:rPr>
              <w:t>時，或標的證券</w:t>
            </w:r>
            <w:r w:rsidRPr="00BB3F5B">
              <w:rPr>
                <w:rFonts w:ascii="標楷體" w:eastAsia="標楷體" w:hAnsi="標楷體" w:cs="細明體"/>
                <w:szCs w:val="24"/>
              </w:rPr>
              <w:t>變更交易方法、</w:t>
            </w:r>
            <w:r w:rsidRPr="00BB3F5B">
              <w:rPr>
                <w:rFonts w:ascii="標楷體" w:eastAsia="標楷體" w:hAnsi="標楷體"/>
                <w:szCs w:val="24"/>
              </w:rPr>
              <w:t>暫停交易、停止買賣或終止上市情事時</w:t>
            </w:r>
            <w:r w:rsidRPr="00BB3F5B">
              <w:rPr>
                <w:rFonts w:ascii="標楷體" w:eastAsia="標楷體" w:hAnsi="標楷體"/>
                <w:bCs/>
                <w:szCs w:val="24"/>
              </w:rPr>
              <w:t>，或標的</w:t>
            </w:r>
            <w:r w:rsidRPr="00BB3F5B">
              <w:rPr>
                <w:rFonts w:ascii="標楷體" w:eastAsia="標楷體" w:hAnsi="標楷體" w:cs="細明體"/>
                <w:szCs w:val="24"/>
              </w:rPr>
              <w:t>指數股</w:t>
            </w:r>
            <w:r w:rsidRPr="00BB3F5B">
              <w:rPr>
                <w:rFonts w:ascii="標楷體" w:eastAsia="標楷體" w:hAnsi="標楷體" w:cs="細明體"/>
                <w:szCs w:val="24"/>
              </w:rPr>
              <w:lastRenderedPageBreak/>
              <w:t>票型證券投資信託基金</w:t>
            </w:r>
            <w:r w:rsidRPr="00BB3F5B">
              <w:rPr>
                <w:rFonts w:ascii="標楷體" w:eastAsia="標楷體" w:hAnsi="標楷體"/>
                <w:bCs/>
                <w:szCs w:val="24"/>
              </w:rPr>
              <w:t>因證券投資信託事業</w:t>
            </w:r>
            <w:r w:rsidRPr="00BB3F5B">
              <w:rPr>
                <w:rFonts w:ascii="標楷體" w:eastAsia="標楷體" w:hAnsi="標楷體" w:cs="細明體"/>
                <w:szCs w:val="24"/>
              </w:rPr>
              <w:t>、</w:t>
            </w:r>
            <w:r w:rsidRPr="00BB3F5B">
              <w:rPr>
                <w:rFonts w:ascii="標楷體" w:eastAsia="標楷體" w:hAnsi="標楷體" w:cs="細明體"/>
                <w:kern w:val="0"/>
                <w:szCs w:val="24"/>
              </w:rPr>
              <w:t>標的</w:t>
            </w:r>
            <w:r w:rsidRPr="00BB3F5B">
              <w:rPr>
                <w:rFonts w:ascii="標楷體" w:eastAsia="標楷體" w:hAnsi="標楷體"/>
                <w:szCs w:val="24"/>
              </w:rPr>
              <w:t>指數股票型期貨信託基金因期貨信託事業</w:t>
            </w:r>
            <w:r w:rsidRPr="00BB3F5B">
              <w:rPr>
                <w:rFonts w:ascii="標楷體" w:eastAsia="標楷體" w:hAnsi="標楷體"/>
                <w:bCs/>
                <w:szCs w:val="24"/>
              </w:rPr>
              <w:t>解散、破產或撤銷核准等原因終止上市時</w:t>
            </w:r>
            <w:r w:rsidRPr="00BB3F5B">
              <w:rPr>
                <w:rFonts w:ascii="標楷體" w:eastAsia="標楷體" w:hAnsi="標楷體" w:cs="細明體"/>
                <w:kern w:val="0"/>
                <w:szCs w:val="24"/>
              </w:rPr>
              <w:t>，或</w:t>
            </w:r>
            <w:r w:rsidRPr="00BB3F5B">
              <w:rPr>
                <w:rFonts w:ascii="標楷體" w:eastAsia="標楷體" w:hAnsi="標楷體" w:cs="細明體"/>
                <w:szCs w:val="24"/>
              </w:rPr>
              <w:t>標的</w:t>
            </w:r>
            <w:r w:rsidRPr="00BB3F5B">
              <w:rPr>
                <w:rFonts w:ascii="標楷體" w:eastAsia="標楷體" w:hAnsi="標楷體"/>
                <w:bCs/>
                <w:szCs w:val="24"/>
              </w:rPr>
              <w:t>境外指數股票型基金經本公司公告終止其受益憑證、基金股份或投資單位上市買賣時</w:t>
            </w:r>
            <w:r w:rsidRPr="00BB3F5B">
              <w:rPr>
                <w:rFonts w:ascii="標楷體" w:eastAsia="標楷體" w:hAnsi="標楷體" w:cs="細明體"/>
                <w:kern w:val="0"/>
                <w:szCs w:val="24"/>
              </w:rPr>
              <w:t>，或標的指數編製機構停止編製該指數時</w:t>
            </w:r>
            <w:r w:rsidRPr="00BB3F5B">
              <w:rPr>
                <w:rFonts w:ascii="標楷體" w:eastAsia="標楷體" w:hAnsi="標楷體" w:hint="eastAsia"/>
                <w:szCs w:val="24"/>
              </w:rPr>
              <w:t>，或標的期貨經期貨交易所公告暫停交易、停止交易或終止上市時</w:t>
            </w:r>
            <w:r w:rsidRPr="00BB3F5B">
              <w:rPr>
                <w:rFonts w:ascii="標楷體" w:eastAsia="標楷體" w:hAnsi="標楷體"/>
                <w:szCs w:val="24"/>
              </w:rPr>
              <w:t>之處理方式</w:t>
            </w:r>
            <w:r w:rsidRPr="00CE1B10">
              <w:rPr>
                <w:rFonts w:eastAsia="標楷體"/>
                <w:szCs w:val="24"/>
              </w:rPr>
              <w:t>；</w:t>
            </w:r>
            <w:proofErr w:type="gramStart"/>
            <w:r w:rsidRPr="00CE1B10">
              <w:rPr>
                <w:rFonts w:eastAsia="標楷體"/>
                <w:szCs w:val="24"/>
              </w:rPr>
              <w:t>惟</w:t>
            </w:r>
            <w:proofErr w:type="gramEnd"/>
            <w:r w:rsidRPr="00CE1B10">
              <w:rPr>
                <w:rFonts w:eastAsia="標楷體"/>
                <w:szCs w:val="24"/>
              </w:rPr>
              <w:t>股票終止上市情事</w:t>
            </w:r>
            <w:proofErr w:type="gramStart"/>
            <w:r w:rsidRPr="00CE1B10">
              <w:rPr>
                <w:rFonts w:eastAsia="標楷體"/>
                <w:szCs w:val="24"/>
              </w:rPr>
              <w:t>若係標的</w:t>
            </w:r>
            <w:proofErr w:type="gramEnd"/>
            <w:r w:rsidRPr="00CE1B10">
              <w:rPr>
                <w:rFonts w:eastAsia="標楷體"/>
                <w:szCs w:val="24"/>
              </w:rPr>
              <w:t>證券發行公司申請股票上櫃買賣者，其認購（售）權證</w:t>
            </w:r>
            <w:r w:rsidRPr="00CE1B10">
              <w:rPr>
                <w:rFonts w:eastAsia="標楷體" w:hint="eastAsia"/>
                <w:szCs w:val="24"/>
              </w:rPr>
              <w:t>應</w:t>
            </w:r>
            <w:r w:rsidRPr="00CE1B10">
              <w:rPr>
                <w:rFonts w:eastAsia="標楷體"/>
                <w:szCs w:val="24"/>
              </w:rPr>
              <w:t>在本公司繼續買賣至</w:t>
            </w:r>
            <w:r w:rsidRPr="00CE1B10">
              <w:rPr>
                <w:rFonts w:eastAsia="標楷體"/>
                <w:kern w:val="0"/>
                <w:szCs w:val="24"/>
                <w:lang w:val="en"/>
              </w:rPr>
              <w:t>最後交易</w:t>
            </w:r>
            <w:r w:rsidRPr="00CE1B10">
              <w:rPr>
                <w:rFonts w:eastAsia="標楷體"/>
                <w:szCs w:val="24"/>
              </w:rPr>
              <w:t>日止</w:t>
            </w:r>
            <w:r w:rsidRPr="00BB3F5B">
              <w:rPr>
                <w:rFonts w:ascii="標楷體" w:eastAsia="標楷體" w:hAnsi="標楷體"/>
                <w:szCs w:val="24"/>
              </w:rPr>
              <w:t>。</w:t>
            </w:r>
          </w:p>
          <w:p w14:paraId="6580E534" w14:textId="77777777" w:rsidR="003E4552" w:rsidRPr="00BB3F5B" w:rsidRDefault="003E4552" w:rsidP="0014616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s>
              <w:autoSpaceDE w:val="0"/>
              <w:snapToGrid w:val="0"/>
              <w:spacing w:line="400" w:lineRule="atLeast"/>
              <w:ind w:left="1826" w:right="148" w:hanging="1147"/>
              <w:jc w:val="both"/>
              <w:rPr>
                <w:rFonts w:ascii="標楷體" w:eastAsia="標楷體" w:hAnsi="標楷體"/>
                <w:szCs w:val="24"/>
              </w:rPr>
            </w:pPr>
            <w:r w:rsidRPr="00BB3F5B">
              <w:rPr>
                <w:rFonts w:ascii="標楷體" w:eastAsia="標楷體" w:hAnsi="標楷體"/>
                <w:szCs w:val="24"/>
              </w:rPr>
              <w:t>（是否符合營業細則第五十條之四有關規定）</w:t>
            </w:r>
          </w:p>
          <w:p w14:paraId="1CE5E82A" w14:textId="77777777" w:rsidR="003E4552" w:rsidRPr="00BB3F5B" w:rsidRDefault="003E4552" w:rsidP="003E4552">
            <w:pPr>
              <w:numPr>
                <w:ilvl w:val="0"/>
                <w:numId w:val="51"/>
              </w:numPr>
              <w:tabs>
                <w:tab w:val="left" w:pos="-1440"/>
                <w:tab w:val="left" w:pos="-480"/>
              </w:tabs>
              <w:suppressAutoHyphens/>
              <w:autoSpaceDE w:val="0"/>
              <w:autoSpaceDN w:val="0"/>
              <w:snapToGrid w:val="0"/>
              <w:spacing w:line="400" w:lineRule="atLeast"/>
              <w:ind w:left="679" w:right="148"/>
              <w:jc w:val="both"/>
              <w:textAlignment w:val="baseline"/>
              <w:rPr>
                <w:szCs w:val="24"/>
              </w:rPr>
            </w:pPr>
            <w:r w:rsidRPr="00BB3F5B">
              <w:rPr>
                <w:rFonts w:ascii="標楷體" w:eastAsia="標楷體" w:hAnsi="標楷體"/>
                <w:szCs w:val="24"/>
              </w:rPr>
              <w:t>認購（售）權證之上市及經交易所終止上市、停止買賣或暫停交易時之處理方式。</w:t>
            </w:r>
          </w:p>
          <w:p w14:paraId="3B0858CB" w14:textId="77777777" w:rsidR="003E4552" w:rsidRPr="003E4552" w:rsidRDefault="003E4552" w:rsidP="003E4552">
            <w:pPr>
              <w:numPr>
                <w:ilvl w:val="0"/>
                <w:numId w:val="51"/>
              </w:numPr>
              <w:tabs>
                <w:tab w:val="left" w:pos="-1440"/>
                <w:tab w:val="left" w:pos="-480"/>
              </w:tabs>
              <w:suppressAutoHyphens/>
              <w:autoSpaceDE w:val="0"/>
              <w:autoSpaceDN w:val="0"/>
              <w:snapToGrid w:val="0"/>
              <w:spacing w:line="400" w:lineRule="atLeast"/>
              <w:ind w:left="981" w:right="147" w:hanging="1021"/>
              <w:jc w:val="both"/>
              <w:textAlignment w:val="baseline"/>
              <w:rPr>
                <w:szCs w:val="24"/>
              </w:rPr>
            </w:pPr>
            <w:r w:rsidRPr="003E4552">
              <w:rPr>
                <w:rFonts w:ascii="標楷體" w:eastAsia="標楷體" w:hAnsi="標楷體" w:hint="eastAsia"/>
                <w:szCs w:val="24"/>
              </w:rPr>
              <w:t>認購（售）權證自初次上市二個月（不含）起至到期日前二個月（不含）止，除上（下）</w:t>
            </w:r>
            <w:proofErr w:type="gramStart"/>
            <w:r w:rsidRPr="003E4552">
              <w:rPr>
                <w:rFonts w:ascii="標楷體" w:eastAsia="標楷體" w:hAnsi="標楷體" w:hint="eastAsia"/>
                <w:szCs w:val="24"/>
              </w:rPr>
              <w:t>限型認購</w:t>
            </w:r>
            <w:proofErr w:type="gramEnd"/>
            <w:r w:rsidRPr="003E4552">
              <w:rPr>
                <w:rFonts w:ascii="標楷體" w:eastAsia="標楷體" w:hAnsi="標楷體" w:hint="eastAsia"/>
                <w:szCs w:val="24"/>
              </w:rPr>
              <w:t>（售）權證外，如無流通在外發行單位且最新履約價格或點數達到價內或價外百分之二十以上者，發行人得申請其提前終止上市之條款。</w:t>
            </w:r>
          </w:p>
          <w:p w14:paraId="4A432CCD" w14:textId="77777777" w:rsidR="003E4552" w:rsidRPr="00BB3F5B" w:rsidRDefault="003E4552" w:rsidP="0014616B">
            <w:pPr>
              <w:tabs>
                <w:tab w:val="left" w:pos="-1440"/>
                <w:tab w:val="left" w:pos="-480"/>
              </w:tabs>
              <w:suppressAutoHyphens/>
              <w:autoSpaceDE w:val="0"/>
              <w:autoSpaceDN w:val="0"/>
              <w:snapToGrid w:val="0"/>
              <w:spacing w:line="400" w:lineRule="atLeast"/>
              <w:ind w:left="960" w:right="147" w:hangingChars="400" w:hanging="960"/>
              <w:jc w:val="both"/>
              <w:textAlignment w:val="baseline"/>
              <w:rPr>
                <w:szCs w:val="24"/>
              </w:rPr>
            </w:pPr>
            <w:r w:rsidRPr="00BB3F5B">
              <w:rPr>
                <w:rFonts w:ascii="標楷體" w:eastAsia="標楷體" w:hAnsi="標楷體" w:hint="eastAsia"/>
                <w:szCs w:val="24"/>
              </w:rPr>
              <w:t>（十</w:t>
            </w:r>
            <w:r w:rsidRPr="003E4552">
              <w:rPr>
                <w:rFonts w:ascii="標楷體" w:eastAsia="標楷體" w:hAnsi="標楷體" w:hint="eastAsia"/>
                <w:szCs w:val="24"/>
              </w:rPr>
              <w:t>二</w:t>
            </w:r>
            <w:r w:rsidRPr="00BB3F5B">
              <w:rPr>
                <w:rFonts w:ascii="標楷體" w:eastAsia="標楷體" w:hAnsi="標楷體" w:hint="eastAsia"/>
                <w:szCs w:val="24"/>
              </w:rPr>
              <w:t>）</w:t>
            </w:r>
            <w:r w:rsidRPr="00BB3F5B">
              <w:rPr>
                <w:rFonts w:ascii="標楷體" w:eastAsia="標楷體" w:hAnsi="標楷體"/>
                <w:szCs w:val="24"/>
              </w:rPr>
              <w:t>存續期間屆滿時，處於價內狀態有行使價值者，如其履約條款訂為現金結算者，視為持有人已有行使認購（售）權證並得請求履約之意思表示。</w:t>
            </w:r>
          </w:p>
          <w:p w14:paraId="0E1A9223" w14:textId="77777777" w:rsidR="003E4552" w:rsidRPr="00BB3F5B" w:rsidRDefault="003E4552" w:rsidP="0014616B">
            <w:pPr>
              <w:tabs>
                <w:tab w:val="left" w:pos="-1440"/>
                <w:tab w:val="left" w:pos="-480"/>
              </w:tabs>
              <w:suppressAutoHyphens/>
              <w:autoSpaceDE w:val="0"/>
              <w:autoSpaceDN w:val="0"/>
              <w:snapToGrid w:val="0"/>
              <w:spacing w:line="400" w:lineRule="atLeast"/>
              <w:ind w:left="960" w:right="147" w:hangingChars="400" w:hanging="960"/>
              <w:jc w:val="both"/>
              <w:textAlignment w:val="baseline"/>
              <w:rPr>
                <w:szCs w:val="24"/>
              </w:rPr>
            </w:pPr>
            <w:r w:rsidRPr="00BB3F5B">
              <w:rPr>
                <w:rFonts w:ascii="標楷體" w:eastAsia="標楷體" w:hAnsi="標楷體" w:hint="eastAsia"/>
                <w:szCs w:val="24"/>
              </w:rPr>
              <w:t>（十</w:t>
            </w:r>
            <w:r w:rsidRPr="003E4552">
              <w:rPr>
                <w:rFonts w:ascii="標楷體" w:eastAsia="標楷體" w:hAnsi="標楷體" w:hint="eastAsia"/>
                <w:szCs w:val="24"/>
              </w:rPr>
              <w:t>三</w:t>
            </w:r>
            <w:r w:rsidRPr="00BB3F5B">
              <w:rPr>
                <w:rFonts w:ascii="標楷體" w:eastAsia="標楷體" w:hAnsi="標楷體" w:hint="eastAsia"/>
                <w:szCs w:val="24"/>
              </w:rPr>
              <w:t>）</w:t>
            </w:r>
            <w:r w:rsidRPr="00BB3F5B">
              <w:rPr>
                <w:rFonts w:ascii="標楷體" w:eastAsia="標楷體" w:hAnsi="標楷體"/>
                <w:szCs w:val="24"/>
              </w:rPr>
              <w:t>發行人不得主動轉換為存續期間長於該認購（售）權證之另一認購（售）權證或其他證券之條款。</w:t>
            </w:r>
          </w:p>
          <w:p w14:paraId="2C64FE24" w14:textId="77777777" w:rsidR="003E4552" w:rsidRPr="00BB3F5B" w:rsidRDefault="003E4552" w:rsidP="0014616B">
            <w:pPr>
              <w:tabs>
                <w:tab w:val="left" w:pos="-1440"/>
                <w:tab w:val="left" w:pos="-480"/>
              </w:tabs>
              <w:suppressAutoHyphens/>
              <w:autoSpaceDE w:val="0"/>
              <w:autoSpaceDN w:val="0"/>
              <w:snapToGrid w:val="0"/>
              <w:spacing w:line="400" w:lineRule="atLeast"/>
              <w:ind w:left="960" w:right="147" w:hangingChars="400" w:hanging="960"/>
              <w:jc w:val="both"/>
              <w:textAlignment w:val="baseline"/>
              <w:rPr>
                <w:szCs w:val="24"/>
              </w:rPr>
            </w:pPr>
            <w:r w:rsidRPr="00BB3F5B">
              <w:rPr>
                <w:rFonts w:ascii="標楷體" w:eastAsia="標楷體" w:hAnsi="標楷體" w:hint="eastAsia"/>
                <w:szCs w:val="24"/>
              </w:rPr>
              <w:t>（十</w:t>
            </w:r>
            <w:r w:rsidRPr="003E4552">
              <w:rPr>
                <w:rFonts w:ascii="標楷體" w:eastAsia="標楷體" w:hAnsi="標楷體" w:hint="eastAsia"/>
                <w:szCs w:val="24"/>
              </w:rPr>
              <w:t>四</w:t>
            </w:r>
            <w:r w:rsidRPr="00BB3F5B">
              <w:rPr>
                <w:rFonts w:ascii="標楷體" w:eastAsia="標楷體" w:hAnsi="標楷體" w:hint="eastAsia"/>
                <w:szCs w:val="24"/>
              </w:rPr>
              <w:t>）</w:t>
            </w:r>
            <w:r w:rsidRPr="00BB3F5B">
              <w:rPr>
                <w:rFonts w:ascii="標楷體" w:eastAsia="標楷體" w:hAnsi="標楷體"/>
                <w:szCs w:val="24"/>
              </w:rPr>
              <w:t>持有人行使權利請求履約時，其履約給付方式。如係發行上（下）</w:t>
            </w:r>
            <w:proofErr w:type="gramStart"/>
            <w:r w:rsidRPr="00BB3F5B">
              <w:rPr>
                <w:rFonts w:ascii="標楷體" w:eastAsia="標楷體" w:hAnsi="標楷體"/>
                <w:szCs w:val="24"/>
              </w:rPr>
              <w:t>限型認購</w:t>
            </w:r>
            <w:proofErr w:type="gramEnd"/>
            <w:r w:rsidRPr="00BB3F5B">
              <w:rPr>
                <w:rFonts w:ascii="標楷體" w:eastAsia="標楷體" w:hAnsi="標楷體"/>
                <w:szCs w:val="24"/>
              </w:rPr>
              <w:t>（售）權證，是否說明標的證券之收盤價格</w:t>
            </w:r>
            <w:r w:rsidRPr="00BB3F5B">
              <w:rPr>
                <w:rFonts w:ascii="標楷體" w:eastAsia="標楷體" w:hAnsi="標楷體" w:hint="eastAsia"/>
                <w:szCs w:val="24"/>
              </w:rPr>
              <w:t>、</w:t>
            </w:r>
            <w:r w:rsidRPr="00BB3F5B">
              <w:rPr>
                <w:rFonts w:ascii="標楷體" w:eastAsia="標楷體" w:hAnsi="標楷體"/>
                <w:szCs w:val="24"/>
              </w:rPr>
              <w:t>標的指數之收盤指數</w:t>
            </w:r>
            <w:r w:rsidRPr="00BB3F5B">
              <w:rPr>
                <w:rFonts w:ascii="標楷體" w:eastAsia="標楷體" w:hAnsi="標楷體" w:hint="eastAsia"/>
                <w:szCs w:val="24"/>
              </w:rPr>
              <w:t>或標的期貨於</w:t>
            </w:r>
            <w:r w:rsidRPr="00BB3F5B">
              <w:rPr>
                <w:rFonts w:ascii="標楷體" w:eastAsia="標楷體" w:hAnsi="標楷體" w:hint="eastAsia"/>
                <w:bCs/>
                <w:szCs w:val="24"/>
              </w:rPr>
              <w:t>下午一時三十分前一分鐘內成交價之簡單算術平均價</w:t>
            </w:r>
            <w:r w:rsidRPr="00BB3F5B">
              <w:rPr>
                <w:rFonts w:ascii="標楷體" w:eastAsia="標楷體" w:hAnsi="標楷體"/>
                <w:szCs w:val="24"/>
              </w:rPr>
              <w:t>達到設定之上（下）限價格或</w:t>
            </w:r>
            <w:r w:rsidRPr="00BB3F5B">
              <w:rPr>
                <w:rFonts w:ascii="標楷體" w:eastAsia="標楷體" w:hAnsi="標楷體" w:hint="eastAsia"/>
                <w:szCs w:val="24"/>
              </w:rPr>
              <w:t>點</w:t>
            </w:r>
            <w:r w:rsidRPr="00BB3F5B">
              <w:rPr>
                <w:rFonts w:ascii="標楷體" w:eastAsia="標楷體" w:hAnsi="標楷體"/>
                <w:szCs w:val="24"/>
              </w:rPr>
              <w:t>數時一律自動以現金結算方式履約。（如以證券給付之認購權證發行人得選擇以現金結算，或以證券給付之認售權證持有人得選擇以現金結算時，應於公開銷售說明書以顯著字體說明）。</w:t>
            </w:r>
          </w:p>
          <w:p w14:paraId="3976721C" w14:textId="77777777" w:rsidR="003E4552" w:rsidRPr="00BB3F5B" w:rsidRDefault="003E4552" w:rsidP="0014616B">
            <w:pPr>
              <w:tabs>
                <w:tab w:val="left" w:pos="-1440"/>
                <w:tab w:val="left" w:pos="-480"/>
              </w:tabs>
              <w:suppressAutoHyphens/>
              <w:autoSpaceDE w:val="0"/>
              <w:autoSpaceDN w:val="0"/>
              <w:snapToGrid w:val="0"/>
              <w:spacing w:line="400" w:lineRule="atLeast"/>
              <w:ind w:left="960" w:right="147" w:hangingChars="400" w:hanging="960"/>
              <w:jc w:val="both"/>
              <w:textAlignment w:val="baseline"/>
              <w:rPr>
                <w:szCs w:val="24"/>
              </w:rPr>
            </w:pPr>
            <w:r w:rsidRPr="00BB3F5B">
              <w:rPr>
                <w:rFonts w:ascii="標楷體" w:eastAsia="標楷體" w:hAnsi="標楷體" w:hint="eastAsia"/>
                <w:szCs w:val="24"/>
              </w:rPr>
              <w:t>（十</w:t>
            </w:r>
            <w:r w:rsidRPr="003E4552">
              <w:rPr>
                <w:rFonts w:ascii="標楷體" w:eastAsia="標楷體" w:hAnsi="標楷體" w:hint="eastAsia"/>
                <w:szCs w:val="24"/>
              </w:rPr>
              <w:t>五</w:t>
            </w:r>
            <w:r w:rsidRPr="00BB3F5B">
              <w:rPr>
                <w:rFonts w:ascii="標楷體" w:eastAsia="標楷體" w:hAnsi="標楷體" w:hint="eastAsia"/>
                <w:szCs w:val="24"/>
              </w:rPr>
              <w:t>）</w:t>
            </w:r>
            <w:r w:rsidRPr="00BB3F5B">
              <w:rPr>
                <w:rFonts w:ascii="標楷體" w:eastAsia="標楷體" w:hAnsi="標楷體"/>
                <w:szCs w:val="24"/>
              </w:rPr>
              <w:t>前款之履約方式以現金結算者，其現金結算額應以標的證券之行使日當日收盤價計算</w:t>
            </w:r>
            <w:r w:rsidRPr="00BB3F5B">
              <w:rPr>
                <w:rFonts w:ascii="標楷體" w:eastAsia="標楷體" w:hAnsi="標楷體" w:cs="細明體"/>
                <w:szCs w:val="24"/>
              </w:rPr>
              <w:t>；行使日為權證</w:t>
            </w:r>
            <w:proofErr w:type="gramStart"/>
            <w:r w:rsidRPr="00BB3F5B">
              <w:rPr>
                <w:rFonts w:ascii="標楷體" w:eastAsia="標楷體" w:hAnsi="標楷體" w:cs="細明體"/>
                <w:szCs w:val="24"/>
              </w:rPr>
              <w:t>到期日者</w:t>
            </w:r>
            <w:proofErr w:type="gramEnd"/>
            <w:r w:rsidRPr="00BB3F5B">
              <w:rPr>
                <w:rFonts w:ascii="標楷體" w:eastAsia="標楷體" w:hAnsi="標楷體" w:cs="細明體"/>
                <w:szCs w:val="24"/>
              </w:rPr>
              <w:t>，其現金結算額則以標的證券收盤前六十分鐘內成交價格之簡單算</w:t>
            </w:r>
            <w:r w:rsidRPr="00BB3F5B">
              <w:rPr>
                <w:rFonts w:ascii="標楷體" w:eastAsia="標楷體" w:hAnsi="標楷體" w:cs="細明體" w:hint="eastAsia"/>
                <w:szCs w:val="24"/>
              </w:rPr>
              <w:t>術</w:t>
            </w:r>
            <w:r w:rsidRPr="00BB3F5B">
              <w:rPr>
                <w:rFonts w:ascii="標楷體" w:eastAsia="標楷體" w:hAnsi="標楷體" w:cs="細明體"/>
                <w:szCs w:val="24"/>
              </w:rPr>
              <w:t>平均價</w:t>
            </w:r>
            <w:r w:rsidRPr="00BB3F5B">
              <w:rPr>
                <w:rFonts w:ascii="標楷體" w:eastAsia="標楷體" w:hAnsi="標楷體" w:cs="細明體" w:hint="eastAsia"/>
                <w:szCs w:val="24"/>
              </w:rPr>
              <w:t>、</w:t>
            </w:r>
            <w:r w:rsidRPr="00BB3F5B">
              <w:rPr>
                <w:rFonts w:ascii="標楷體" w:eastAsia="標楷體" w:hAnsi="標楷體" w:cs="細明體"/>
                <w:szCs w:val="24"/>
              </w:rPr>
              <w:t>標的結算指數</w:t>
            </w:r>
            <w:r w:rsidRPr="00BB3F5B">
              <w:rPr>
                <w:rFonts w:ascii="標楷體" w:eastAsia="標楷體" w:hAnsi="標楷體" w:cs="細明體" w:hint="eastAsia"/>
                <w:szCs w:val="24"/>
              </w:rPr>
              <w:t>或標的期貨結算價格</w:t>
            </w:r>
            <w:r w:rsidRPr="00BB3F5B">
              <w:rPr>
                <w:rFonts w:ascii="標楷體" w:eastAsia="標楷體" w:hAnsi="標楷體" w:cs="細明體"/>
                <w:szCs w:val="24"/>
              </w:rPr>
              <w:lastRenderedPageBreak/>
              <w:t>計算</w:t>
            </w:r>
            <w:r w:rsidRPr="00BB3F5B">
              <w:rPr>
                <w:rFonts w:ascii="標楷體" w:eastAsia="標楷體" w:hAnsi="標楷體" w:cs="細明體" w:hint="eastAsia"/>
                <w:szCs w:val="24"/>
              </w:rPr>
              <w:t>；</w:t>
            </w:r>
            <w:r w:rsidRPr="00BB3F5B">
              <w:rPr>
                <w:rFonts w:ascii="標楷體" w:eastAsia="標楷體" w:hAnsi="標楷體" w:cs="細明體"/>
                <w:kern w:val="0"/>
                <w:szCs w:val="24"/>
              </w:rPr>
              <w:t>標的證券於收盤前六十分鐘內</w:t>
            </w:r>
            <w:r w:rsidRPr="00BB3F5B">
              <w:rPr>
                <w:rFonts w:ascii="標楷體" w:eastAsia="標楷體" w:hAnsi="標楷體" w:cs="細明體"/>
                <w:szCs w:val="24"/>
              </w:rPr>
              <w:t>無成交價格者，按最近一次成交價格計算，</w:t>
            </w:r>
            <w:r w:rsidRPr="00BB3F5B">
              <w:rPr>
                <w:rFonts w:ascii="標楷體" w:eastAsia="標楷體" w:hAnsi="標楷體" w:cs="細明體"/>
                <w:kern w:val="0"/>
                <w:szCs w:val="24"/>
              </w:rPr>
              <w:t>如有</w:t>
            </w:r>
            <w:r w:rsidRPr="00BB3F5B">
              <w:rPr>
                <w:rFonts w:ascii="標楷體" w:eastAsia="標楷體" w:hAnsi="標楷體" w:cs="細明體"/>
                <w:szCs w:val="24"/>
              </w:rPr>
              <w:t>本公司營業細則第五十八條之三第五項規定情事時，延緩時間內之成交價格或指數應一併列入計算。</w:t>
            </w:r>
            <w:proofErr w:type="gramStart"/>
            <w:r w:rsidRPr="00BB3F5B">
              <w:rPr>
                <w:rFonts w:ascii="標楷體" w:eastAsia="標楷體" w:hAnsi="標楷體" w:cs="細明體"/>
                <w:kern w:val="0"/>
                <w:szCs w:val="24"/>
              </w:rPr>
              <w:t>前揭標的</w:t>
            </w:r>
            <w:proofErr w:type="gramEnd"/>
            <w:r w:rsidRPr="00BB3F5B">
              <w:rPr>
                <w:rFonts w:ascii="標楷體" w:eastAsia="標楷體" w:hAnsi="標楷體" w:cs="細明體"/>
                <w:kern w:val="0"/>
                <w:szCs w:val="24"/>
              </w:rPr>
              <w:t>結算指數</w:t>
            </w:r>
            <w:r w:rsidRPr="00BB3F5B">
              <w:rPr>
                <w:rFonts w:ascii="標楷體" w:eastAsia="標楷體" w:hAnsi="標楷體" w:cs="細明體" w:hint="eastAsia"/>
                <w:kern w:val="0"/>
                <w:szCs w:val="24"/>
              </w:rPr>
              <w:t>及</w:t>
            </w:r>
            <w:r w:rsidRPr="00BB3F5B">
              <w:rPr>
                <w:rFonts w:ascii="標楷體" w:eastAsia="標楷體" w:hAnsi="標楷體" w:cs="細明體" w:hint="eastAsia"/>
                <w:szCs w:val="24"/>
              </w:rPr>
              <w:t>標的期貨結算價格</w:t>
            </w:r>
            <w:r w:rsidRPr="00BB3F5B">
              <w:rPr>
                <w:rFonts w:ascii="標楷體" w:eastAsia="標楷體" w:hAnsi="標楷體" w:cs="細明體"/>
                <w:kern w:val="0"/>
                <w:szCs w:val="24"/>
              </w:rPr>
              <w:t>，</w:t>
            </w:r>
            <w:r w:rsidRPr="00BB3F5B">
              <w:rPr>
                <w:rFonts w:ascii="標楷體" w:eastAsia="標楷體" w:hAnsi="標楷體"/>
                <w:szCs w:val="24"/>
              </w:rPr>
              <w:t>應依本公司認購（售）權證上市審查準則第十</w:t>
            </w:r>
            <w:r w:rsidRPr="00BB3F5B">
              <w:rPr>
                <w:rFonts w:ascii="標楷體" w:eastAsia="標楷體" w:hAnsi="標楷體" w:hint="eastAsia"/>
                <w:szCs w:val="24"/>
              </w:rPr>
              <w:t>一</w:t>
            </w:r>
            <w:r w:rsidRPr="00BB3F5B">
              <w:rPr>
                <w:rFonts w:ascii="標楷體" w:eastAsia="標楷體" w:hAnsi="標楷體"/>
                <w:szCs w:val="24"/>
              </w:rPr>
              <w:t>條第六款</w:t>
            </w:r>
            <w:r w:rsidRPr="00BB3F5B">
              <w:rPr>
                <w:rFonts w:ascii="標楷體" w:eastAsia="標楷體" w:hAnsi="標楷體" w:hint="eastAsia"/>
                <w:szCs w:val="24"/>
              </w:rPr>
              <w:t>及第七款</w:t>
            </w:r>
            <w:r w:rsidRPr="00BB3F5B">
              <w:rPr>
                <w:rFonts w:ascii="標楷體" w:eastAsia="標楷體" w:hAnsi="標楷體"/>
                <w:szCs w:val="24"/>
              </w:rPr>
              <w:t>之規定計算。</w:t>
            </w:r>
            <w:r w:rsidRPr="00BB3F5B">
              <w:rPr>
                <w:rFonts w:ascii="標楷體" w:eastAsia="標楷體" w:hAnsi="標楷體" w:cs="細明體"/>
                <w:kern w:val="0"/>
                <w:szCs w:val="24"/>
              </w:rPr>
              <w:t>但以外國證券</w:t>
            </w:r>
            <w:r w:rsidRPr="00BB3F5B">
              <w:rPr>
                <w:rFonts w:ascii="標楷體" w:eastAsia="標楷體" w:hAnsi="標楷體"/>
                <w:szCs w:val="24"/>
              </w:rPr>
              <w:t>或指數</w:t>
            </w:r>
            <w:r w:rsidRPr="00BB3F5B">
              <w:rPr>
                <w:rFonts w:ascii="標楷體" w:eastAsia="標楷體" w:hAnsi="標楷體" w:cs="細明體"/>
                <w:kern w:val="0"/>
                <w:szCs w:val="24"/>
              </w:rPr>
              <w:t>為標的者</w:t>
            </w:r>
            <w:r w:rsidRPr="00BB3F5B">
              <w:rPr>
                <w:rFonts w:ascii="標楷體" w:eastAsia="標楷體" w:hAnsi="標楷體"/>
                <w:szCs w:val="24"/>
              </w:rPr>
              <w:t>，應</w:t>
            </w:r>
            <w:r w:rsidRPr="00BB3F5B">
              <w:rPr>
                <w:rFonts w:ascii="標楷體" w:eastAsia="標楷體" w:hAnsi="標楷體" w:cs="細明體"/>
                <w:kern w:val="0"/>
                <w:szCs w:val="24"/>
              </w:rPr>
              <w:t>依本公司「辦理認購（售）權證</w:t>
            </w:r>
            <w:r w:rsidRPr="00BB3F5B">
              <w:rPr>
                <w:rFonts w:ascii="標楷體" w:eastAsia="標楷體" w:hAnsi="標楷體"/>
                <w:bCs/>
                <w:szCs w:val="24"/>
              </w:rPr>
              <w:t>履約應注意事項</w:t>
            </w:r>
            <w:r w:rsidRPr="00BB3F5B">
              <w:rPr>
                <w:rFonts w:ascii="標楷體" w:eastAsia="標楷體" w:hAnsi="標楷體" w:cs="細明體"/>
                <w:kern w:val="0"/>
                <w:szCs w:val="24"/>
              </w:rPr>
              <w:t>」規定辦理</w:t>
            </w:r>
            <w:r w:rsidRPr="00BB3F5B">
              <w:rPr>
                <w:rFonts w:ascii="標楷體" w:eastAsia="標楷體" w:hAnsi="標楷體"/>
                <w:szCs w:val="24"/>
              </w:rPr>
              <w:t>。</w:t>
            </w:r>
          </w:p>
          <w:p w14:paraId="10047D82" w14:textId="77777777" w:rsidR="003E4552" w:rsidRPr="00BB3F5B" w:rsidRDefault="003E4552" w:rsidP="0014616B">
            <w:pPr>
              <w:tabs>
                <w:tab w:val="left" w:pos="-1440"/>
                <w:tab w:val="left" w:pos="-480"/>
              </w:tabs>
              <w:suppressAutoHyphens/>
              <w:autoSpaceDE w:val="0"/>
              <w:autoSpaceDN w:val="0"/>
              <w:snapToGrid w:val="0"/>
              <w:spacing w:line="400" w:lineRule="atLeast"/>
              <w:ind w:left="960" w:right="147" w:hangingChars="400" w:hanging="960"/>
              <w:jc w:val="both"/>
              <w:textAlignment w:val="baseline"/>
              <w:rPr>
                <w:szCs w:val="24"/>
              </w:rPr>
            </w:pPr>
            <w:r w:rsidRPr="00BB3F5B">
              <w:rPr>
                <w:rFonts w:ascii="標楷體" w:eastAsia="標楷體" w:hAnsi="標楷體" w:hint="eastAsia"/>
                <w:szCs w:val="24"/>
              </w:rPr>
              <w:t>（十</w:t>
            </w:r>
            <w:r w:rsidRPr="003E4552">
              <w:rPr>
                <w:rFonts w:ascii="標楷體" w:eastAsia="標楷體" w:hAnsi="標楷體" w:hint="eastAsia"/>
                <w:szCs w:val="24"/>
              </w:rPr>
              <w:t>六</w:t>
            </w:r>
            <w:r w:rsidRPr="00BB3F5B">
              <w:rPr>
                <w:rFonts w:ascii="標楷體" w:eastAsia="標楷體" w:hAnsi="標楷體" w:hint="eastAsia"/>
                <w:szCs w:val="24"/>
              </w:rPr>
              <w:t>）</w:t>
            </w:r>
            <w:r w:rsidRPr="00BB3F5B">
              <w:rPr>
                <w:rFonts w:ascii="標楷體" w:eastAsia="標楷體" w:hAnsi="標楷體"/>
                <w:szCs w:val="24"/>
              </w:rPr>
              <w:t>發行人未於規定時限履行其交付標的證券或現金差價之義務時，對其集保履約專戶內存</w:t>
            </w:r>
            <w:proofErr w:type="gramStart"/>
            <w:r w:rsidRPr="00BB3F5B">
              <w:rPr>
                <w:rFonts w:ascii="標楷體" w:eastAsia="標楷體" w:hAnsi="標楷體"/>
                <w:szCs w:val="24"/>
              </w:rPr>
              <w:t>券</w:t>
            </w:r>
            <w:proofErr w:type="gramEnd"/>
            <w:r w:rsidRPr="00BB3F5B">
              <w:rPr>
                <w:rFonts w:ascii="標楷體" w:eastAsia="標楷體" w:hAnsi="標楷體"/>
                <w:szCs w:val="24"/>
              </w:rPr>
              <w:t>之分配處理方式。</w:t>
            </w:r>
          </w:p>
          <w:p w14:paraId="174F95D5" w14:textId="77777777" w:rsidR="003E4552" w:rsidRPr="00BB3F5B" w:rsidRDefault="003E4552" w:rsidP="0014616B">
            <w:pPr>
              <w:tabs>
                <w:tab w:val="left" w:pos="-1440"/>
                <w:tab w:val="left" w:pos="-480"/>
              </w:tabs>
              <w:suppressAutoHyphens/>
              <w:autoSpaceDE w:val="0"/>
              <w:autoSpaceDN w:val="0"/>
              <w:snapToGrid w:val="0"/>
              <w:spacing w:line="400" w:lineRule="atLeast"/>
              <w:ind w:left="960" w:right="147" w:hangingChars="400" w:hanging="960"/>
              <w:jc w:val="both"/>
              <w:textAlignment w:val="baseline"/>
              <w:rPr>
                <w:szCs w:val="24"/>
              </w:rPr>
            </w:pPr>
            <w:r w:rsidRPr="00BB3F5B">
              <w:rPr>
                <w:rFonts w:ascii="標楷體" w:eastAsia="標楷體" w:hAnsi="標楷體" w:hint="eastAsia"/>
                <w:szCs w:val="24"/>
              </w:rPr>
              <w:t>（十</w:t>
            </w:r>
            <w:r w:rsidRPr="003E4552">
              <w:rPr>
                <w:rFonts w:ascii="標楷體" w:eastAsia="標楷體" w:hAnsi="標楷體" w:hint="eastAsia"/>
                <w:szCs w:val="24"/>
              </w:rPr>
              <w:t>七</w:t>
            </w:r>
            <w:r w:rsidRPr="00BB3F5B">
              <w:rPr>
                <w:rFonts w:ascii="標楷體" w:eastAsia="標楷體" w:hAnsi="標楷體" w:hint="eastAsia"/>
                <w:szCs w:val="24"/>
              </w:rPr>
              <w:t>）</w:t>
            </w:r>
            <w:r w:rsidRPr="00BB3F5B">
              <w:rPr>
                <w:rFonts w:ascii="標楷體" w:eastAsia="標楷體" w:hAnsi="標楷體"/>
                <w:bCs/>
                <w:szCs w:val="24"/>
              </w:rPr>
              <w:t>未來三個月內是否對同一標的反向發行認購（售）權證計畫之說明。</w:t>
            </w:r>
          </w:p>
          <w:p w14:paraId="6333C94B" w14:textId="77777777" w:rsidR="003E4552" w:rsidRPr="00BB3F5B" w:rsidRDefault="003E4552" w:rsidP="0014616B">
            <w:pPr>
              <w:tabs>
                <w:tab w:val="left" w:pos="-1440"/>
                <w:tab w:val="left" w:pos="-480"/>
              </w:tabs>
              <w:suppressAutoHyphens/>
              <w:autoSpaceDE w:val="0"/>
              <w:autoSpaceDN w:val="0"/>
              <w:snapToGrid w:val="0"/>
              <w:spacing w:line="400" w:lineRule="atLeast"/>
              <w:ind w:right="147"/>
              <w:jc w:val="both"/>
              <w:textAlignment w:val="baseline"/>
              <w:rPr>
                <w:szCs w:val="24"/>
              </w:rPr>
            </w:pPr>
            <w:r w:rsidRPr="00BB3F5B">
              <w:rPr>
                <w:rFonts w:ascii="標楷體" w:eastAsia="標楷體" w:hAnsi="標楷體" w:hint="eastAsia"/>
                <w:szCs w:val="24"/>
              </w:rPr>
              <w:t>（十</w:t>
            </w:r>
            <w:r w:rsidRPr="003E4552">
              <w:rPr>
                <w:rFonts w:ascii="標楷體" w:eastAsia="標楷體" w:hAnsi="標楷體" w:hint="eastAsia"/>
                <w:szCs w:val="24"/>
              </w:rPr>
              <w:t>八</w:t>
            </w:r>
            <w:r w:rsidRPr="00BB3F5B">
              <w:rPr>
                <w:rFonts w:ascii="標楷體" w:eastAsia="標楷體" w:hAnsi="標楷體" w:hint="eastAsia"/>
                <w:szCs w:val="24"/>
              </w:rPr>
              <w:t>）</w:t>
            </w:r>
            <w:r w:rsidRPr="00BB3F5B">
              <w:rPr>
                <w:rFonts w:ascii="標楷體" w:eastAsia="標楷體" w:hAnsi="標楷體"/>
                <w:szCs w:val="24"/>
              </w:rPr>
              <w:t>其他主管機關或本公司規定應記載事項。</w:t>
            </w:r>
          </w:p>
          <w:p w14:paraId="54BE35EF" w14:textId="77777777" w:rsidR="003E4552" w:rsidRPr="00BB3F5B" w:rsidRDefault="003E4552" w:rsidP="0014616B">
            <w:pPr>
              <w:tabs>
                <w:tab w:val="left" w:pos="-1440"/>
                <w:tab w:val="left" w:pos="-480"/>
              </w:tabs>
              <w:suppressAutoHyphens/>
              <w:autoSpaceDE w:val="0"/>
              <w:autoSpaceDN w:val="0"/>
              <w:snapToGrid w:val="0"/>
              <w:spacing w:line="400" w:lineRule="atLeast"/>
              <w:ind w:right="147"/>
              <w:jc w:val="both"/>
              <w:textAlignment w:val="baseline"/>
              <w:rPr>
                <w:szCs w:val="24"/>
              </w:rPr>
            </w:pPr>
            <w:r w:rsidRPr="00BB3F5B">
              <w:rPr>
                <w:rFonts w:ascii="標楷體" w:eastAsia="標楷體" w:hAnsi="標楷體" w:hint="eastAsia"/>
                <w:szCs w:val="24"/>
              </w:rPr>
              <w:t>（十</w:t>
            </w:r>
            <w:r w:rsidRPr="003E4552">
              <w:rPr>
                <w:rFonts w:ascii="標楷體" w:eastAsia="標楷體" w:hAnsi="標楷體" w:hint="eastAsia"/>
                <w:szCs w:val="24"/>
              </w:rPr>
              <w:t>九</w:t>
            </w:r>
            <w:r w:rsidRPr="00BB3F5B">
              <w:rPr>
                <w:rFonts w:ascii="標楷體" w:eastAsia="標楷體" w:hAnsi="標楷體" w:hint="eastAsia"/>
                <w:szCs w:val="24"/>
              </w:rPr>
              <w:t>）</w:t>
            </w:r>
            <w:r w:rsidRPr="00BB3F5B">
              <w:rPr>
                <w:rFonts w:ascii="標楷體" w:eastAsia="標楷體" w:hAnsi="標楷體"/>
                <w:szCs w:val="24"/>
              </w:rPr>
              <w:t>其他記載條款是否有不合理或不符規定情事。</w:t>
            </w:r>
          </w:p>
          <w:p w14:paraId="2027FD0D" w14:textId="77777777" w:rsidR="003E4552" w:rsidRPr="00BB3F5B" w:rsidRDefault="003E4552" w:rsidP="0014616B">
            <w:pPr>
              <w:suppressAutoHyphens/>
              <w:autoSpaceDE w:val="0"/>
              <w:autoSpaceDN w:val="0"/>
              <w:snapToGrid w:val="0"/>
              <w:spacing w:line="400" w:lineRule="atLeast"/>
              <w:ind w:left="480" w:right="147" w:hangingChars="200" w:hanging="480"/>
              <w:jc w:val="both"/>
              <w:textAlignment w:val="baseline"/>
              <w:rPr>
                <w:rFonts w:ascii="Calibri" w:hAnsi="Calibri"/>
                <w:szCs w:val="24"/>
              </w:rPr>
            </w:pPr>
            <w:r w:rsidRPr="00BB3F5B">
              <w:rPr>
                <w:rFonts w:ascii="標楷體" w:eastAsia="標楷體" w:hAnsi="標楷體" w:hint="eastAsia"/>
                <w:szCs w:val="24"/>
              </w:rPr>
              <w:t>四、</w:t>
            </w:r>
            <w:r w:rsidRPr="00BB3F5B">
              <w:rPr>
                <w:rFonts w:ascii="標楷體" w:eastAsia="標楷體" w:hAnsi="標楷體"/>
                <w:szCs w:val="24"/>
              </w:rPr>
              <w:t>其他因事業特性或特殊情形，是否可認對申請人之履約能力或標的價格有不利影響者。</w:t>
            </w:r>
          </w:p>
          <w:p w14:paraId="39238C6D" w14:textId="77777777" w:rsidR="003E4552" w:rsidRPr="00BB3F5B" w:rsidRDefault="003E4552" w:rsidP="0014616B">
            <w:pPr>
              <w:snapToGrid w:val="0"/>
              <w:spacing w:line="400" w:lineRule="atLeast"/>
              <w:ind w:left="480" w:right="147" w:hangingChars="200" w:hanging="480"/>
              <w:jc w:val="both"/>
              <w:rPr>
                <w:rFonts w:eastAsia="標楷體"/>
                <w:szCs w:val="24"/>
              </w:rPr>
            </w:pPr>
            <w:r w:rsidRPr="00BB3F5B">
              <w:rPr>
                <w:rFonts w:ascii="標楷體" w:eastAsia="標楷體" w:hAnsi="標楷體" w:hint="eastAsia"/>
                <w:szCs w:val="24"/>
              </w:rPr>
              <w:t>五</w:t>
            </w:r>
            <w:r w:rsidRPr="00BB3F5B">
              <w:rPr>
                <w:rFonts w:ascii="標楷體" w:eastAsia="標楷體" w:hAnsi="標楷體" w:hint="eastAsia"/>
                <w:szCs w:val="24"/>
                <w:lang w:eastAsia="zh-HK"/>
              </w:rPr>
              <w:t>、</w:t>
            </w:r>
            <w:r w:rsidRPr="00BB3F5B">
              <w:rPr>
                <w:rFonts w:ascii="標楷體" w:eastAsia="標楷體" w:hAnsi="標楷體"/>
                <w:szCs w:val="24"/>
              </w:rPr>
              <w:t>是否違反認購（售）權證上市審查準則第十二條第四款情事。</w:t>
            </w:r>
            <w:r w:rsidRPr="00BB3F5B">
              <w:rPr>
                <w:rFonts w:ascii="標楷體" w:eastAsia="標楷體" w:hAnsi="標楷體" w:cs="細明體"/>
                <w:kern w:val="0"/>
                <w:szCs w:val="24"/>
              </w:rPr>
              <w:t>但</w:t>
            </w:r>
            <w:r w:rsidRPr="00BB3F5B">
              <w:rPr>
                <w:rFonts w:ascii="標楷體" w:eastAsia="標楷體" w:hAnsi="標楷體" w:cs="細明體"/>
                <w:szCs w:val="24"/>
              </w:rPr>
              <w:t>增</w:t>
            </w:r>
            <w:r w:rsidRPr="00BB3F5B">
              <w:rPr>
                <w:rFonts w:ascii="標楷體" w:eastAsia="標楷體" w:hAnsi="標楷體"/>
                <w:szCs w:val="24"/>
              </w:rPr>
              <w:t>額</w:t>
            </w:r>
            <w:r w:rsidRPr="00BB3F5B">
              <w:rPr>
                <w:rFonts w:ascii="標楷體" w:eastAsia="標楷體" w:hAnsi="標楷體" w:cs="細明體"/>
                <w:szCs w:val="24"/>
              </w:rPr>
              <w:t>發行之認購（售）權證不適用之。</w:t>
            </w:r>
          </w:p>
        </w:tc>
        <w:tc>
          <w:tcPr>
            <w:tcW w:w="1276" w:type="dxa"/>
          </w:tcPr>
          <w:p w14:paraId="23CF0DFC" w14:textId="77777777" w:rsidR="003E4552" w:rsidRPr="00BB3F5B" w:rsidRDefault="003E4552" w:rsidP="0014616B">
            <w:pPr>
              <w:snapToGrid w:val="0"/>
              <w:spacing w:line="400" w:lineRule="atLeast"/>
              <w:jc w:val="both"/>
              <w:rPr>
                <w:rFonts w:eastAsia="標楷體"/>
                <w:szCs w:val="24"/>
              </w:rPr>
            </w:pPr>
          </w:p>
        </w:tc>
        <w:tc>
          <w:tcPr>
            <w:tcW w:w="1134" w:type="dxa"/>
          </w:tcPr>
          <w:p w14:paraId="595854F6" w14:textId="77777777" w:rsidR="003E4552" w:rsidRPr="00BB3F5B" w:rsidRDefault="003E4552" w:rsidP="0014616B">
            <w:pPr>
              <w:snapToGrid w:val="0"/>
              <w:spacing w:line="400" w:lineRule="atLeast"/>
              <w:jc w:val="center"/>
              <w:rPr>
                <w:rFonts w:eastAsia="標楷體"/>
                <w:szCs w:val="24"/>
              </w:rPr>
            </w:pPr>
          </w:p>
        </w:tc>
      </w:tr>
    </w:tbl>
    <w:p w14:paraId="69EA0851" w14:textId="06FEE54A" w:rsidR="004E4842" w:rsidRDefault="00B8673B" w:rsidP="003E4552">
      <w:pPr>
        <w:snapToGrid w:val="0"/>
        <w:spacing w:line="400" w:lineRule="atLeast"/>
        <w:ind w:left="113" w:hangingChars="47" w:hanging="113"/>
        <w:jc w:val="both"/>
        <w:rPr>
          <w:rFonts w:ascii="Times New Roman" w:eastAsia="標楷體" w:hAnsi="Times New Roman" w:cs="Times New Roman"/>
          <w:szCs w:val="24"/>
        </w:rPr>
      </w:pPr>
      <w:r w:rsidRPr="00B802F8">
        <w:rPr>
          <w:rFonts w:ascii="Times New Roman" w:eastAsia="標楷體" w:hAnsi="Times New Roman" w:cs="Times New Roman"/>
          <w:szCs w:val="24"/>
        </w:rPr>
        <w:lastRenderedPageBreak/>
        <w:t>備註：發行人填報之欄位應由發行人註明所附文件之索引及說明</w:t>
      </w:r>
    </w:p>
    <w:p w14:paraId="7BAEFE94" w14:textId="575E9A09" w:rsidR="004E4842" w:rsidRDefault="004E4842">
      <w:pPr>
        <w:widowControl/>
        <w:rPr>
          <w:rFonts w:ascii="Times New Roman" w:eastAsia="標楷體" w:hAnsi="Times New Roman" w:cs="Times New Roman"/>
          <w:szCs w:val="24"/>
        </w:rPr>
      </w:pPr>
    </w:p>
    <w:sectPr w:rsidR="004E4842" w:rsidSect="004E4842">
      <w:footerReference w:type="default" r:id="rId8"/>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E70B" w14:textId="77777777" w:rsidR="00057E9E" w:rsidRDefault="00057E9E" w:rsidP="00A808DC">
      <w:r>
        <w:separator/>
      </w:r>
    </w:p>
  </w:endnote>
  <w:endnote w:type="continuationSeparator" w:id="0">
    <w:p w14:paraId="35FD3D24" w14:textId="77777777" w:rsidR="00057E9E" w:rsidRDefault="00057E9E" w:rsidP="00A8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研澤楷書體">
    <w:altName w:val="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004242"/>
      <w:docPartObj>
        <w:docPartGallery w:val="Page Numbers (Bottom of Page)"/>
        <w:docPartUnique/>
      </w:docPartObj>
    </w:sdtPr>
    <w:sdtContent>
      <w:p w14:paraId="48EAAEDB" w14:textId="7B08E5B4" w:rsidR="00A57D78" w:rsidRPr="00E10527" w:rsidRDefault="00A57D78">
        <w:pPr>
          <w:pStyle w:val="a6"/>
          <w:jc w:val="center"/>
          <w:rPr>
            <w:rFonts w:ascii="Times New Roman" w:hAnsi="Times New Roman" w:cs="Times New Roman"/>
          </w:rPr>
        </w:pPr>
        <w:r w:rsidRPr="00E10527">
          <w:rPr>
            <w:rFonts w:ascii="Times New Roman" w:hAnsi="Times New Roman" w:cs="Times New Roman"/>
          </w:rPr>
          <w:fldChar w:fldCharType="begin"/>
        </w:r>
        <w:r w:rsidRPr="00E10527">
          <w:rPr>
            <w:rFonts w:ascii="Times New Roman" w:hAnsi="Times New Roman" w:cs="Times New Roman"/>
          </w:rPr>
          <w:instrText>PAGE   \* MERGEFORMAT</w:instrText>
        </w:r>
        <w:r w:rsidRPr="00E10527">
          <w:rPr>
            <w:rFonts w:ascii="Times New Roman" w:hAnsi="Times New Roman" w:cs="Times New Roman"/>
          </w:rPr>
          <w:fldChar w:fldCharType="separate"/>
        </w:r>
        <w:r w:rsidR="006F1ABA" w:rsidRPr="006F1ABA">
          <w:rPr>
            <w:rFonts w:ascii="Times New Roman" w:hAnsi="Times New Roman" w:cs="Times New Roman"/>
            <w:noProof/>
            <w:lang w:val="zh-TW"/>
          </w:rPr>
          <w:t>31</w:t>
        </w:r>
        <w:r w:rsidRPr="00E10527">
          <w:rPr>
            <w:rFonts w:ascii="Times New Roman" w:hAnsi="Times New Roman" w:cs="Times New Roman"/>
          </w:rPr>
          <w:fldChar w:fldCharType="end"/>
        </w:r>
      </w:p>
    </w:sdtContent>
  </w:sdt>
  <w:p w14:paraId="6E42E2AB" w14:textId="77777777" w:rsidR="00A57D78" w:rsidRPr="00E10527" w:rsidRDefault="00A57D78">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9B928" w14:textId="77777777" w:rsidR="00057E9E" w:rsidRDefault="00057E9E" w:rsidP="00A808DC">
      <w:r>
        <w:separator/>
      </w:r>
    </w:p>
  </w:footnote>
  <w:footnote w:type="continuationSeparator" w:id="0">
    <w:p w14:paraId="3B305103" w14:textId="77777777" w:rsidR="00057E9E" w:rsidRDefault="00057E9E" w:rsidP="00A80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2D3"/>
    <w:multiLevelType w:val="hybridMultilevel"/>
    <w:tmpl w:val="C8807B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D56AC"/>
    <w:multiLevelType w:val="hybridMultilevel"/>
    <w:tmpl w:val="436613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937352"/>
    <w:multiLevelType w:val="hybridMultilevel"/>
    <w:tmpl w:val="57B64300"/>
    <w:lvl w:ilvl="0" w:tplc="9D985954">
      <w:start w:val="1"/>
      <w:numFmt w:val="taiwaneseCountingThousand"/>
      <w:lvlText w:val="%1、"/>
      <w:lvlJc w:val="left"/>
      <w:pPr>
        <w:ind w:left="326" w:hanging="384"/>
      </w:pPr>
      <w:rPr>
        <w:rFonts w:hint="default"/>
      </w:rPr>
    </w:lvl>
    <w:lvl w:ilvl="1" w:tplc="04090019" w:tentative="1">
      <w:start w:val="1"/>
      <w:numFmt w:val="ideographTraditional"/>
      <w:lvlText w:val="%2、"/>
      <w:lvlJc w:val="left"/>
      <w:pPr>
        <w:ind w:left="902" w:hanging="480"/>
      </w:pPr>
    </w:lvl>
    <w:lvl w:ilvl="2" w:tplc="0409001B" w:tentative="1">
      <w:start w:val="1"/>
      <w:numFmt w:val="lowerRoman"/>
      <w:lvlText w:val="%3."/>
      <w:lvlJc w:val="righ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abstractNum w:abstractNumId="3" w15:restartNumberingAfterBreak="0">
    <w:nsid w:val="033F26BB"/>
    <w:multiLevelType w:val="hybridMultilevel"/>
    <w:tmpl w:val="0F8E3FCC"/>
    <w:lvl w:ilvl="0" w:tplc="B6544A48">
      <w:start w:val="1"/>
      <w:numFmt w:val="taiwaneseCountingThousand"/>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3A9108E"/>
    <w:multiLevelType w:val="hybridMultilevel"/>
    <w:tmpl w:val="4D24DFB6"/>
    <w:lvl w:ilvl="0" w:tplc="D7486F74">
      <w:start w:val="1"/>
      <w:numFmt w:val="taiwaneseCountingThousand"/>
      <w:lvlText w:val="%1、"/>
      <w:lvlJc w:val="left"/>
      <w:pPr>
        <w:ind w:left="641" w:hanging="500"/>
      </w:pPr>
      <w:rPr>
        <w:rFonts w:ascii="標楷體" w:eastAsia="標楷體" w:hAnsi="標楷體" w:cs="標楷體" w:hint="default"/>
        <w:color w:val="auto"/>
        <w:sz w:val="24"/>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5" w15:restartNumberingAfterBreak="0">
    <w:nsid w:val="042647DB"/>
    <w:multiLevelType w:val="hybridMultilevel"/>
    <w:tmpl w:val="212C20C6"/>
    <w:lvl w:ilvl="0" w:tplc="3A98451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3D51CD"/>
    <w:multiLevelType w:val="hybridMultilevel"/>
    <w:tmpl w:val="C44640B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0B6730A5"/>
    <w:multiLevelType w:val="hybridMultilevel"/>
    <w:tmpl w:val="C570EF3A"/>
    <w:lvl w:ilvl="0" w:tplc="FE686F5E">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1C0AA2"/>
    <w:multiLevelType w:val="multilevel"/>
    <w:tmpl w:val="122C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3C434A"/>
    <w:multiLevelType w:val="hybridMultilevel"/>
    <w:tmpl w:val="E40E7048"/>
    <w:lvl w:ilvl="0" w:tplc="4174518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0F8E6374"/>
    <w:multiLevelType w:val="multilevel"/>
    <w:tmpl w:val="1D76A5EE"/>
    <w:lvl w:ilvl="0">
      <w:start w:val="1"/>
      <w:numFmt w:val="taiwaneseCountingThousand"/>
      <w:lvlText w:val="%1、"/>
      <w:lvlJc w:val="left"/>
      <w:pPr>
        <w:ind w:left="500" w:hanging="50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A2A6D9C"/>
    <w:multiLevelType w:val="hybridMultilevel"/>
    <w:tmpl w:val="83DE830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B292F78"/>
    <w:multiLevelType w:val="hybridMultilevel"/>
    <w:tmpl w:val="78B8C1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3E65CE"/>
    <w:multiLevelType w:val="hybridMultilevel"/>
    <w:tmpl w:val="0F8E3FCC"/>
    <w:lvl w:ilvl="0" w:tplc="B6544A48">
      <w:start w:val="1"/>
      <w:numFmt w:val="taiwaneseCountingThousand"/>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4B6DBB"/>
    <w:multiLevelType w:val="hybridMultilevel"/>
    <w:tmpl w:val="C8807B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733C37"/>
    <w:multiLevelType w:val="hybridMultilevel"/>
    <w:tmpl w:val="53EE66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2C7B14"/>
    <w:multiLevelType w:val="hybridMultilevel"/>
    <w:tmpl w:val="090C8B7C"/>
    <w:lvl w:ilvl="0" w:tplc="E5E4F16A">
      <w:start w:val="1"/>
      <w:numFmt w:val="taiwaneseCountingThousand"/>
      <w:lvlText w:val="%1、"/>
      <w:lvlJc w:val="left"/>
      <w:pPr>
        <w:ind w:left="324" w:hanging="384"/>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7" w15:restartNumberingAfterBreak="0">
    <w:nsid w:val="2904292F"/>
    <w:multiLevelType w:val="hybridMultilevel"/>
    <w:tmpl w:val="6FD82706"/>
    <w:lvl w:ilvl="0" w:tplc="297E4C38">
      <w:start w:val="4"/>
      <w:numFmt w:val="taiwaneseCountingThousand"/>
      <w:lvlText w:val="%1、"/>
      <w:lvlJc w:val="left"/>
      <w:pPr>
        <w:ind w:left="502"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A246FF9"/>
    <w:multiLevelType w:val="hybridMultilevel"/>
    <w:tmpl w:val="5E5A255A"/>
    <w:lvl w:ilvl="0" w:tplc="3BB28302">
      <w:start w:val="1"/>
      <w:numFmt w:val="taiwaneseCountingThousand"/>
      <w:lvlText w:val="%1、"/>
      <w:lvlJc w:val="left"/>
      <w:pPr>
        <w:ind w:left="483" w:hanging="500"/>
      </w:pPr>
      <w:rPr>
        <w:rFonts w:hint="default"/>
      </w:r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9" w15:restartNumberingAfterBreak="0">
    <w:nsid w:val="2DE616E7"/>
    <w:multiLevelType w:val="hybridMultilevel"/>
    <w:tmpl w:val="4E80F2CC"/>
    <w:lvl w:ilvl="0" w:tplc="013EFA70">
      <w:start w:val="1"/>
      <w:numFmt w:val="taiwaneseCountingThousand"/>
      <w:lvlText w:val="%1、"/>
      <w:lvlJc w:val="left"/>
      <w:pPr>
        <w:ind w:left="500" w:hanging="500"/>
      </w:pPr>
      <w:rPr>
        <w:rFonts w:hint="default"/>
        <w:lang w:val="e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E73019"/>
    <w:multiLevelType w:val="hybridMultilevel"/>
    <w:tmpl w:val="6C0A17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0555B98"/>
    <w:multiLevelType w:val="multilevel"/>
    <w:tmpl w:val="3AF06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73562C"/>
    <w:multiLevelType w:val="multilevel"/>
    <w:tmpl w:val="D30CF8FA"/>
    <w:lvl w:ilvl="0">
      <w:start w:val="1"/>
      <w:numFmt w:val="decimal"/>
      <w:lvlText w:val="%1."/>
      <w:lvlJc w:val="left"/>
      <w:pPr>
        <w:ind w:left="763" w:hanging="42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09F75EC"/>
    <w:multiLevelType w:val="hybridMultilevel"/>
    <w:tmpl w:val="7A684596"/>
    <w:lvl w:ilvl="0" w:tplc="3820B544">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2E07AB6"/>
    <w:multiLevelType w:val="hybridMultilevel"/>
    <w:tmpl w:val="2660BC26"/>
    <w:lvl w:ilvl="0" w:tplc="97FC4652">
      <w:start w:val="1"/>
      <w:numFmt w:val="taiwaneseCountingThousand"/>
      <w:lvlText w:val="%1、"/>
      <w:lvlJc w:val="left"/>
      <w:pPr>
        <w:ind w:left="482"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5" w15:restartNumberingAfterBreak="0">
    <w:nsid w:val="35E721F3"/>
    <w:multiLevelType w:val="multilevel"/>
    <w:tmpl w:val="0B28427A"/>
    <w:lvl w:ilvl="0">
      <w:start w:val="1"/>
      <w:numFmt w:val="taiwaneseCountingThousand"/>
      <w:lvlText w:val="（%1）"/>
      <w:lvlJc w:val="left"/>
      <w:pPr>
        <w:ind w:left="1287" w:hanging="720"/>
      </w:pPr>
      <w:rPr>
        <w:rFonts w:ascii="標楷體" w:eastAsia="標楷體" w:hAnsi="標楷體"/>
        <w:b w:val="0"/>
        <w:i w:val="0"/>
        <w:color w:val="000000"/>
        <w:sz w:val="24"/>
        <w:u w:val="none"/>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6621823"/>
    <w:multiLevelType w:val="hybridMultilevel"/>
    <w:tmpl w:val="C8807B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6731424"/>
    <w:multiLevelType w:val="hybridMultilevel"/>
    <w:tmpl w:val="BD7AA58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9ED05AC"/>
    <w:multiLevelType w:val="hybridMultilevel"/>
    <w:tmpl w:val="5CCED7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B514C02"/>
    <w:multiLevelType w:val="hybridMultilevel"/>
    <w:tmpl w:val="C8807B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C1238E5"/>
    <w:multiLevelType w:val="hybridMultilevel"/>
    <w:tmpl w:val="7BA4DA42"/>
    <w:lvl w:ilvl="0" w:tplc="29201596">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D482219"/>
    <w:multiLevelType w:val="hybridMultilevel"/>
    <w:tmpl w:val="58D2CD18"/>
    <w:lvl w:ilvl="0" w:tplc="92122192">
      <w:start w:val="1"/>
      <w:numFmt w:val="taiwaneseCountingThousand"/>
      <w:lvlText w:val="%1、"/>
      <w:lvlJc w:val="left"/>
      <w:pPr>
        <w:ind w:left="380" w:hanging="3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E7D08DA"/>
    <w:multiLevelType w:val="multilevel"/>
    <w:tmpl w:val="C528420A"/>
    <w:lvl w:ilvl="0">
      <w:start w:val="1"/>
      <w:numFmt w:val="taiwaneseCountingThousand"/>
      <w:lvlText w:val="%1、"/>
      <w:lvlJc w:val="left"/>
      <w:pPr>
        <w:ind w:left="500" w:hanging="50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18D7D6B"/>
    <w:multiLevelType w:val="hybridMultilevel"/>
    <w:tmpl w:val="7974B988"/>
    <w:lvl w:ilvl="0" w:tplc="04090015">
      <w:start w:val="1"/>
      <w:numFmt w:val="taiwaneseCountingThousand"/>
      <w:lvlText w:val="%1、"/>
      <w:lvlJc w:val="left"/>
      <w:pPr>
        <w:ind w:left="494" w:hanging="480"/>
      </w:p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34" w15:restartNumberingAfterBreak="0">
    <w:nsid w:val="473F0121"/>
    <w:multiLevelType w:val="multilevel"/>
    <w:tmpl w:val="09CC414C"/>
    <w:lvl w:ilvl="0">
      <w:start w:val="1"/>
      <w:numFmt w:val="decimal"/>
      <w:lvlText w:val="%1."/>
      <w:lvlJc w:val="left"/>
      <w:pPr>
        <w:ind w:left="425" w:hanging="42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492C65E5"/>
    <w:multiLevelType w:val="hybridMultilevel"/>
    <w:tmpl w:val="249863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A7705D3"/>
    <w:multiLevelType w:val="hybridMultilevel"/>
    <w:tmpl w:val="C8807B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AC10BB9"/>
    <w:multiLevelType w:val="hybridMultilevel"/>
    <w:tmpl w:val="BBD8EC5E"/>
    <w:lvl w:ilvl="0" w:tplc="4942E410">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C0D51DE"/>
    <w:multiLevelType w:val="hybridMultilevel"/>
    <w:tmpl w:val="6C0A17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C5D4AC4"/>
    <w:multiLevelType w:val="hybridMultilevel"/>
    <w:tmpl w:val="6C0A17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C7F5A77"/>
    <w:multiLevelType w:val="hybridMultilevel"/>
    <w:tmpl w:val="580AF6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EE74B64"/>
    <w:multiLevelType w:val="hybridMultilevel"/>
    <w:tmpl w:val="1BF8756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37A403E"/>
    <w:multiLevelType w:val="hybridMultilevel"/>
    <w:tmpl w:val="9A38CC16"/>
    <w:lvl w:ilvl="0" w:tplc="C8E8F6EE">
      <w:start w:val="1"/>
      <w:numFmt w:val="taiwaneseCountingThousand"/>
      <w:lvlText w:val="%1、"/>
      <w:lvlJc w:val="left"/>
      <w:pPr>
        <w:ind w:left="324" w:hanging="384"/>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3" w15:restartNumberingAfterBreak="0">
    <w:nsid w:val="54447539"/>
    <w:multiLevelType w:val="multilevel"/>
    <w:tmpl w:val="98849078"/>
    <w:lvl w:ilvl="0">
      <w:start w:val="1"/>
      <w:numFmt w:val="decimal"/>
      <w:lvlText w:val="%1."/>
      <w:lvlJc w:val="left"/>
      <w:pPr>
        <w:ind w:left="425" w:hanging="42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54A2091F"/>
    <w:multiLevelType w:val="hybridMultilevel"/>
    <w:tmpl w:val="22FC82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5294296"/>
    <w:multiLevelType w:val="hybridMultilevel"/>
    <w:tmpl w:val="4D24DFB6"/>
    <w:lvl w:ilvl="0" w:tplc="FFFFFFFF">
      <w:start w:val="1"/>
      <w:numFmt w:val="taiwaneseCountingThousand"/>
      <w:lvlText w:val="%1、"/>
      <w:lvlJc w:val="left"/>
      <w:pPr>
        <w:ind w:left="641" w:hanging="500"/>
      </w:pPr>
      <w:rPr>
        <w:rFonts w:ascii="標楷體" w:eastAsia="標楷體" w:hAnsi="標楷體" w:cs="標楷體" w:hint="default"/>
        <w:color w:val="auto"/>
        <w:sz w:val="24"/>
      </w:rPr>
    </w:lvl>
    <w:lvl w:ilvl="1" w:tplc="FFFFFFFF" w:tentative="1">
      <w:start w:val="1"/>
      <w:numFmt w:val="ideographTraditional"/>
      <w:lvlText w:val="%2、"/>
      <w:lvlJc w:val="left"/>
      <w:pPr>
        <w:ind w:left="1101" w:hanging="480"/>
      </w:pPr>
    </w:lvl>
    <w:lvl w:ilvl="2" w:tplc="FFFFFFFF" w:tentative="1">
      <w:start w:val="1"/>
      <w:numFmt w:val="lowerRoman"/>
      <w:lvlText w:val="%3."/>
      <w:lvlJc w:val="right"/>
      <w:pPr>
        <w:ind w:left="1581" w:hanging="480"/>
      </w:pPr>
    </w:lvl>
    <w:lvl w:ilvl="3" w:tplc="FFFFFFFF" w:tentative="1">
      <w:start w:val="1"/>
      <w:numFmt w:val="decimal"/>
      <w:lvlText w:val="%4."/>
      <w:lvlJc w:val="left"/>
      <w:pPr>
        <w:ind w:left="2061" w:hanging="480"/>
      </w:pPr>
    </w:lvl>
    <w:lvl w:ilvl="4" w:tplc="FFFFFFFF" w:tentative="1">
      <w:start w:val="1"/>
      <w:numFmt w:val="ideographTraditional"/>
      <w:lvlText w:val="%5、"/>
      <w:lvlJc w:val="left"/>
      <w:pPr>
        <w:ind w:left="2541" w:hanging="480"/>
      </w:pPr>
    </w:lvl>
    <w:lvl w:ilvl="5" w:tplc="FFFFFFFF" w:tentative="1">
      <w:start w:val="1"/>
      <w:numFmt w:val="lowerRoman"/>
      <w:lvlText w:val="%6."/>
      <w:lvlJc w:val="right"/>
      <w:pPr>
        <w:ind w:left="3021" w:hanging="480"/>
      </w:pPr>
    </w:lvl>
    <w:lvl w:ilvl="6" w:tplc="FFFFFFFF" w:tentative="1">
      <w:start w:val="1"/>
      <w:numFmt w:val="decimal"/>
      <w:lvlText w:val="%7."/>
      <w:lvlJc w:val="left"/>
      <w:pPr>
        <w:ind w:left="3501" w:hanging="480"/>
      </w:pPr>
    </w:lvl>
    <w:lvl w:ilvl="7" w:tplc="FFFFFFFF" w:tentative="1">
      <w:start w:val="1"/>
      <w:numFmt w:val="ideographTraditional"/>
      <w:lvlText w:val="%8、"/>
      <w:lvlJc w:val="left"/>
      <w:pPr>
        <w:ind w:left="3981" w:hanging="480"/>
      </w:pPr>
    </w:lvl>
    <w:lvl w:ilvl="8" w:tplc="FFFFFFFF" w:tentative="1">
      <w:start w:val="1"/>
      <w:numFmt w:val="lowerRoman"/>
      <w:lvlText w:val="%9."/>
      <w:lvlJc w:val="right"/>
      <w:pPr>
        <w:ind w:left="4461" w:hanging="480"/>
      </w:pPr>
    </w:lvl>
  </w:abstractNum>
  <w:abstractNum w:abstractNumId="46" w15:restartNumberingAfterBreak="0">
    <w:nsid w:val="58870978"/>
    <w:multiLevelType w:val="hybridMultilevel"/>
    <w:tmpl w:val="C206EC0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FCA1B81"/>
    <w:multiLevelType w:val="hybridMultilevel"/>
    <w:tmpl w:val="BB0C551A"/>
    <w:lvl w:ilvl="0" w:tplc="4F0E65DA">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1C750FE"/>
    <w:multiLevelType w:val="multilevel"/>
    <w:tmpl w:val="D30CF8FA"/>
    <w:lvl w:ilvl="0">
      <w:start w:val="1"/>
      <w:numFmt w:val="decimal"/>
      <w:lvlText w:val="%1."/>
      <w:lvlJc w:val="left"/>
      <w:pPr>
        <w:ind w:left="425" w:hanging="42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62B46EB4"/>
    <w:multiLevelType w:val="hybridMultilevel"/>
    <w:tmpl w:val="C12415B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407348E"/>
    <w:multiLevelType w:val="multilevel"/>
    <w:tmpl w:val="871CBB9E"/>
    <w:lvl w:ilvl="0">
      <w:start w:val="1"/>
      <w:numFmt w:val="decimal"/>
      <w:lvlText w:val="%1."/>
      <w:lvlJc w:val="left"/>
      <w:pPr>
        <w:tabs>
          <w:tab w:val="num" w:pos="720"/>
        </w:tabs>
        <w:ind w:left="720" w:hanging="360"/>
      </w:pPr>
    </w:lvl>
    <w:lvl w:ilvl="1">
      <w:start w:val="1"/>
      <w:numFmt w:val="taiwaneseCountingThousand"/>
      <w:lvlText w:val="%2、"/>
      <w:lvlJc w:val="left"/>
      <w:pPr>
        <w:ind w:left="1800" w:hanging="720"/>
      </w:pPr>
      <w:rPr>
        <w:rFonts w:hAnsiTheme="minorHAnsi" w:cs="標楷體"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704554D"/>
    <w:multiLevelType w:val="hybridMultilevel"/>
    <w:tmpl w:val="648A5B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8E27FB1"/>
    <w:multiLevelType w:val="hybridMultilevel"/>
    <w:tmpl w:val="66B812F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A174137"/>
    <w:multiLevelType w:val="hybridMultilevel"/>
    <w:tmpl w:val="44586034"/>
    <w:lvl w:ilvl="0" w:tplc="0E621528">
      <w:start w:val="1"/>
      <w:numFmt w:val="taiwaneseCountingThousand"/>
      <w:lvlText w:val="%1、"/>
      <w:lvlJc w:val="left"/>
      <w:pPr>
        <w:ind w:left="504" w:hanging="5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CB12073"/>
    <w:multiLevelType w:val="hybridMultilevel"/>
    <w:tmpl w:val="12EC2F54"/>
    <w:lvl w:ilvl="0" w:tplc="0409000B">
      <w:start w:val="1"/>
      <w:numFmt w:val="bullet"/>
      <w:lvlText w:val=""/>
      <w:lvlJc w:val="left"/>
      <w:pPr>
        <w:ind w:left="1014" w:hanging="480"/>
      </w:pPr>
      <w:rPr>
        <w:rFonts w:ascii="Wingdings" w:hAnsi="Wingdings" w:hint="default"/>
      </w:rPr>
    </w:lvl>
    <w:lvl w:ilvl="1" w:tplc="04090003" w:tentative="1">
      <w:start w:val="1"/>
      <w:numFmt w:val="bullet"/>
      <w:lvlText w:val=""/>
      <w:lvlJc w:val="left"/>
      <w:pPr>
        <w:ind w:left="1494" w:hanging="480"/>
      </w:pPr>
      <w:rPr>
        <w:rFonts w:ascii="Wingdings" w:hAnsi="Wingdings" w:hint="default"/>
      </w:rPr>
    </w:lvl>
    <w:lvl w:ilvl="2" w:tplc="04090005" w:tentative="1">
      <w:start w:val="1"/>
      <w:numFmt w:val="bullet"/>
      <w:lvlText w:val=""/>
      <w:lvlJc w:val="left"/>
      <w:pPr>
        <w:ind w:left="1974" w:hanging="480"/>
      </w:pPr>
      <w:rPr>
        <w:rFonts w:ascii="Wingdings" w:hAnsi="Wingdings" w:hint="default"/>
      </w:rPr>
    </w:lvl>
    <w:lvl w:ilvl="3" w:tplc="04090001" w:tentative="1">
      <w:start w:val="1"/>
      <w:numFmt w:val="bullet"/>
      <w:lvlText w:val=""/>
      <w:lvlJc w:val="left"/>
      <w:pPr>
        <w:ind w:left="2454" w:hanging="480"/>
      </w:pPr>
      <w:rPr>
        <w:rFonts w:ascii="Wingdings" w:hAnsi="Wingdings" w:hint="default"/>
      </w:rPr>
    </w:lvl>
    <w:lvl w:ilvl="4" w:tplc="04090003" w:tentative="1">
      <w:start w:val="1"/>
      <w:numFmt w:val="bullet"/>
      <w:lvlText w:val=""/>
      <w:lvlJc w:val="left"/>
      <w:pPr>
        <w:ind w:left="2934" w:hanging="480"/>
      </w:pPr>
      <w:rPr>
        <w:rFonts w:ascii="Wingdings" w:hAnsi="Wingdings" w:hint="default"/>
      </w:rPr>
    </w:lvl>
    <w:lvl w:ilvl="5" w:tplc="04090005" w:tentative="1">
      <w:start w:val="1"/>
      <w:numFmt w:val="bullet"/>
      <w:lvlText w:val=""/>
      <w:lvlJc w:val="left"/>
      <w:pPr>
        <w:ind w:left="3414" w:hanging="480"/>
      </w:pPr>
      <w:rPr>
        <w:rFonts w:ascii="Wingdings" w:hAnsi="Wingdings" w:hint="default"/>
      </w:rPr>
    </w:lvl>
    <w:lvl w:ilvl="6" w:tplc="04090001" w:tentative="1">
      <w:start w:val="1"/>
      <w:numFmt w:val="bullet"/>
      <w:lvlText w:val=""/>
      <w:lvlJc w:val="left"/>
      <w:pPr>
        <w:ind w:left="3894" w:hanging="480"/>
      </w:pPr>
      <w:rPr>
        <w:rFonts w:ascii="Wingdings" w:hAnsi="Wingdings" w:hint="default"/>
      </w:rPr>
    </w:lvl>
    <w:lvl w:ilvl="7" w:tplc="04090003" w:tentative="1">
      <w:start w:val="1"/>
      <w:numFmt w:val="bullet"/>
      <w:lvlText w:val=""/>
      <w:lvlJc w:val="left"/>
      <w:pPr>
        <w:ind w:left="4374" w:hanging="480"/>
      </w:pPr>
      <w:rPr>
        <w:rFonts w:ascii="Wingdings" w:hAnsi="Wingdings" w:hint="default"/>
      </w:rPr>
    </w:lvl>
    <w:lvl w:ilvl="8" w:tplc="04090005" w:tentative="1">
      <w:start w:val="1"/>
      <w:numFmt w:val="bullet"/>
      <w:lvlText w:val=""/>
      <w:lvlJc w:val="left"/>
      <w:pPr>
        <w:ind w:left="4854" w:hanging="480"/>
      </w:pPr>
      <w:rPr>
        <w:rFonts w:ascii="Wingdings" w:hAnsi="Wingdings" w:hint="default"/>
      </w:rPr>
    </w:lvl>
  </w:abstractNum>
  <w:abstractNum w:abstractNumId="55" w15:restartNumberingAfterBreak="0">
    <w:nsid w:val="6F9F708A"/>
    <w:multiLevelType w:val="hybridMultilevel"/>
    <w:tmpl w:val="1BF8756E"/>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6" w15:restartNumberingAfterBreak="0">
    <w:nsid w:val="711C133B"/>
    <w:multiLevelType w:val="hybridMultilevel"/>
    <w:tmpl w:val="8F8688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2EC2B30"/>
    <w:multiLevelType w:val="hybridMultilevel"/>
    <w:tmpl w:val="C44640B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8" w15:restartNumberingAfterBreak="0">
    <w:nsid w:val="7388718E"/>
    <w:multiLevelType w:val="hybridMultilevel"/>
    <w:tmpl w:val="B26EB0F6"/>
    <w:lvl w:ilvl="0" w:tplc="6324E0A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407106F"/>
    <w:multiLevelType w:val="hybridMultilevel"/>
    <w:tmpl w:val="70FE53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5173FDF"/>
    <w:multiLevelType w:val="hybridMultilevel"/>
    <w:tmpl w:val="C44640B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1" w15:restartNumberingAfterBreak="0">
    <w:nsid w:val="75324D8A"/>
    <w:multiLevelType w:val="multilevel"/>
    <w:tmpl w:val="C15EC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8ED6CB6"/>
    <w:multiLevelType w:val="hybridMultilevel"/>
    <w:tmpl w:val="C44640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A6A0A88"/>
    <w:multiLevelType w:val="hybridMultilevel"/>
    <w:tmpl w:val="E9AE53F6"/>
    <w:lvl w:ilvl="0" w:tplc="0D84E1BE">
      <w:start w:val="1"/>
      <w:numFmt w:val="taiwaneseCountingThousand"/>
      <w:lvlText w:val="%1、"/>
      <w:lvlJc w:val="left"/>
      <w:pPr>
        <w:ind w:left="502" w:hanging="50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4" w15:restartNumberingAfterBreak="0">
    <w:nsid w:val="7B442AE7"/>
    <w:multiLevelType w:val="hybridMultilevel"/>
    <w:tmpl w:val="49942B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C690F32"/>
    <w:multiLevelType w:val="hybridMultilevel"/>
    <w:tmpl w:val="A30A5418"/>
    <w:lvl w:ilvl="0" w:tplc="8DE6412C">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D0752F9"/>
    <w:multiLevelType w:val="multilevel"/>
    <w:tmpl w:val="0B28427A"/>
    <w:lvl w:ilvl="0">
      <w:start w:val="1"/>
      <w:numFmt w:val="taiwaneseCountingThousand"/>
      <w:lvlText w:val="（%1）"/>
      <w:lvlJc w:val="left"/>
      <w:pPr>
        <w:ind w:left="1571" w:hanging="720"/>
      </w:pPr>
      <w:rPr>
        <w:rFonts w:ascii="標楷體" w:eastAsia="標楷體" w:hAnsi="標楷體"/>
        <w:b w:val="0"/>
        <w:i w:val="0"/>
        <w:color w:val="000000"/>
        <w:sz w:val="24"/>
        <w:u w:val="none"/>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7DA61997"/>
    <w:multiLevelType w:val="hybridMultilevel"/>
    <w:tmpl w:val="6FD82706"/>
    <w:lvl w:ilvl="0" w:tplc="297E4C38">
      <w:start w:val="4"/>
      <w:numFmt w:val="taiwaneseCountingThousand"/>
      <w:lvlText w:val="%1、"/>
      <w:lvlJc w:val="left"/>
      <w:pPr>
        <w:ind w:left="502"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EF54B24"/>
    <w:multiLevelType w:val="hybridMultilevel"/>
    <w:tmpl w:val="E7A2C80A"/>
    <w:lvl w:ilvl="0" w:tplc="32E02E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81277752">
    <w:abstractNumId w:val="52"/>
  </w:num>
  <w:num w:numId="2" w16cid:durableId="1800299549">
    <w:abstractNumId w:val="9"/>
  </w:num>
  <w:num w:numId="3" w16cid:durableId="1816681796">
    <w:abstractNumId w:val="68"/>
  </w:num>
  <w:num w:numId="4" w16cid:durableId="1205364946">
    <w:abstractNumId w:val="47"/>
  </w:num>
  <w:num w:numId="5" w16cid:durableId="1774663163">
    <w:abstractNumId w:val="1"/>
  </w:num>
  <w:num w:numId="6" w16cid:durableId="1998999210">
    <w:abstractNumId w:val="53"/>
  </w:num>
  <w:num w:numId="7" w16cid:durableId="536430892">
    <w:abstractNumId w:val="23"/>
  </w:num>
  <w:num w:numId="8" w16cid:durableId="545026757">
    <w:abstractNumId w:val="42"/>
  </w:num>
  <w:num w:numId="9" w16cid:durableId="317268779">
    <w:abstractNumId w:val="7"/>
  </w:num>
  <w:num w:numId="10" w16cid:durableId="410009474">
    <w:abstractNumId w:val="16"/>
  </w:num>
  <w:num w:numId="11" w16cid:durableId="311762383">
    <w:abstractNumId w:val="30"/>
  </w:num>
  <w:num w:numId="12" w16cid:durableId="609511413">
    <w:abstractNumId w:val="2"/>
  </w:num>
  <w:num w:numId="13" w16cid:durableId="269627053">
    <w:abstractNumId w:val="58"/>
  </w:num>
  <w:num w:numId="14" w16cid:durableId="1152599592">
    <w:abstractNumId w:val="20"/>
  </w:num>
  <w:num w:numId="15" w16cid:durableId="1854224122">
    <w:abstractNumId w:val="39"/>
  </w:num>
  <w:num w:numId="16" w16cid:durableId="65884969">
    <w:abstractNumId w:val="38"/>
  </w:num>
  <w:num w:numId="17" w16cid:durableId="946696879">
    <w:abstractNumId w:val="15"/>
  </w:num>
  <w:num w:numId="18" w16cid:durableId="1312978823">
    <w:abstractNumId w:val="40"/>
  </w:num>
  <w:num w:numId="19" w16cid:durableId="979388131">
    <w:abstractNumId w:val="24"/>
  </w:num>
  <w:num w:numId="20" w16cid:durableId="355499103">
    <w:abstractNumId w:val="49"/>
  </w:num>
  <w:num w:numId="21" w16cid:durableId="769816834">
    <w:abstractNumId w:val="14"/>
  </w:num>
  <w:num w:numId="22" w16cid:durableId="420489319">
    <w:abstractNumId w:val="11"/>
  </w:num>
  <w:num w:numId="23" w16cid:durableId="1249851626">
    <w:abstractNumId w:val="29"/>
  </w:num>
  <w:num w:numId="24" w16cid:durableId="653335980">
    <w:abstractNumId w:val="12"/>
  </w:num>
  <w:num w:numId="25" w16cid:durableId="1608347925">
    <w:abstractNumId w:val="0"/>
  </w:num>
  <w:num w:numId="26" w16cid:durableId="1635865181">
    <w:abstractNumId w:val="36"/>
  </w:num>
  <w:num w:numId="27" w16cid:durableId="1330405840">
    <w:abstractNumId w:val="64"/>
  </w:num>
  <w:num w:numId="28" w16cid:durableId="652680260">
    <w:abstractNumId w:val="44"/>
  </w:num>
  <w:num w:numId="29" w16cid:durableId="2045322118">
    <w:abstractNumId w:val="10"/>
  </w:num>
  <w:num w:numId="30" w16cid:durableId="1514951482">
    <w:abstractNumId w:val="32"/>
  </w:num>
  <w:num w:numId="31" w16cid:durableId="1986470035">
    <w:abstractNumId w:val="13"/>
  </w:num>
  <w:num w:numId="32" w16cid:durableId="254096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3955661">
    <w:abstractNumId w:val="65"/>
  </w:num>
  <w:num w:numId="34" w16cid:durableId="514733440">
    <w:abstractNumId w:val="37"/>
  </w:num>
  <w:num w:numId="35" w16cid:durableId="40978437">
    <w:abstractNumId w:val="26"/>
  </w:num>
  <w:num w:numId="36" w16cid:durableId="1472819422">
    <w:abstractNumId w:val="19"/>
  </w:num>
  <w:num w:numId="37" w16cid:durableId="126287872">
    <w:abstractNumId w:val="33"/>
  </w:num>
  <w:num w:numId="38" w16cid:durableId="691305658">
    <w:abstractNumId w:val="4"/>
  </w:num>
  <w:num w:numId="39" w16cid:durableId="2038919865">
    <w:abstractNumId w:val="45"/>
  </w:num>
  <w:num w:numId="40" w16cid:durableId="1229919179">
    <w:abstractNumId w:val="63"/>
  </w:num>
  <w:num w:numId="41" w16cid:durableId="1098522431">
    <w:abstractNumId w:val="62"/>
  </w:num>
  <w:num w:numId="42" w16cid:durableId="531920690">
    <w:abstractNumId w:val="57"/>
  </w:num>
  <w:num w:numId="43" w16cid:durableId="1370912610">
    <w:abstractNumId w:val="60"/>
  </w:num>
  <w:num w:numId="44" w16cid:durableId="1427996329">
    <w:abstractNumId w:val="6"/>
  </w:num>
  <w:num w:numId="45" w16cid:durableId="889149002">
    <w:abstractNumId w:val="17"/>
  </w:num>
  <w:num w:numId="46" w16cid:durableId="1754467893">
    <w:abstractNumId w:val="67"/>
  </w:num>
  <w:num w:numId="47" w16cid:durableId="2025210495">
    <w:abstractNumId w:val="27"/>
  </w:num>
  <w:num w:numId="48" w16cid:durableId="1611083191">
    <w:abstractNumId w:val="56"/>
  </w:num>
  <w:num w:numId="49" w16cid:durableId="667288785">
    <w:abstractNumId w:val="18"/>
  </w:num>
  <w:num w:numId="50" w16cid:durableId="1382048441">
    <w:abstractNumId w:val="66"/>
  </w:num>
  <w:num w:numId="51" w16cid:durableId="1979646279">
    <w:abstractNumId w:val="25"/>
  </w:num>
  <w:num w:numId="52" w16cid:durableId="1503619791">
    <w:abstractNumId w:val="48"/>
  </w:num>
  <w:num w:numId="53" w16cid:durableId="30152491">
    <w:abstractNumId w:val="43"/>
  </w:num>
  <w:num w:numId="54" w16cid:durableId="1175533758">
    <w:abstractNumId w:val="34"/>
  </w:num>
  <w:num w:numId="55" w16cid:durableId="338898925">
    <w:abstractNumId w:val="54"/>
  </w:num>
  <w:num w:numId="56" w16cid:durableId="1888949924">
    <w:abstractNumId w:val="22"/>
  </w:num>
  <w:num w:numId="57" w16cid:durableId="2143497478">
    <w:abstractNumId w:val="31"/>
  </w:num>
  <w:num w:numId="58" w16cid:durableId="1116677526">
    <w:abstractNumId w:val="3"/>
  </w:num>
  <w:num w:numId="59" w16cid:durableId="686910678">
    <w:abstractNumId w:val="21"/>
  </w:num>
  <w:num w:numId="60" w16cid:durableId="359167890">
    <w:abstractNumId w:val="8"/>
  </w:num>
  <w:num w:numId="61" w16cid:durableId="1753351713">
    <w:abstractNumId w:val="61"/>
  </w:num>
  <w:num w:numId="62" w16cid:durableId="1567642497">
    <w:abstractNumId w:val="50"/>
  </w:num>
  <w:num w:numId="63" w16cid:durableId="1565752554">
    <w:abstractNumId w:val="46"/>
  </w:num>
  <w:num w:numId="64" w16cid:durableId="2059894137">
    <w:abstractNumId w:val="41"/>
  </w:num>
  <w:num w:numId="65" w16cid:durableId="1078097417">
    <w:abstractNumId w:val="55"/>
  </w:num>
  <w:num w:numId="66" w16cid:durableId="1715084146">
    <w:abstractNumId w:val="5"/>
  </w:num>
  <w:num w:numId="67" w16cid:durableId="1774665930">
    <w:abstractNumId w:val="35"/>
  </w:num>
  <w:num w:numId="68" w16cid:durableId="1768768132">
    <w:abstractNumId w:val="59"/>
  </w:num>
  <w:num w:numId="69" w16cid:durableId="56436375">
    <w:abstractNumId w:val="28"/>
  </w:num>
  <w:num w:numId="70" w16cid:durableId="1541551289">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CF"/>
    <w:rsid w:val="00001F38"/>
    <w:rsid w:val="00001FFD"/>
    <w:rsid w:val="000026A5"/>
    <w:rsid w:val="00002C45"/>
    <w:rsid w:val="00003BEB"/>
    <w:rsid w:val="00004D63"/>
    <w:rsid w:val="00005117"/>
    <w:rsid w:val="00005272"/>
    <w:rsid w:val="00005F25"/>
    <w:rsid w:val="00007ED3"/>
    <w:rsid w:val="000101F0"/>
    <w:rsid w:val="00010C32"/>
    <w:rsid w:val="0001177C"/>
    <w:rsid w:val="00011D94"/>
    <w:rsid w:val="000124E3"/>
    <w:rsid w:val="000135FE"/>
    <w:rsid w:val="00013ADC"/>
    <w:rsid w:val="00013F72"/>
    <w:rsid w:val="000142C5"/>
    <w:rsid w:val="00014976"/>
    <w:rsid w:val="00015932"/>
    <w:rsid w:val="00015FD1"/>
    <w:rsid w:val="00017011"/>
    <w:rsid w:val="0001726A"/>
    <w:rsid w:val="00017768"/>
    <w:rsid w:val="00017962"/>
    <w:rsid w:val="0002074B"/>
    <w:rsid w:val="000252FD"/>
    <w:rsid w:val="00025A70"/>
    <w:rsid w:val="00025C92"/>
    <w:rsid w:val="00025D7D"/>
    <w:rsid w:val="00025E68"/>
    <w:rsid w:val="00026633"/>
    <w:rsid w:val="00027D18"/>
    <w:rsid w:val="000309B9"/>
    <w:rsid w:val="00030CE2"/>
    <w:rsid w:val="00031249"/>
    <w:rsid w:val="00032C89"/>
    <w:rsid w:val="00032E1B"/>
    <w:rsid w:val="00033969"/>
    <w:rsid w:val="00034227"/>
    <w:rsid w:val="00034977"/>
    <w:rsid w:val="00035041"/>
    <w:rsid w:val="00035F68"/>
    <w:rsid w:val="0003604E"/>
    <w:rsid w:val="000403F3"/>
    <w:rsid w:val="0004041B"/>
    <w:rsid w:val="0004049D"/>
    <w:rsid w:val="000405AF"/>
    <w:rsid w:val="00041343"/>
    <w:rsid w:val="00041947"/>
    <w:rsid w:val="00041C50"/>
    <w:rsid w:val="00041FAE"/>
    <w:rsid w:val="000428DA"/>
    <w:rsid w:val="00042DC6"/>
    <w:rsid w:val="00043140"/>
    <w:rsid w:val="00043300"/>
    <w:rsid w:val="00044ECD"/>
    <w:rsid w:val="00045493"/>
    <w:rsid w:val="00046624"/>
    <w:rsid w:val="000469C4"/>
    <w:rsid w:val="00046C03"/>
    <w:rsid w:val="00046CC5"/>
    <w:rsid w:val="000500E8"/>
    <w:rsid w:val="000501E3"/>
    <w:rsid w:val="00050677"/>
    <w:rsid w:val="00050A0D"/>
    <w:rsid w:val="00051CE0"/>
    <w:rsid w:val="00053ADB"/>
    <w:rsid w:val="00053B85"/>
    <w:rsid w:val="00053C74"/>
    <w:rsid w:val="0005595E"/>
    <w:rsid w:val="00057E9E"/>
    <w:rsid w:val="00060BCC"/>
    <w:rsid w:val="00063CE6"/>
    <w:rsid w:val="00065354"/>
    <w:rsid w:val="00066916"/>
    <w:rsid w:val="0007054B"/>
    <w:rsid w:val="00070F4C"/>
    <w:rsid w:val="0007222C"/>
    <w:rsid w:val="000726EC"/>
    <w:rsid w:val="00072AF8"/>
    <w:rsid w:val="00072E7F"/>
    <w:rsid w:val="000731AB"/>
    <w:rsid w:val="00073FC1"/>
    <w:rsid w:val="000741E3"/>
    <w:rsid w:val="000749C4"/>
    <w:rsid w:val="00075685"/>
    <w:rsid w:val="000768F9"/>
    <w:rsid w:val="000776E7"/>
    <w:rsid w:val="00082668"/>
    <w:rsid w:val="00084975"/>
    <w:rsid w:val="00086042"/>
    <w:rsid w:val="00087891"/>
    <w:rsid w:val="00087A0F"/>
    <w:rsid w:val="00087DC6"/>
    <w:rsid w:val="000914F5"/>
    <w:rsid w:val="000933B2"/>
    <w:rsid w:val="0009468C"/>
    <w:rsid w:val="00095BFC"/>
    <w:rsid w:val="00095F3D"/>
    <w:rsid w:val="00095FB6"/>
    <w:rsid w:val="0009619A"/>
    <w:rsid w:val="00096258"/>
    <w:rsid w:val="00096A1A"/>
    <w:rsid w:val="0009762C"/>
    <w:rsid w:val="00097F0B"/>
    <w:rsid w:val="000A0E08"/>
    <w:rsid w:val="000A1DBD"/>
    <w:rsid w:val="000A20BD"/>
    <w:rsid w:val="000A24C5"/>
    <w:rsid w:val="000A27DF"/>
    <w:rsid w:val="000A376B"/>
    <w:rsid w:val="000A448C"/>
    <w:rsid w:val="000A4F7E"/>
    <w:rsid w:val="000A4FDE"/>
    <w:rsid w:val="000A5297"/>
    <w:rsid w:val="000A5D0F"/>
    <w:rsid w:val="000A63DB"/>
    <w:rsid w:val="000A72FA"/>
    <w:rsid w:val="000A78F6"/>
    <w:rsid w:val="000A7CED"/>
    <w:rsid w:val="000B01CB"/>
    <w:rsid w:val="000B3BD0"/>
    <w:rsid w:val="000B5346"/>
    <w:rsid w:val="000B5F89"/>
    <w:rsid w:val="000B602B"/>
    <w:rsid w:val="000B6584"/>
    <w:rsid w:val="000B668D"/>
    <w:rsid w:val="000B682C"/>
    <w:rsid w:val="000B75FC"/>
    <w:rsid w:val="000B7780"/>
    <w:rsid w:val="000C04B2"/>
    <w:rsid w:val="000C0DB6"/>
    <w:rsid w:val="000C130A"/>
    <w:rsid w:val="000C133B"/>
    <w:rsid w:val="000C17CB"/>
    <w:rsid w:val="000C218F"/>
    <w:rsid w:val="000C2939"/>
    <w:rsid w:val="000C47E2"/>
    <w:rsid w:val="000C4C8F"/>
    <w:rsid w:val="000C4CD0"/>
    <w:rsid w:val="000C4F27"/>
    <w:rsid w:val="000C5644"/>
    <w:rsid w:val="000C583A"/>
    <w:rsid w:val="000C62DA"/>
    <w:rsid w:val="000C6818"/>
    <w:rsid w:val="000C73AB"/>
    <w:rsid w:val="000D04CE"/>
    <w:rsid w:val="000D19CB"/>
    <w:rsid w:val="000D2A9A"/>
    <w:rsid w:val="000D36B1"/>
    <w:rsid w:val="000D56F1"/>
    <w:rsid w:val="000D65C4"/>
    <w:rsid w:val="000D6766"/>
    <w:rsid w:val="000D6F32"/>
    <w:rsid w:val="000D7BF2"/>
    <w:rsid w:val="000E1158"/>
    <w:rsid w:val="000E48E4"/>
    <w:rsid w:val="000E564B"/>
    <w:rsid w:val="000E6058"/>
    <w:rsid w:val="000E68B8"/>
    <w:rsid w:val="000E798E"/>
    <w:rsid w:val="000E7E62"/>
    <w:rsid w:val="000F0232"/>
    <w:rsid w:val="000F269B"/>
    <w:rsid w:val="000F2AE7"/>
    <w:rsid w:val="000F3864"/>
    <w:rsid w:val="000F46B8"/>
    <w:rsid w:val="000F496D"/>
    <w:rsid w:val="000F4E45"/>
    <w:rsid w:val="000F5347"/>
    <w:rsid w:val="000F6303"/>
    <w:rsid w:val="000F6A4F"/>
    <w:rsid w:val="000F7825"/>
    <w:rsid w:val="00101905"/>
    <w:rsid w:val="00102A4D"/>
    <w:rsid w:val="001042E5"/>
    <w:rsid w:val="00104C8F"/>
    <w:rsid w:val="00106232"/>
    <w:rsid w:val="00106F04"/>
    <w:rsid w:val="001072C8"/>
    <w:rsid w:val="001101A8"/>
    <w:rsid w:val="00110215"/>
    <w:rsid w:val="001103B9"/>
    <w:rsid w:val="00110996"/>
    <w:rsid w:val="00111A2B"/>
    <w:rsid w:val="0011394A"/>
    <w:rsid w:val="00113E32"/>
    <w:rsid w:val="00116C4A"/>
    <w:rsid w:val="001173A6"/>
    <w:rsid w:val="0011752C"/>
    <w:rsid w:val="001207C8"/>
    <w:rsid w:val="00120EC4"/>
    <w:rsid w:val="00123162"/>
    <w:rsid w:val="001240FD"/>
    <w:rsid w:val="00124D9F"/>
    <w:rsid w:val="0012511E"/>
    <w:rsid w:val="001258B5"/>
    <w:rsid w:val="00126B05"/>
    <w:rsid w:val="00127454"/>
    <w:rsid w:val="00127F33"/>
    <w:rsid w:val="001300D6"/>
    <w:rsid w:val="001311FA"/>
    <w:rsid w:val="00131FA1"/>
    <w:rsid w:val="00132023"/>
    <w:rsid w:val="00132430"/>
    <w:rsid w:val="001330DC"/>
    <w:rsid w:val="00137397"/>
    <w:rsid w:val="00137731"/>
    <w:rsid w:val="001377D9"/>
    <w:rsid w:val="0013781F"/>
    <w:rsid w:val="00140005"/>
    <w:rsid w:val="00140974"/>
    <w:rsid w:val="00140D3F"/>
    <w:rsid w:val="00141373"/>
    <w:rsid w:val="00143329"/>
    <w:rsid w:val="0014383A"/>
    <w:rsid w:val="00143B30"/>
    <w:rsid w:val="00143D5C"/>
    <w:rsid w:val="00145819"/>
    <w:rsid w:val="00146B95"/>
    <w:rsid w:val="001501CC"/>
    <w:rsid w:val="00152084"/>
    <w:rsid w:val="00152C12"/>
    <w:rsid w:val="00154176"/>
    <w:rsid w:val="00155B7D"/>
    <w:rsid w:val="00155BA3"/>
    <w:rsid w:val="00157C0C"/>
    <w:rsid w:val="00160B32"/>
    <w:rsid w:val="00161104"/>
    <w:rsid w:val="0016140D"/>
    <w:rsid w:val="00161623"/>
    <w:rsid w:val="00161A1C"/>
    <w:rsid w:val="0016362F"/>
    <w:rsid w:val="0016367D"/>
    <w:rsid w:val="00164213"/>
    <w:rsid w:val="00167759"/>
    <w:rsid w:val="00170B82"/>
    <w:rsid w:val="00171702"/>
    <w:rsid w:val="001722F5"/>
    <w:rsid w:val="0017289C"/>
    <w:rsid w:val="00172E40"/>
    <w:rsid w:val="0017337F"/>
    <w:rsid w:val="00175461"/>
    <w:rsid w:val="00175B14"/>
    <w:rsid w:val="00176391"/>
    <w:rsid w:val="001766B6"/>
    <w:rsid w:val="0018169C"/>
    <w:rsid w:val="001827C8"/>
    <w:rsid w:val="00182A55"/>
    <w:rsid w:val="00183673"/>
    <w:rsid w:val="00183C64"/>
    <w:rsid w:val="00183F48"/>
    <w:rsid w:val="00184D78"/>
    <w:rsid w:val="001852AB"/>
    <w:rsid w:val="001854EB"/>
    <w:rsid w:val="0018559B"/>
    <w:rsid w:val="00185E3D"/>
    <w:rsid w:val="0018601B"/>
    <w:rsid w:val="0018665E"/>
    <w:rsid w:val="00186868"/>
    <w:rsid w:val="001869AE"/>
    <w:rsid w:val="001907BB"/>
    <w:rsid w:val="00190D6D"/>
    <w:rsid w:val="00191B3F"/>
    <w:rsid w:val="00191F37"/>
    <w:rsid w:val="00195AE7"/>
    <w:rsid w:val="00196261"/>
    <w:rsid w:val="0019640B"/>
    <w:rsid w:val="00196917"/>
    <w:rsid w:val="00197656"/>
    <w:rsid w:val="00197B1C"/>
    <w:rsid w:val="00197E39"/>
    <w:rsid w:val="001A0F6A"/>
    <w:rsid w:val="001A1782"/>
    <w:rsid w:val="001A22D3"/>
    <w:rsid w:val="001A3206"/>
    <w:rsid w:val="001A4977"/>
    <w:rsid w:val="001A4CB1"/>
    <w:rsid w:val="001A60F9"/>
    <w:rsid w:val="001A6DA7"/>
    <w:rsid w:val="001B0CCF"/>
    <w:rsid w:val="001B15EA"/>
    <w:rsid w:val="001B448A"/>
    <w:rsid w:val="001B4D5B"/>
    <w:rsid w:val="001B4DA8"/>
    <w:rsid w:val="001B5AEA"/>
    <w:rsid w:val="001B6302"/>
    <w:rsid w:val="001B6F79"/>
    <w:rsid w:val="001C0060"/>
    <w:rsid w:val="001C4C8D"/>
    <w:rsid w:val="001C619F"/>
    <w:rsid w:val="001D2B9B"/>
    <w:rsid w:val="001D2D7D"/>
    <w:rsid w:val="001D2FD7"/>
    <w:rsid w:val="001D3E1C"/>
    <w:rsid w:val="001D5284"/>
    <w:rsid w:val="001D5A06"/>
    <w:rsid w:val="001D5C31"/>
    <w:rsid w:val="001D7135"/>
    <w:rsid w:val="001D71D9"/>
    <w:rsid w:val="001D7584"/>
    <w:rsid w:val="001D7BBF"/>
    <w:rsid w:val="001E0AEE"/>
    <w:rsid w:val="001E0F60"/>
    <w:rsid w:val="001E1BA3"/>
    <w:rsid w:val="001E24D0"/>
    <w:rsid w:val="001E57CE"/>
    <w:rsid w:val="001E616E"/>
    <w:rsid w:val="001E6FAD"/>
    <w:rsid w:val="001F043F"/>
    <w:rsid w:val="001F1DFC"/>
    <w:rsid w:val="001F1E84"/>
    <w:rsid w:val="001F21B0"/>
    <w:rsid w:val="001F28D5"/>
    <w:rsid w:val="001F38C3"/>
    <w:rsid w:val="001F5069"/>
    <w:rsid w:val="001F75F1"/>
    <w:rsid w:val="001F779B"/>
    <w:rsid w:val="001F7994"/>
    <w:rsid w:val="001F7B66"/>
    <w:rsid w:val="002005FC"/>
    <w:rsid w:val="002016D9"/>
    <w:rsid w:val="002038B4"/>
    <w:rsid w:val="00203DAF"/>
    <w:rsid w:val="00204F12"/>
    <w:rsid w:val="00206457"/>
    <w:rsid w:val="00206715"/>
    <w:rsid w:val="00206CBE"/>
    <w:rsid w:val="00211309"/>
    <w:rsid w:val="002113EF"/>
    <w:rsid w:val="00211B41"/>
    <w:rsid w:val="00213EC3"/>
    <w:rsid w:val="002148DC"/>
    <w:rsid w:val="00215101"/>
    <w:rsid w:val="00215A3F"/>
    <w:rsid w:val="002163A6"/>
    <w:rsid w:val="002173BF"/>
    <w:rsid w:val="002206F8"/>
    <w:rsid w:val="00220E84"/>
    <w:rsid w:val="0022361E"/>
    <w:rsid w:val="00224660"/>
    <w:rsid w:val="00225584"/>
    <w:rsid w:val="0022589E"/>
    <w:rsid w:val="00227695"/>
    <w:rsid w:val="00227E83"/>
    <w:rsid w:val="00230135"/>
    <w:rsid w:val="002309D4"/>
    <w:rsid w:val="00231193"/>
    <w:rsid w:val="00232FDE"/>
    <w:rsid w:val="002332A7"/>
    <w:rsid w:val="00233CCC"/>
    <w:rsid w:val="00234668"/>
    <w:rsid w:val="00234D87"/>
    <w:rsid w:val="0023523C"/>
    <w:rsid w:val="00237148"/>
    <w:rsid w:val="002375FC"/>
    <w:rsid w:val="0023795E"/>
    <w:rsid w:val="00237A88"/>
    <w:rsid w:val="00240208"/>
    <w:rsid w:val="002406E3"/>
    <w:rsid w:val="00240953"/>
    <w:rsid w:val="002416B7"/>
    <w:rsid w:val="00242139"/>
    <w:rsid w:val="00245769"/>
    <w:rsid w:val="00245B8F"/>
    <w:rsid w:val="00251FEB"/>
    <w:rsid w:val="00252A58"/>
    <w:rsid w:val="00252B71"/>
    <w:rsid w:val="00252FD5"/>
    <w:rsid w:val="00253509"/>
    <w:rsid w:val="00253BE1"/>
    <w:rsid w:val="002552E3"/>
    <w:rsid w:val="00256CE8"/>
    <w:rsid w:val="00256EC5"/>
    <w:rsid w:val="002573DC"/>
    <w:rsid w:val="00257D08"/>
    <w:rsid w:val="00260583"/>
    <w:rsid w:val="00260D0E"/>
    <w:rsid w:val="00260F1C"/>
    <w:rsid w:val="0026125E"/>
    <w:rsid w:val="002626A9"/>
    <w:rsid w:val="0026285B"/>
    <w:rsid w:val="00262B2B"/>
    <w:rsid w:val="00263399"/>
    <w:rsid w:val="0026373C"/>
    <w:rsid w:val="00263A16"/>
    <w:rsid w:val="00266246"/>
    <w:rsid w:val="002669F4"/>
    <w:rsid w:val="0026720B"/>
    <w:rsid w:val="00273AA4"/>
    <w:rsid w:val="00273CE2"/>
    <w:rsid w:val="0027515C"/>
    <w:rsid w:val="00275A7E"/>
    <w:rsid w:val="00280774"/>
    <w:rsid w:val="00280B0C"/>
    <w:rsid w:val="00284861"/>
    <w:rsid w:val="00284A7C"/>
    <w:rsid w:val="002852FC"/>
    <w:rsid w:val="00285B55"/>
    <w:rsid w:val="002860B2"/>
    <w:rsid w:val="00286AA0"/>
    <w:rsid w:val="00286EA6"/>
    <w:rsid w:val="002873DC"/>
    <w:rsid w:val="00287AF4"/>
    <w:rsid w:val="0029033F"/>
    <w:rsid w:val="0029042E"/>
    <w:rsid w:val="002921A6"/>
    <w:rsid w:val="00292EF5"/>
    <w:rsid w:val="00292FCF"/>
    <w:rsid w:val="00292FE2"/>
    <w:rsid w:val="0029592A"/>
    <w:rsid w:val="00297077"/>
    <w:rsid w:val="00297363"/>
    <w:rsid w:val="002975C9"/>
    <w:rsid w:val="00297BDC"/>
    <w:rsid w:val="002A0A93"/>
    <w:rsid w:val="002A0AEE"/>
    <w:rsid w:val="002A0F63"/>
    <w:rsid w:val="002A3527"/>
    <w:rsid w:val="002A3C7E"/>
    <w:rsid w:val="002A4CDB"/>
    <w:rsid w:val="002A552B"/>
    <w:rsid w:val="002A56B3"/>
    <w:rsid w:val="002A5F3C"/>
    <w:rsid w:val="002A6F04"/>
    <w:rsid w:val="002A7C0E"/>
    <w:rsid w:val="002B01B1"/>
    <w:rsid w:val="002B056C"/>
    <w:rsid w:val="002B09A6"/>
    <w:rsid w:val="002B22E9"/>
    <w:rsid w:val="002B331F"/>
    <w:rsid w:val="002B33ED"/>
    <w:rsid w:val="002B6213"/>
    <w:rsid w:val="002B7246"/>
    <w:rsid w:val="002C06E9"/>
    <w:rsid w:val="002C0B60"/>
    <w:rsid w:val="002C187B"/>
    <w:rsid w:val="002C1F56"/>
    <w:rsid w:val="002C2AF1"/>
    <w:rsid w:val="002C3489"/>
    <w:rsid w:val="002C3F46"/>
    <w:rsid w:val="002C41E5"/>
    <w:rsid w:val="002C4B4F"/>
    <w:rsid w:val="002C67A1"/>
    <w:rsid w:val="002C76E1"/>
    <w:rsid w:val="002D0430"/>
    <w:rsid w:val="002D0D02"/>
    <w:rsid w:val="002D0EC6"/>
    <w:rsid w:val="002D1FEE"/>
    <w:rsid w:val="002D3B03"/>
    <w:rsid w:val="002D3B33"/>
    <w:rsid w:val="002D5079"/>
    <w:rsid w:val="002D56A7"/>
    <w:rsid w:val="002D5D99"/>
    <w:rsid w:val="002D7CE6"/>
    <w:rsid w:val="002D7FA7"/>
    <w:rsid w:val="002E1B16"/>
    <w:rsid w:val="002E2849"/>
    <w:rsid w:val="002E40EB"/>
    <w:rsid w:val="002E52E2"/>
    <w:rsid w:val="002E55F4"/>
    <w:rsid w:val="002E628B"/>
    <w:rsid w:val="002E72EA"/>
    <w:rsid w:val="002F104C"/>
    <w:rsid w:val="002F16F3"/>
    <w:rsid w:val="002F17BA"/>
    <w:rsid w:val="002F19AD"/>
    <w:rsid w:val="002F2DAA"/>
    <w:rsid w:val="002F2E86"/>
    <w:rsid w:val="002F35D2"/>
    <w:rsid w:val="002F4878"/>
    <w:rsid w:val="002F4EE1"/>
    <w:rsid w:val="002F5842"/>
    <w:rsid w:val="002F5D42"/>
    <w:rsid w:val="002F62AC"/>
    <w:rsid w:val="002F62B7"/>
    <w:rsid w:val="002F62DF"/>
    <w:rsid w:val="002F69FF"/>
    <w:rsid w:val="002F6DF1"/>
    <w:rsid w:val="002F6F54"/>
    <w:rsid w:val="003003D8"/>
    <w:rsid w:val="00300DCF"/>
    <w:rsid w:val="0030100C"/>
    <w:rsid w:val="00301078"/>
    <w:rsid w:val="003014D9"/>
    <w:rsid w:val="00301ACB"/>
    <w:rsid w:val="00301C03"/>
    <w:rsid w:val="00304966"/>
    <w:rsid w:val="0030578F"/>
    <w:rsid w:val="00305C0C"/>
    <w:rsid w:val="003061D8"/>
    <w:rsid w:val="00306354"/>
    <w:rsid w:val="00312020"/>
    <w:rsid w:val="0031249C"/>
    <w:rsid w:val="00312C60"/>
    <w:rsid w:val="00313C42"/>
    <w:rsid w:val="00314289"/>
    <w:rsid w:val="003144EA"/>
    <w:rsid w:val="003160F2"/>
    <w:rsid w:val="003163EF"/>
    <w:rsid w:val="00317422"/>
    <w:rsid w:val="003176AF"/>
    <w:rsid w:val="00321D77"/>
    <w:rsid w:val="00322C49"/>
    <w:rsid w:val="00322D6E"/>
    <w:rsid w:val="00323169"/>
    <w:rsid w:val="003231DB"/>
    <w:rsid w:val="0032334B"/>
    <w:rsid w:val="00323C20"/>
    <w:rsid w:val="00325064"/>
    <w:rsid w:val="00325D08"/>
    <w:rsid w:val="0032669F"/>
    <w:rsid w:val="00326A28"/>
    <w:rsid w:val="00327A3C"/>
    <w:rsid w:val="00327B46"/>
    <w:rsid w:val="0033042A"/>
    <w:rsid w:val="00331031"/>
    <w:rsid w:val="00331494"/>
    <w:rsid w:val="00332B79"/>
    <w:rsid w:val="00332BC7"/>
    <w:rsid w:val="00332D23"/>
    <w:rsid w:val="00332FC8"/>
    <w:rsid w:val="00333C44"/>
    <w:rsid w:val="00333ED5"/>
    <w:rsid w:val="00336B71"/>
    <w:rsid w:val="00336F5E"/>
    <w:rsid w:val="00340541"/>
    <w:rsid w:val="0034542F"/>
    <w:rsid w:val="00345FE3"/>
    <w:rsid w:val="0034619E"/>
    <w:rsid w:val="00346280"/>
    <w:rsid w:val="003470D4"/>
    <w:rsid w:val="00347133"/>
    <w:rsid w:val="00347947"/>
    <w:rsid w:val="003479F1"/>
    <w:rsid w:val="00347A38"/>
    <w:rsid w:val="003506ED"/>
    <w:rsid w:val="00350A5E"/>
    <w:rsid w:val="00351E43"/>
    <w:rsid w:val="00353EA5"/>
    <w:rsid w:val="00354671"/>
    <w:rsid w:val="00354B26"/>
    <w:rsid w:val="00355186"/>
    <w:rsid w:val="003553F9"/>
    <w:rsid w:val="00356201"/>
    <w:rsid w:val="00357BE2"/>
    <w:rsid w:val="00360435"/>
    <w:rsid w:val="00360545"/>
    <w:rsid w:val="00361832"/>
    <w:rsid w:val="003621CB"/>
    <w:rsid w:val="003624BA"/>
    <w:rsid w:val="003634AE"/>
    <w:rsid w:val="0036395A"/>
    <w:rsid w:val="00364307"/>
    <w:rsid w:val="00364638"/>
    <w:rsid w:val="0036648A"/>
    <w:rsid w:val="003679FA"/>
    <w:rsid w:val="003709FD"/>
    <w:rsid w:val="00370BF8"/>
    <w:rsid w:val="003716DA"/>
    <w:rsid w:val="0037180E"/>
    <w:rsid w:val="00371C35"/>
    <w:rsid w:val="00372262"/>
    <w:rsid w:val="00372315"/>
    <w:rsid w:val="003723E2"/>
    <w:rsid w:val="00372844"/>
    <w:rsid w:val="0037432C"/>
    <w:rsid w:val="003747FF"/>
    <w:rsid w:val="0037533E"/>
    <w:rsid w:val="0037561A"/>
    <w:rsid w:val="00375F5F"/>
    <w:rsid w:val="00376C9C"/>
    <w:rsid w:val="003774A4"/>
    <w:rsid w:val="003777C6"/>
    <w:rsid w:val="00381B03"/>
    <w:rsid w:val="00381B9B"/>
    <w:rsid w:val="00382EE8"/>
    <w:rsid w:val="0038335E"/>
    <w:rsid w:val="0038365E"/>
    <w:rsid w:val="00383685"/>
    <w:rsid w:val="003842AB"/>
    <w:rsid w:val="00386F47"/>
    <w:rsid w:val="00386FDD"/>
    <w:rsid w:val="00391E56"/>
    <w:rsid w:val="0039249C"/>
    <w:rsid w:val="00392990"/>
    <w:rsid w:val="00393549"/>
    <w:rsid w:val="003941AE"/>
    <w:rsid w:val="00394245"/>
    <w:rsid w:val="003954DA"/>
    <w:rsid w:val="0039592E"/>
    <w:rsid w:val="00395955"/>
    <w:rsid w:val="003961C2"/>
    <w:rsid w:val="003970A2"/>
    <w:rsid w:val="00397733"/>
    <w:rsid w:val="00397863"/>
    <w:rsid w:val="00397AA6"/>
    <w:rsid w:val="003A04EA"/>
    <w:rsid w:val="003A0FFA"/>
    <w:rsid w:val="003A1735"/>
    <w:rsid w:val="003A1B3F"/>
    <w:rsid w:val="003A220B"/>
    <w:rsid w:val="003A22F5"/>
    <w:rsid w:val="003A26B9"/>
    <w:rsid w:val="003A352C"/>
    <w:rsid w:val="003A3778"/>
    <w:rsid w:val="003A51E5"/>
    <w:rsid w:val="003A51EA"/>
    <w:rsid w:val="003A5A3E"/>
    <w:rsid w:val="003A5C99"/>
    <w:rsid w:val="003A6FB4"/>
    <w:rsid w:val="003A7AFA"/>
    <w:rsid w:val="003A7E2E"/>
    <w:rsid w:val="003B14A2"/>
    <w:rsid w:val="003B218D"/>
    <w:rsid w:val="003B257A"/>
    <w:rsid w:val="003B4211"/>
    <w:rsid w:val="003B42E4"/>
    <w:rsid w:val="003B437A"/>
    <w:rsid w:val="003B6318"/>
    <w:rsid w:val="003B6705"/>
    <w:rsid w:val="003B7383"/>
    <w:rsid w:val="003B75D4"/>
    <w:rsid w:val="003B7E28"/>
    <w:rsid w:val="003C0065"/>
    <w:rsid w:val="003C0518"/>
    <w:rsid w:val="003C1756"/>
    <w:rsid w:val="003C29D7"/>
    <w:rsid w:val="003C3084"/>
    <w:rsid w:val="003C3119"/>
    <w:rsid w:val="003C3B59"/>
    <w:rsid w:val="003C3DAB"/>
    <w:rsid w:val="003C441B"/>
    <w:rsid w:val="003C463F"/>
    <w:rsid w:val="003C4EE4"/>
    <w:rsid w:val="003C6A0C"/>
    <w:rsid w:val="003C6AC0"/>
    <w:rsid w:val="003C7550"/>
    <w:rsid w:val="003C76FB"/>
    <w:rsid w:val="003C7F83"/>
    <w:rsid w:val="003D0657"/>
    <w:rsid w:val="003D09A7"/>
    <w:rsid w:val="003D09DE"/>
    <w:rsid w:val="003D11A3"/>
    <w:rsid w:val="003D1832"/>
    <w:rsid w:val="003D1C46"/>
    <w:rsid w:val="003D2090"/>
    <w:rsid w:val="003D32D9"/>
    <w:rsid w:val="003D3473"/>
    <w:rsid w:val="003D34DC"/>
    <w:rsid w:val="003D4619"/>
    <w:rsid w:val="003D4A8F"/>
    <w:rsid w:val="003D4AED"/>
    <w:rsid w:val="003D5999"/>
    <w:rsid w:val="003D5B42"/>
    <w:rsid w:val="003D5F5C"/>
    <w:rsid w:val="003D6223"/>
    <w:rsid w:val="003D6316"/>
    <w:rsid w:val="003D7B8C"/>
    <w:rsid w:val="003E09DB"/>
    <w:rsid w:val="003E09F2"/>
    <w:rsid w:val="003E0BFB"/>
    <w:rsid w:val="003E1154"/>
    <w:rsid w:val="003E1502"/>
    <w:rsid w:val="003E1F04"/>
    <w:rsid w:val="003E2AAC"/>
    <w:rsid w:val="003E4552"/>
    <w:rsid w:val="003E5549"/>
    <w:rsid w:val="003F0E5F"/>
    <w:rsid w:val="003F10FF"/>
    <w:rsid w:val="003F149E"/>
    <w:rsid w:val="003F18B5"/>
    <w:rsid w:val="003F4095"/>
    <w:rsid w:val="003F4619"/>
    <w:rsid w:val="003F4F6D"/>
    <w:rsid w:val="004009A7"/>
    <w:rsid w:val="00400EF6"/>
    <w:rsid w:val="00402BA0"/>
    <w:rsid w:val="004038AF"/>
    <w:rsid w:val="0040404F"/>
    <w:rsid w:val="00404366"/>
    <w:rsid w:val="00404648"/>
    <w:rsid w:val="0040572C"/>
    <w:rsid w:val="004062B9"/>
    <w:rsid w:val="004072B5"/>
    <w:rsid w:val="004078FA"/>
    <w:rsid w:val="00410B88"/>
    <w:rsid w:val="00412E17"/>
    <w:rsid w:val="004139AE"/>
    <w:rsid w:val="00413EB7"/>
    <w:rsid w:val="004141E4"/>
    <w:rsid w:val="00414440"/>
    <w:rsid w:val="004144C9"/>
    <w:rsid w:val="004151B6"/>
    <w:rsid w:val="004152B9"/>
    <w:rsid w:val="00415FFC"/>
    <w:rsid w:val="00420D60"/>
    <w:rsid w:val="00421170"/>
    <w:rsid w:val="00422033"/>
    <w:rsid w:val="00423603"/>
    <w:rsid w:val="004238FF"/>
    <w:rsid w:val="00423AA7"/>
    <w:rsid w:val="00423C23"/>
    <w:rsid w:val="00424665"/>
    <w:rsid w:val="00425232"/>
    <w:rsid w:val="00425EB1"/>
    <w:rsid w:val="0043070C"/>
    <w:rsid w:val="00430BA1"/>
    <w:rsid w:val="004314CB"/>
    <w:rsid w:val="00434376"/>
    <w:rsid w:val="0043455B"/>
    <w:rsid w:val="00434EB2"/>
    <w:rsid w:val="0043606F"/>
    <w:rsid w:val="004365BE"/>
    <w:rsid w:val="00436CF9"/>
    <w:rsid w:val="004378A6"/>
    <w:rsid w:val="00437E0A"/>
    <w:rsid w:val="00440B2E"/>
    <w:rsid w:val="00440ED1"/>
    <w:rsid w:val="004419CC"/>
    <w:rsid w:val="00441EE6"/>
    <w:rsid w:val="00442502"/>
    <w:rsid w:val="00442927"/>
    <w:rsid w:val="00443142"/>
    <w:rsid w:val="00443F6F"/>
    <w:rsid w:val="00446DD4"/>
    <w:rsid w:val="00451939"/>
    <w:rsid w:val="00453CC7"/>
    <w:rsid w:val="00453ED6"/>
    <w:rsid w:val="00454F45"/>
    <w:rsid w:val="0045546A"/>
    <w:rsid w:val="00455A5E"/>
    <w:rsid w:val="004566AA"/>
    <w:rsid w:val="00456EC0"/>
    <w:rsid w:val="004617BE"/>
    <w:rsid w:val="00462BE0"/>
    <w:rsid w:val="004662C1"/>
    <w:rsid w:val="00467744"/>
    <w:rsid w:val="0047106D"/>
    <w:rsid w:val="004734FA"/>
    <w:rsid w:val="004749F4"/>
    <w:rsid w:val="00474C9C"/>
    <w:rsid w:val="004752C6"/>
    <w:rsid w:val="00475877"/>
    <w:rsid w:val="00476E4C"/>
    <w:rsid w:val="004771B7"/>
    <w:rsid w:val="004773E4"/>
    <w:rsid w:val="0048051A"/>
    <w:rsid w:val="00480F9C"/>
    <w:rsid w:val="004811EF"/>
    <w:rsid w:val="00481B4B"/>
    <w:rsid w:val="00481E81"/>
    <w:rsid w:val="00482B8E"/>
    <w:rsid w:val="004837DE"/>
    <w:rsid w:val="00484BDC"/>
    <w:rsid w:val="00484EBD"/>
    <w:rsid w:val="00485140"/>
    <w:rsid w:val="004863C1"/>
    <w:rsid w:val="00487400"/>
    <w:rsid w:val="00487555"/>
    <w:rsid w:val="00490052"/>
    <w:rsid w:val="00490FD0"/>
    <w:rsid w:val="00492A3F"/>
    <w:rsid w:val="00492FA1"/>
    <w:rsid w:val="0049307E"/>
    <w:rsid w:val="00496053"/>
    <w:rsid w:val="004965F3"/>
    <w:rsid w:val="004A0DD9"/>
    <w:rsid w:val="004A273A"/>
    <w:rsid w:val="004A3761"/>
    <w:rsid w:val="004A3AA9"/>
    <w:rsid w:val="004A4EE2"/>
    <w:rsid w:val="004A5308"/>
    <w:rsid w:val="004B0966"/>
    <w:rsid w:val="004B19EB"/>
    <w:rsid w:val="004B1BE5"/>
    <w:rsid w:val="004B1ECD"/>
    <w:rsid w:val="004B3B2F"/>
    <w:rsid w:val="004B3BE3"/>
    <w:rsid w:val="004B40DB"/>
    <w:rsid w:val="004B4603"/>
    <w:rsid w:val="004B4964"/>
    <w:rsid w:val="004B4F12"/>
    <w:rsid w:val="004B6761"/>
    <w:rsid w:val="004B719F"/>
    <w:rsid w:val="004C00AF"/>
    <w:rsid w:val="004C0588"/>
    <w:rsid w:val="004C0D35"/>
    <w:rsid w:val="004C17D2"/>
    <w:rsid w:val="004C1A8E"/>
    <w:rsid w:val="004C2733"/>
    <w:rsid w:val="004C357F"/>
    <w:rsid w:val="004C3D8C"/>
    <w:rsid w:val="004C4A11"/>
    <w:rsid w:val="004C6463"/>
    <w:rsid w:val="004C6811"/>
    <w:rsid w:val="004C6E1A"/>
    <w:rsid w:val="004D28AA"/>
    <w:rsid w:val="004D355F"/>
    <w:rsid w:val="004D3D05"/>
    <w:rsid w:val="004D3EDB"/>
    <w:rsid w:val="004D3FC9"/>
    <w:rsid w:val="004D41C9"/>
    <w:rsid w:val="004D4365"/>
    <w:rsid w:val="004D4905"/>
    <w:rsid w:val="004D4E9F"/>
    <w:rsid w:val="004D5B45"/>
    <w:rsid w:val="004D5C6E"/>
    <w:rsid w:val="004D65A3"/>
    <w:rsid w:val="004D6751"/>
    <w:rsid w:val="004D7003"/>
    <w:rsid w:val="004D7701"/>
    <w:rsid w:val="004E00A2"/>
    <w:rsid w:val="004E1A99"/>
    <w:rsid w:val="004E2473"/>
    <w:rsid w:val="004E2652"/>
    <w:rsid w:val="004E26AC"/>
    <w:rsid w:val="004E2860"/>
    <w:rsid w:val="004E2D88"/>
    <w:rsid w:val="004E3CFB"/>
    <w:rsid w:val="004E43F7"/>
    <w:rsid w:val="004E45C2"/>
    <w:rsid w:val="004E4842"/>
    <w:rsid w:val="004E4FA2"/>
    <w:rsid w:val="004F0B9E"/>
    <w:rsid w:val="004F1602"/>
    <w:rsid w:val="004F27A9"/>
    <w:rsid w:val="004F3B7A"/>
    <w:rsid w:val="004F412F"/>
    <w:rsid w:val="004F4648"/>
    <w:rsid w:val="004F46D2"/>
    <w:rsid w:val="004F6106"/>
    <w:rsid w:val="004F61B2"/>
    <w:rsid w:val="004F6FA2"/>
    <w:rsid w:val="00501C25"/>
    <w:rsid w:val="00502A27"/>
    <w:rsid w:val="005033DD"/>
    <w:rsid w:val="00503BA6"/>
    <w:rsid w:val="00503E89"/>
    <w:rsid w:val="005061E4"/>
    <w:rsid w:val="00507BF6"/>
    <w:rsid w:val="00510188"/>
    <w:rsid w:val="00510CAB"/>
    <w:rsid w:val="00510EE3"/>
    <w:rsid w:val="00510FFB"/>
    <w:rsid w:val="00511D42"/>
    <w:rsid w:val="00511FC7"/>
    <w:rsid w:val="00513D35"/>
    <w:rsid w:val="00514308"/>
    <w:rsid w:val="005144BA"/>
    <w:rsid w:val="0051470A"/>
    <w:rsid w:val="00515B60"/>
    <w:rsid w:val="005163C2"/>
    <w:rsid w:val="00516796"/>
    <w:rsid w:val="00516BC8"/>
    <w:rsid w:val="005170AC"/>
    <w:rsid w:val="00517CE5"/>
    <w:rsid w:val="0052204E"/>
    <w:rsid w:val="00522CDD"/>
    <w:rsid w:val="00524EEE"/>
    <w:rsid w:val="00525307"/>
    <w:rsid w:val="00526C3F"/>
    <w:rsid w:val="00530F03"/>
    <w:rsid w:val="00531159"/>
    <w:rsid w:val="0053183A"/>
    <w:rsid w:val="00531B9A"/>
    <w:rsid w:val="0053263C"/>
    <w:rsid w:val="00532741"/>
    <w:rsid w:val="00532DCA"/>
    <w:rsid w:val="0053399A"/>
    <w:rsid w:val="0053641B"/>
    <w:rsid w:val="00537484"/>
    <w:rsid w:val="005410C5"/>
    <w:rsid w:val="00541941"/>
    <w:rsid w:val="00541BA4"/>
    <w:rsid w:val="005442FC"/>
    <w:rsid w:val="0054462D"/>
    <w:rsid w:val="005449C3"/>
    <w:rsid w:val="00544E97"/>
    <w:rsid w:val="00545467"/>
    <w:rsid w:val="00545891"/>
    <w:rsid w:val="00545C8E"/>
    <w:rsid w:val="00545E06"/>
    <w:rsid w:val="00546311"/>
    <w:rsid w:val="00547A51"/>
    <w:rsid w:val="005504F1"/>
    <w:rsid w:val="00550691"/>
    <w:rsid w:val="00550D1A"/>
    <w:rsid w:val="005539E8"/>
    <w:rsid w:val="00553E47"/>
    <w:rsid w:val="005565F4"/>
    <w:rsid w:val="0055701A"/>
    <w:rsid w:val="005607E6"/>
    <w:rsid w:val="00561D26"/>
    <w:rsid w:val="005632DA"/>
    <w:rsid w:val="005639A9"/>
    <w:rsid w:val="00563AAF"/>
    <w:rsid w:val="00563FF6"/>
    <w:rsid w:val="00566C43"/>
    <w:rsid w:val="00567025"/>
    <w:rsid w:val="005673C3"/>
    <w:rsid w:val="0056777B"/>
    <w:rsid w:val="00567869"/>
    <w:rsid w:val="005678FD"/>
    <w:rsid w:val="005678FE"/>
    <w:rsid w:val="00567935"/>
    <w:rsid w:val="00567A3A"/>
    <w:rsid w:val="00571940"/>
    <w:rsid w:val="0057194D"/>
    <w:rsid w:val="00571AA9"/>
    <w:rsid w:val="00571DBF"/>
    <w:rsid w:val="00571E27"/>
    <w:rsid w:val="005727B9"/>
    <w:rsid w:val="00573473"/>
    <w:rsid w:val="0057438B"/>
    <w:rsid w:val="00574BD7"/>
    <w:rsid w:val="00575E41"/>
    <w:rsid w:val="0057610C"/>
    <w:rsid w:val="0057616D"/>
    <w:rsid w:val="00576494"/>
    <w:rsid w:val="00577654"/>
    <w:rsid w:val="00581996"/>
    <w:rsid w:val="0058206D"/>
    <w:rsid w:val="005833FE"/>
    <w:rsid w:val="00584BF4"/>
    <w:rsid w:val="00586BFB"/>
    <w:rsid w:val="0058771F"/>
    <w:rsid w:val="00587A28"/>
    <w:rsid w:val="00591320"/>
    <w:rsid w:val="005914A8"/>
    <w:rsid w:val="005931BC"/>
    <w:rsid w:val="00595386"/>
    <w:rsid w:val="00595976"/>
    <w:rsid w:val="0059689D"/>
    <w:rsid w:val="00597426"/>
    <w:rsid w:val="00597C03"/>
    <w:rsid w:val="005A01A3"/>
    <w:rsid w:val="005A0493"/>
    <w:rsid w:val="005A0808"/>
    <w:rsid w:val="005A1002"/>
    <w:rsid w:val="005A13FA"/>
    <w:rsid w:val="005A3DB5"/>
    <w:rsid w:val="005A3EAC"/>
    <w:rsid w:val="005A4717"/>
    <w:rsid w:val="005A4BE5"/>
    <w:rsid w:val="005A6E0A"/>
    <w:rsid w:val="005A780E"/>
    <w:rsid w:val="005B0287"/>
    <w:rsid w:val="005B1CFB"/>
    <w:rsid w:val="005B1D53"/>
    <w:rsid w:val="005B2307"/>
    <w:rsid w:val="005B27C9"/>
    <w:rsid w:val="005B2B4E"/>
    <w:rsid w:val="005B3CBB"/>
    <w:rsid w:val="005B4361"/>
    <w:rsid w:val="005B46F5"/>
    <w:rsid w:val="005B47B4"/>
    <w:rsid w:val="005B4901"/>
    <w:rsid w:val="005B4B18"/>
    <w:rsid w:val="005B573A"/>
    <w:rsid w:val="005B59D3"/>
    <w:rsid w:val="005B5A2A"/>
    <w:rsid w:val="005B7E97"/>
    <w:rsid w:val="005B7FFA"/>
    <w:rsid w:val="005C0607"/>
    <w:rsid w:val="005C1E3F"/>
    <w:rsid w:val="005C1F46"/>
    <w:rsid w:val="005C2AF5"/>
    <w:rsid w:val="005C3401"/>
    <w:rsid w:val="005C4696"/>
    <w:rsid w:val="005C493D"/>
    <w:rsid w:val="005C4CAB"/>
    <w:rsid w:val="005C4D49"/>
    <w:rsid w:val="005C6531"/>
    <w:rsid w:val="005C66EC"/>
    <w:rsid w:val="005C7028"/>
    <w:rsid w:val="005D1719"/>
    <w:rsid w:val="005D2FAE"/>
    <w:rsid w:val="005D42CA"/>
    <w:rsid w:val="005D470C"/>
    <w:rsid w:val="005D4750"/>
    <w:rsid w:val="005D4BB4"/>
    <w:rsid w:val="005D5FF7"/>
    <w:rsid w:val="005D6539"/>
    <w:rsid w:val="005D6791"/>
    <w:rsid w:val="005D75B4"/>
    <w:rsid w:val="005E00AB"/>
    <w:rsid w:val="005E22F6"/>
    <w:rsid w:val="005E27D0"/>
    <w:rsid w:val="005E2DC4"/>
    <w:rsid w:val="005E311C"/>
    <w:rsid w:val="005E413B"/>
    <w:rsid w:val="005E4B52"/>
    <w:rsid w:val="005E4E45"/>
    <w:rsid w:val="005E54E8"/>
    <w:rsid w:val="005E5578"/>
    <w:rsid w:val="005E6121"/>
    <w:rsid w:val="005E687A"/>
    <w:rsid w:val="005E6A27"/>
    <w:rsid w:val="005E7142"/>
    <w:rsid w:val="005F0FE1"/>
    <w:rsid w:val="005F18C8"/>
    <w:rsid w:val="005F2A67"/>
    <w:rsid w:val="005F49DD"/>
    <w:rsid w:val="005F5E01"/>
    <w:rsid w:val="005F5E34"/>
    <w:rsid w:val="005F66C2"/>
    <w:rsid w:val="005F7774"/>
    <w:rsid w:val="00600157"/>
    <w:rsid w:val="00600604"/>
    <w:rsid w:val="0060091E"/>
    <w:rsid w:val="006016B1"/>
    <w:rsid w:val="00602142"/>
    <w:rsid w:val="0060220D"/>
    <w:rsid w:val="00603298"/>
    <w:rsid w:val="006035D7"/>
    <w:rsid w:val="00603604"/>
    <w:rsid w:val="006042EC"/>
    <w:rsid w:val="006053C0"/>
    <w:rsid w:val="00605FCF"/>
    <w:rsid w:val="00606440"/>
    <w:rsid w:val="00610642"/>
    <w:rsid w:val="00613568"/>
    <w:rsid w:val="00613A8C"/>
    <w:rsid w:val="00613AD2"/>
    <w:rsid w:val="006150C1"/>
    <w:rsid w:val="0061514A"/>
    <w:rsid w:val="006202FD"/>
    <w:rsid w:val="00620E0D"/>
    <w:rsid w:val="006213CE"/>
    <w:rsid w:val="00621D0A"/>
    <w:rsid w:val="0062228C"/>
    <w:rsid w:val="006254B5"/>
    <w:rsid w:val="00625E47"/>
    <w:rsid w:val="006263CC"/>
    <w:rsid w:val="00626C9F"/>
    <w:rsid w:val="006274A4"/>
    <w:rsid w:val="00631D10"/>
    <w:rsid w:val="00632579"/>
    <w:rsid w:val="006325E0"/>
    <w:rsid w:val="006334CA"/>
    <w:rsid w:val="0063463F"/>
    <w:rsid w:val="00634E9F"/>
    <w:rsid w:val="006351F4"/>
    <w:rsid w:val="00636B40"/>
    <w:rsid w:val="00637566"/>
    <w:rsid w:val="006400F7"/>
    <w:rsid w:val="0064073A"/>
    <w:rsid w:val="006408F3"/>
    <w:rsid w:val="00640D11"/>
    <w:rsid w:val="00641114"/>
    <w:rsid w:val="00642815"/>
    <w:rsid w:val="00644259"/>
    <w:rsid w:val="006448FA"/>
    <w:rsid w:val="0064577F"/>
    <w:rsid w:val="00645B9F"/>
    <w:rsid w:val="0065035F"/>
    <w:rsid w:val="00650B3D"/>
    <w:rsid w:val="006518FD"/>
    <w:rsid w:val="00651C72"/>
    <w:rsid w:val="00652300"/>
    <w:rsid w:val="00652768"/>
    <w:rsid w:val="00652AAC"/>
    <w:rsid w:val="00652FB6"/>
    <w:rsid w:val="0065354F"/>
    <w:rsid w:val="00653DF8"/>
    <w:rsid w:val="00654A60"/>
    <w:rsid w:val="006553DB"/>
    <w:rsid w:val="00655804"/>
    <w:rsid w:val="00655DDB"/>
    <w:rsid w:val="0065788F"/>
    <w:rsid w:val="0065792B"/>
    <w:rsid w:val="00660AA8"/>
    <w:rsid w:val="00661437"/>
    <w:rsid w:val="006616C6"/>
    <w:rsid w:val="00663058"/>
    <w:rsid w:val="0066429B"/>
    <w:rsid w:val="0066524E"/>
    <w:rsid w:val="00666D78"/>
    <w:rsid w:val="00666E37"/>
    <w:rsid w:val="006676E2"/>
    <w:rsid w:val="00667B4A"/>
    <w:rsid w:val="00670E99"/>
    <w:rsid w:val="00671454"/>
    <w:rsid w:val="0067248C"/>
    <w:rsid w:val="00672C49"/>
    <w:rsid w:val="00673BEF"/>
    <w:rsid w:val="00674AA2"/>
    <w:rsid w:val="006763CB"/>
    <w:rsid w:val="00680749"/>
    <w:rsid w:val="00680AB9"/>
    <w:rsid w:val="00680F2A"/>
    <w:rsid w:val="00683093"/>
    <w:rsid w:val="006848A7"/>
    <w:rsid w:val="0068645D"/>
    <w:rsid w:val="00692742"/>
    <w:rsid w:val="006929E0"/>
    <w:rsid w:val="00694297"/>
    <w:rsid w:val="0069436A"/>
    <w:rsid w:val="00694467"/>
    <w:rsid w:val="00694F91"/>
    <w:rsid w:val="0069525C"/>
    <w:rsid w:val="00695D42"/>
    <w:rsid w:val="00696159"/>
    <w:rsid w:val="00696A07"/>
    <w:rsid w:val="0069787C"/>
    <w:rsid w:val="00697D81"/>
    <w:rsid w:val="006A01D6"/>
    <w:rsid w:val="006A0307"/>
    <w:rsid w:val="006A42E9"/>
    <w:rsid w:val="006A5AE9"/>
    <w:rsid w:val="006A71B0"/>
    <w:rsid w:val="006A7E05"/>
    <w:rsid w:val="006B0627"/>
    <w:rsid w:val="006B1C84"/>
    <w:rsid w:val="006B2895"/>
    <w:rsid w:val="006B2AAD"/>
    <w:rsid w:val="006B2B31"/>
    <w:rsid w:val="006B42D0"/>
    <w:rsid w:val="006B44AC"/>
    <w:rsid w:val="006B4680"/>
    <w:rsid w:val="006B583A"/>
    <w:rsid w:val="006B5BB4"/>
    <w:rsid w:val="006B5F32"/>
    <w:rsid w:val="006C1591"/>
    <w:rsid w:val="006C36C2"/>
    <w:rsid w:val="006C3DB6"/>
    <w:rsid w:val="006C3E52"/>
    <w:rsid w:val="006C466B"/>
    <w:rsid w:val="006C5BDE"/>
    <w:rsid w:val="006C5E55"/>
    <w:rsid w:val="006C604B"/>
    <w:rsid w:val="006C623D"/>
    <w:rsid w:val="006C6245"/>
    <w:rsid w:val="006C6CC5"/>
    <w:rsid w:val="006C7C6E"/>
    <w:rsid w:val="006D0000"/>
    <w:rsid w:val="006D36DD"/>
    <w:rsid w:val="006D4034"/>
    <w:rsid w:val="006D42DD"/>
    <w:rsid w:val="006D5CAB"/>
    <w:rsid w:val="006E0093"/>
    <w:rsid w:val="006E0179"/>
    <w:rsid w:val="006E032F"/>
    <w:rsid w:val="006E2937"/>
    <w:rsid w:val="006E3ED7"/>
    <w:rsid w:val="006E4581"/>
    <w:rsid w:val="006E520F"/>
    <w:rsid w:val="006E542C"/>
    <w:rsid w:val="006F0B3B"/>
    <w:rsid w:val="006F0CFD"/>
    <w:rsid w:val="006F13D9"/>
    <w:rsid w:val="006F1ABA"/>
    <w:rsid w:val="006F1F53"/>
    <w:rsid w:val="006F2A23"/>
    <w:rsid w:val="006F2D2D"/>
    <w:rsid w:val="006F2E8E"/>
    <w:rsid w:val="006F3394"/>
    <w:rsid w:val="006F44D7"/>
    <w:rsid w:val="006F514E"/>
    <w:rsid w:val="006F574C"/>
    <w:rsid w:val="00700394"/>
    <w:rsid w:val="007009B4"/>
    <w:rsid w:val="007021D2"/>
    <w:rsid w:val="00702520"/>
    <w:rsid w:val="007028A7"/>
    <w:rsid w:val="00702D0C"/>
    <w:rsid w:val="007038D9"/>
    <w:rsid w:val="00703D16"/>
    <w:rsid w:val="00704380"/>
    <w:rsid w:val="0070554C"/>
    <w:rsid w:val="00705ACE"/>
    <w:rsid w:val="0070674D"/>
    <w:rsid w:val="0070701D"/>
    <w:rsid w:val="00707518"/>
    <w:rsid w:val="007076B1"/>
    <w:rsid w:val="00707CFE"/>
    <w:rsid w:val="0071063E"/>
    <w:rsid w:val="00711422"/>
    <w:rsid w:val="00711A07"/>
    <w:rsid w:val="00711F54"/>
    <w:rsid w:val="00712C4E"/>
    <w:rsid w:val="00712E96"/>
    <w:rsid w:val="00713843"/>
    <w:rsid w:val="00713893"/>
    <w:rsid w:val="007139B7"/>
    <w:rsid w:val="00713D1E"/>
    <w:rsid w:val="00714932"/>
    <w:rsid w:val="007155FB"/>
    <w:rsid w:val="00715A9B"/>
    <w:rsid w:val="007160B9"/>
    <w:rsid w:val="00716184"/>
    <w:rsid w:val="00717EB6"/>
    <w:rsid w:val="0072033A"/>
    <w:rsid w:val="00720A08"/>
    <w:rsid w:val="00720B7F"/>
    <w:rsid w:val="00720D73"/>
    <w:rsid w:val="007215EF"/>
    <w:rsid w:val="00722308"/>
    <w:rsid w:val="00722C93"/>
    <w:rsid w:val="00723B3C"/>
    <w:rsid w:val="007241BD"/>
    <w:rsid w:val="007243BA"/>
    <w:rsid w:val="00724E3E"/>
    <w:rsid w:val="007251A8"/>
    <w:rsid w:val="00726D1F"/>
    <w:rsid w:val="00731081"/>
    <w:rsid w:val="007329BA"/>
    <w:rsid w:val="00732C65"/>
    <w:rsid w:val="00733207"/>
    <w:rsid w:val="007336D2"/>
    <w:rsid w:val="00733EA9"/>
    <w:rsid w:val="00735D50"/>
    <w:rsid w:val="0073616C"/>
    <w:rsid w:val="00736DF8"/>
    <w:rsid w:val="007376E7"/>
    <w:rsid w:val="00737A25"/>
    <w:rsid w:val="00740342"/>
    <w:rsid w:val="00740970"/>
    <w:rsid w:val="00740FE9"/>
    <w:rsid w:val="0074232A"/>
    <w:rsid w:val="00742394"/>
    <w:rsid w:val="00743B0C"/>
    <w:rsid w:val="00743EE6"/>
    <w:rsid w:val="00744A8C"/>
    <w:rsid w:val="00744E32"/>
    <w:rsid w:val="00745742"/>
    <w:rsid w:val="007463F6"/>
    <w:rsid w:val="00746CF7"/>
    <w:rsid w:val="0074775B"/>
    <w:rsid w:val="00747A89"/>
    <w:rsid w:val="00747C33"/>
    <w:rsid w:val="00750183"/>
    <w:rsid w:val="0075067C"/>
    <w:rsid w:val="007517CE"/>
    <w:rsid w:val="007526A7"/>
    <w:rsid w:val="007527E5"/>
    <w:rsid w:val="00752A2C"/>
    <w:rsid w:val="00753E34"/>
    <w:rsid w:val="00753FD0"/>
    <w:rsid w:val="0076034C"/>
    <w:rsid w:val="00760A86"/>
    <w:rsid w:val="00760CF7"/>
    <w:rsid w:val="007618EF"/>
    <w:rsid w:val="0076254D"/>
    <w:rsid w:val="0076270D"/>
    <w:rsid w:val="00762D20"/>
    <w:rsid w:val="007642A0"/>
    <w:rsid w:val="00764A9B"/>
    <w:rsid w:val="007653CF"/>
    <w:rsid w:val="0076605F"/>
    <w:rsid w:val="00766206"/>
    <w:rsid w:val="007673E6"/>
    <w:rsid w:val="0077087B"/>
    <w:rsid w:val="00772549"/>
    <w:rsid w:val="00772A08"/>
    <w:rsid w:val="007733D5"/>
    <w:rsid w:val="00773868"/>
    <w:rsid w:val="00774EF4"/>
    <w:rsid w:val="00775A3F"/>
    <w:rsid w:val="00775F0F"/>
    <w:rsid w:val="00776B67"/>
    <w:rsid w:val="0077722A"/>
    <w:rsid w:val="00780466"/>
    <w:rsid w:val="0078163C"/>
    <w:rsid w:val="00781729"/>
    <w:rsid w:val="00782F37"/>
    <w:rsid w:val="00784524"/>
    <w:rsid w:val="00785A9C"/>
    <w:rsid w:val="00786ABF"/>
    <w:rsid w:val="00786CC4"/>
    <w:rsid w:val="00786FDF"/>
    <w:rsid w:val="007872EC"/>
    <w:rsid w:val="007902C4"/>
    <w:rsid w:val="00791985"/>
    <w:rsid w:val="00791A85"/>
    <w:rsid w:val="00791E58"/>
    <w:rsid w:val="00793620"/>
    <w:rsid w:val="00794508"/>
    <w:rsid w:val="007948A0"/>
    <w:rsid w:val="00794BF6"/>
    <w:rsid w:val="007952FC"/>
    <w:rsid w:val="0079560A"/>
    <w:rsid w:val="00797A7B"/>
    <w:rsid w:val="007A0707"/>
    <w:rsid w:val="007A24CA"/>
    <w:rsid w:val="007A2C60"/>
    <w:rsid w:val="007A449C"/>
    <w:rsid w:val="007A50E9"/>
    <w:rsid w:val="007A5FCE"/>
    <w:rsid w:val="007A6302"/>
    <w:rsid w:val="007A72D4"/>
    <w:rsid w:val="007B014A"/>
    <w:rsid w:val="007B01D4"/>
    <w:rsid w:val="007B1086"/>
    <w:rsid w:val="007B1BA3"/>
    <w:rsid w:val="007B3416"/>
    <w:rsid w:val="007B4AF7"/>
    <w:rsid w:val="007B4D71"/>
    <w:rsid w:val="007B5E79"/>
    <w:rsid w:val="007B5EE5"/>
    <w:rsid w:val="007B6DD4"/>
    <w:rsid w:val="007B7F48"/>
    <w:rsid w:val="007C0233"/>
    <w:rsid w:val="007C0805"/>
    <w:rsid w:val="007C0BCD"/>
    <w:rsid w:val="007C1B3D"/>
    <w:rsid w:val="007C307D"/>
    <w:rsid w:val="007C5206"/>
    <w:rsid w:val="007C7C76"/>
    <w:rsid w:val="007D2060"/>
    <w:rsid w:val="007D2A5D"/>
    <w:rsid w:val="007D39D4"/>
    <w:rsid w:val="007D66F0"/>
    <w:rsid w:val="007D6920"/>
    <w:rsid w:val="007D746A"/>
    <w:rsid w:val="007D7F38"/>
    <w:rsid w:val="007E08A3"/>
    <w:rsid w:val="007E0C50"/>
    <w:rsid w:val="007E283E"/>
    <w:rsid w:val="007E42C9"/>
    <w:rsid w:val="007E4A8A"/>
    <w:rsid w:val="007E57B7"/>
    <w:rsid w:val="007E5AE2"/>
    <w:rsid w:val="007E6609"/>
    <w:rsid w:val="007F0766"/>
    <w:rsid w:val="007F0C9C"/>
    <w:rsid w:val="007F0E1F"/>
    <w:rsid w:val="007F1422"/>
    <w:rsid w:val="007F34BD"/>
    <w:rsid w:val="007F4C93"/>
    <w:rsid w:val="007F4CDE"/>
    <w:rsid w:val="007F53C7"/>
    <w:rsid w:val="007F547C"/>
    <w:rsid w:val="007F6BDC"/>
    <w:rsid w:val="0080061F"/>
    <w:rsid w:val="0080124A"/>
    <w:rsid w:val="008019DE"/>
    <w:rsid w:val="00802340"/>
    <w:rsid w:val="008026FB"/>
    <w:rsid w:val="00802856"/>
    <w:rsid w:val="008033D3"/>
    <w:rsid w:val="00803511"/>
    <w:rsid w:val="00803CA5"/>
    <w:rsid w:val="00805FE4"/>
    <w:rsid w:val="008065B3"/>
    <w:rsid w:val="00806F89"/>
    <w:rsid w:val="008073C8"/>
    <w:rsid w:val="0080767B"/>
    <w:rsid w:val="00807E82"/>
    <w:rsid w:val="00811119"/>
    <w:rsid w:val="00812010"/>
    <w:rsid w:val="008135AA"/>
    <w:rsid w:val="008148C3"/>
    <w:rsid w:val="0081527F"/>
    <w:rsid w:val="00816CAF"/>
    <w:rsid w:val="00817042"/>
    <w:rsid w:val="008172D0"/>
    <w:rsid w:val="00817A81"/>
    <w:rsid w:val="00820347"/>
    <w:rsid w:val="00820E96"/>
    <w:rsid w:val="008217B7"/>
    <w:rsid w:val="008217F3"/>
    <w:rsid w:val="00822544"/>
    <w:rsid w:val="00822D6D"/>
    <w:rsid w:val="00822F24"/>
    <w:rsid w:val="00823262"/>
    <w:rsid w:val="00823F54"/>
    <w:rsid w:val="0082437B"/>
    <w:rsid w:val="008248DE"/>
    <w:rsid w:val="008249B3"/>
    <w:rsid w:val="00824B5A"/>
    <w:rsid w:val="00825D7A"/>
    <w:rsid w:val="00826460"/>
    <w:rsid w:val="00826DB2"/>
    <w:rsid w:val="0083050F"/>
    <w:rsid w:val="0083100B"/>
    <w:rsid w:val="00833519"/>
    <w:rsid w:val="00834581"/>
    <w:rsid w:val="00834C04"/>
    <w:rsid w:val="00835D70"/>
    <w:rsid w:val="008372A6"/>
    <w:rsid w:val="00840149"/>
    <w:rsid w:val="008402DF"/>
    <w:rsid w:val="00841059"/>
    <w:rsid w:val="008425FC"/>
    <w:rsid w:val="00842795"/>
    <w:rsid w:val="00842E43"/>
    <w:rsid w:val="008443F7"/>
    <w:rsid w:val="00846121"/>
    <w:rsid w:val="00846B04"/>
    <w:rsid w:val="008478A8"/>
    <w:rsid w:val="008504C6"/>
    <w:rsid w:val="008509FB"/>
    <w:rsid w:val="008526F3"/>
    <w:rsid w:val="00852DE5"/>
    <w:rsid w:val="0085372C"/>
    <w:rsid w:val="00853A57"/>
    <w:rsid w:val="00854EC3"/>
    <w:rsid w:val="00855182"/>
    <w:rsid w:val="00855803"/>
    <w:rsid w:val="00857AD4"/>
    <w:rsid w:val="00857D9A"/>
    <w:rsid w:val="00862A36"/>
    <w:rsid w:val="0086322D"/>
    <w:rsid w:val="008637B0"/>
    <w:rsid w:val="00864018"/>
    <w:rsid w:val="008646EF"/>
    <w:rsid w:val="008658D1"/>
    <w:rsid w:val="00866ADE"/>
    <w:rsid w:val="00866C66"/>
    <w:rsid w:val="00866E3E"/>
    <w:rsid w:val="00867A6A"/>
    <w:rsid w:val="00867E98"/>
    <w:rsid w:val="008708FF"/>
    <w:rsid w:val="008709B2"/>
    <w:rsid w:val="00870BD2"/>
    <w:rsid w:val="008711EE"/>
    <w:rsid w:val="008721D4"/>
    <w:rsid w:val="00872334"/>
    <w:rsid w:val="00873C0D"/>
    <w:rsid w:val="008757E0"/>
    <w:rsid w:val="008757E3"/>
    <w:rsid w:val="008759E1"/>
    <w:rsid w:val="00876995"/>
    <w:rsid w:val="00876C6C"/>
    <w:rsid w:val="00876E04"/>
    <w:rsid w:val="008804E7"/>
    <w:rsid w:val="00881FF4"/>
    <w:rsid w:val="00882E4B"/>
    <w:rsid w:val="0088339B"/>
    <w:rsid w:val="00883C69"/>
    <w:rsid w:val="00883F34"/>
    <w:rsid w:val="00884B67"/>
    <w:rsid w:val="008856E6"/>
    <w:rsid w:val="008906CD"/>
    <w:rsid w:val="0089159F"/>
    <w:rsid w:val="00891B96"/>
    <w:rsid w:val="008921CD"/>
    <w:rsid w:val="00892898"/>
    <w:rsid w:val="00892CDA"/>
    <w:rsid w:val="00893ECF"/>
    <w:rsid w:val="00894754"/>
    <w:rsid w:val="00894FAA"/>
    <w:rsid w:val="008963F4"/>
    <w:rsid w:val="0089769B"/>
    <w:rsid w:val="008A0131"/>
    <w:rsid w:val="008A05BD"/>
    <w:rsid w:val="008A0A33"/>
    <w:rsid w:val="008A177E"/>
    <w:rsid w:val="008A2F44"/>
    <w:rsid w:val="008A2F8E"/>
    <w:rsid w:val="008A3114"/>
    <w:rsid w:val="008A3B20"/>
    <w:rsid w:val="008A3D8E"/>
    <w:rsid w:val="008A495C"/>
    <w:rsid w:val="008A49B4"/>
    <w:rsid w:val="008A6ABF"/>
    <w:rsid w:val="008A6C68"/>
    <w:rsid w:val="008A7FB2"/>
    <w:rsid w:val="008B008B"/>
    <w:rsid w:val="008B010F"/>
    <w:rsid w:val="008B0DBB"/>
    <w:rsid w:val="008B1033"/>
    <w:rsid w:val="008B162D"/>
    <w:rsid w:val="008B2851"/>
    <w:rsid w:val="008B3B3F"/>
    <w:rsid w:val="008B402D"/>
    <w:rsid w:val="008B40A2"/>
    <w:rsid w:val="008B618E"/>
    <w:rsid w:val="008B6D96"/>
    <w:rsid w:val="008C0DC2"/>
    <w:rsid w:val="008C1241"/>
    <w:rsid w:val="008C1A31"/>
    <w:rsid w:val="008C3DE2"/>
    <w:rsid w:val="008C42A5"/>
    <w:rsid w:val="008C53A1"/>
    <w:rsid w:val="008C59D5"/>
    <w:rsid w:val="008C621D"/>
    <w:rsid w:val="008C69FD"/>
    <w:rsid w:val="008C6A53"/>
    <w:rsid w:val="008D0142"/>
    <w:rsid w:val="008D0185"/>
    <w:rsid w:val="008D0BCA"/>
    <w:rsid w:val="008D0C3B"/>
    <w:rsid w:val="008D2880"/>
    <w:rsid w:val="008D300D"/>
    <w:rsid w:val="008D31BD"/>
    <w:rsid w:val="008D3431"/>
    <w:rsid w:val="008D353C"/>
    <w:rsid w:val="008D4356"/>
    <w:rsid w:val="008D482F"/>
    <w:rsid w:val="008D489B"/>
    <w:rsid w:val="008D59B7"/>
    <w:rsid w:val="008D600D"/>
    <w:rsid w:val="008D645A"/>
    <w:rsid w:val="008D6D3E"/>
    <w:rsid w:val="008D71FB"/>
    <w:rsid w:val="008E002B"/>
    <w:rsid w:val="008E0495"/>
    <w:rsid w:val="008E098B"/>
    <w:rsid w:val="008E1616"/>
    <w:rsid w:val="008E166D"/>
    <w:rsid w:val="008E20A0"/>
    <w:rsid w:val="008E21A6"/>
    <w:rsid w:val="008E220F"/>
    <w:rsid w:val="008E234D"/>
    <w:rsid w:val="008E2E6E"/>
    <w:rsid w:val="008E2EA2"/>
    <w:rsid w:val="008E400C"/>
    <w:rsid w:val="008E5675"/>
    <w:rsid w:val="008E6256"/>
    <w:rsid w:val="008E6B13"/>
    <w:rsid w:val="008E7626"/>
    <w:rsid w:val="008E77BE"/>
    <w:rsid w:val="008F015C"/>
    <w:rsid w:val="008F07D7"/>
    <w:rsid w:val="008F1DE8"/>
    <w:rsid w:val="008F1EF6"/>
    <w:rsid w:val="008F1FCA"/>
    <w:rsid w:val="008F333E"/>
    <w:rsid w:val="008F3D34"/>
    <w:rsid w:val="008F40AF"/>
    <w:rsid w:val="008F4427"/>
    <w:rsid w:val="008F4893"/>
    <w:rsid w:val="008F50F6"/>
    <w:rsid w:val="008F51CB"/>
    <w:rsid w:val="008F5537"/>
    <w:rsid w:val="008F6C8E"/>
    <w:rsid w:val="008F70EE"/>
    <w:rsid w:val="008F796B"/>
    <w:rsid w:val="0090084F"/>
    <w:rsid w:val="00901ADE"/>
    <w:rsid w:val="00901B6A"/>
    <w:rsid w:val="00901D95"/>
    <w:rsid w:val="00902D9B"/>
    <w:rsid w:val="0090334D"/>
    <w:rsid w:val="00903671"/>
    <w:rsid w:val="00903C94"/>
    <w:rsid w:val="00903F8E"/>
    <w:rsid w:val="00904D42"/>
    <w:rsid w:val="009065A2"/>
    <w:rsid w:val="00906D37"/>
    <w:rsid w:val="00907542"/>
    <w:rsid w:val="009076B6"/>
    <w:rsid w:val="0090771E"/>
    <w:rsid w:val="0091081E"/>
    <w:rsid w:val="00910C93"/>
    <w:rsid w:val="00911C9D"/>
    <w:rsid w:val="009121F7"/>
    <w:rsid w:val="009129B1"/>
    <w:rsid w:val="00913A81"/>
    <w:rsid w:val="0091408F"/>
    <w:rsid w:val="009141A4"/>
    <w:rsid w:val="0091455C"/>
    <w:rsid w:val="0091498A"/>
    <w:rsid w:val="00914A70"/>
    <w:rsid w:val="0091519A"/>
    <w:rsid w:val="00915276"/>
    <w:rsid w:val="009166AF"/>
    <w:rsid w:val="00917C52"/>
    <w:rsid w:val="00917F9E"/>
    <w:rsid w:val="00922E0F"/>
    <w:rsid w:val="00924372"/>
    <w:rsid w:val="00924EBC"/>
    <w:rsid w:val="0092604E"/>
    <w:rsid w:val="00926382"/>
    <w:rsid w:val="00926A51"/>
    <w:rsid w:val="009277C7"/>
    <w:rsid w:val="00930973"/>
    <w:rsid w:val="00930CD1"/>
    <w:rsid w:val="00934DBD"/>
    <w:rsid w:val="009356FD"/>
    <w:rsid w:val="009357A5"/>
    <w:rsid w:val="00935971"/>
    <w:rsid w:val="0093625C"/>
    <w:rsid w:val="00936C4F"/>
    <w:rsid w:val="0093727D"/>
    <w:rsid w:val="009379C4"/>
    <w:rsid w:val="00940388"/>
    <w:rsid w:val="00940443"/>
    <w:rsid w:val="00940488"/>
    <w:rsid w:val="009409C7"/>
    <w:rsid w:val="00940CD1"/>
    <w:rsid w:val="00940F80"/>
    <w:rsid w:val="00941B57"/>
    <w:rsid w:val="0094265B"/>
    <w:rsid w:val="00945211"/>
    <w:rsid w:val="00946193"/>
    <w:rsid w:val="00947396"/>
    <w:rsid w:val="009474F4"/>
    <w:rsid w:val="00950022"/>
    <w:rsid w:val="00950152"/>
    <w:rsid w:val="009506DF"/>
    <w:rsid w:val="0095078F"/>
    <w:rsid w:val="0095436A"/>
    <w:rsid w:val="009550BE"/>
    <w:rsid w:val="009561CE"/>
    <w:rsid w:val="009564B1"/>
    <w:rsid w:val="00956A66"/>
    <w:rsid w:val="00957854"/>
    <w:rsid w:val="00957C71"/>
    <w:rsid w:val="0096015C"/>
    <w:rsid w:val="009606AD"/>
    <w:rsid w:val="00960AA0"/>
    <w:rsid w:val="009613F7"/>
    <w:rsid w:val="00961B60"/>
    <w:rsid w:val="00962B6F"/>
    <w:rsid w:val="00964743"/>
    <w:rsid w:val="00964A62"/>
    <w:rsid w:val="00966036"/>
    <w:rsid w:val="00967E81"/>
    <w:rsid w:val="009716FC"/>
    <w:rsid w:val="009719CF"/>
    <w:rsid w:val="00972A74"/>
    <w:rsid w:val="00973500"/>
    <w:rsid w:val="00975504"/>
    <w:rsid w:val="00976236"/>
    <w:rsid w:val="00976D75"/>
    <w:rsid w:val="00976FDA"/>
    <w:rsid w:val="009772FF"/>
    <w:rsid w:val="00977B90"/>
    <w:rsid w:val="00977EB7"/>
    <w:rsid w:val="0098241E"/>
    <w:rsid w:val="00983379"/>
    <w:rsid w:val="00983FF4"/>
    <w:rsid w:val="0098463D"/>
    <w:rsid w:val="00984CAE"/>
    <w:rsid w:val="009854B1"/>
    <w:rsid w:val="00985DDA"/>
    <w:rsid w:val="009869D9"/>
    <w:rsid w:val="0098707A"/>
    <w:rsid w:val="009872D3"/>
    <w:rsid w:val="00990BA0"/>
    <w:rsid w:val="00990BFE"/>
    <w:rsid w:val="00991440"/>
    <w:rsid w:val="00991786"/>
    <w:rsid w:val="00991BE5"/>
    <w:rsid w:val="0099250C"/>
    <w:rsid w:val="009928E2"/>
    <w:rsid w:val="0099293F"/>
    <w:rsid w:val="00993325"/>
    <w:rsid w:val="00994BF5"/>
    <w:rsid w:val="00995C54"/>
    <w:rsid w:val="009963DC"/>
    <w:rsid w:val="009965F3"/>
    <w:rsid w:val="00996FF9"/>
    <w:rsid w:val="0099725F"/>
    <w:rsid w:val="00997C5A"/>
    <w:rsid w:val="009A0620"/>
    <w:rsid w:val="009A0EA9"/>
    <w:rsid w:val="009A0EC9"/>
    <w:rsid w:val="009A2559"/>
    <w:rsid w:val="009A39DA"/>
    <w:rsid w:val="009A507F"/>
    <w:rsid w:val="009A50EA"/>
    <w:rsid w:val="009A64CB"/>
    <w:rsid w:val="009B0184"/>
    <w:rsid w:val="009B18A4"/>
    <w:rsid w:val="009B3A4C"/>
    <w:rsid w:val="009B3C0B"/>
    <w:rsid w:val="009B629D"/>
    <w:rsid w:val="009B6673"/>
    <w:rsid w:val="009B6AB3"/>
    <w:rsid w:val="009B76F6"/>
    <w:rsid w:val="009B7DCC"/>
    <w:rsid w:val="009C0848"/>
    <w:rsid w:val="009C1254"/>
    <w:rsid w:val="009C168C"/>
    <w:rsid w:val="009C4178"/>
    <w:rsid w:val="009C4212"/>
    <w:rsid w:val="009C6499"/>
    <w:rsid w:val="009C707A"/>
    <w:rsid w:val="009C7ACA"/>
    <w:rsid w:val="009D01FC"/>
    <w:rsid w:val="009D06A4"/>
    <w:rsid w:val="009D11D8"/>
    <w:rsid w:val="009D1287"/>
    <w:rsid w:val="009D71FB"/>
    <w:rsid w:val="009E09AD"/>
    <w:rsid w:val="009E0A8A"/>
    <w:rsid w:val="009E1D13"/>
    <w:rsid w:val="009E1D2E"/>
    <w:rsid w:val="009E21FA"/>
    <w:rsid w:val="009E221D"/>
    <w:rsid w:val="009E357C"/>
    <w:rsid w:val="009E3E42"/>
    <w:rsid w:val="009E3E4F"/>
    <w:rsid w:val="009E41A7"/>
    <w:rsid w:val="009E4616"/>
    <w:rsid w:val="009E4EC5"/>
    <w:rsid w:val="009E4F26"/>
    <w:rsid w:val="009E5DD0"/>
    <w:rsid w:val="009E5DDE"/>
    <w:rsid w:val="009E67AC"/>
    <w:rsid w:val="009E6AB5"/>
    <w:rsid w:val="009E6FF6"/>
    <w:rsid w:val="009E71E7"/>
    <w:rsid w:val="009E79CD"/>
    <w:rsid w:val="009E7A12"/>
    <w:rsid w:val="009E7CA0"/>
    <w:rsid w:val="009F0881"/>
    <w:rsid w:val="009F0A1B"/>
    <w:rsid w:val="009F280F"/>
    <w:rsid w:val="009F43F1"/>
    <w:rsid w:val="009F4CD9"/>
    <w:rsid w:val="009F5B8B"/>
    <w:rsid w:val="009F5D92"/>
    <w:rsid w:val="009F7721"/>
    <w:rsid w:val="00A00338"/>
    <w:rsid w:val="00A00536"/>
    <w:rsid w:val="00A00E3D"/>
    <w:rsid w:val="00A0292C"/>
    <w:rsid w:val="00A02DD4"/>
    <w:rsid w:val="00A032D1"/>
    <w:rsid w:val="00A04DB8"/>
    <w:rsid w:val="00A052E8"/>
    <w:rsid w:val="00A0628D"/>
    <w:rsid w:val="00A063A2"/>
    <w:rsid w:val="00A06526"/>
    <w:rsid w:val="00A06539"/>
    <w:rsid w:val="00A06E24"/>
    <w:rsid w:val="00A0772D"/>
    <w:rsid w:val="00A07F06"/>
    <w:rsid w:val="00A10B7C"/>
    <w:rsid w:val="00A10BF6"/>
    <w:rsid w:val="00A11984"/>
    <w:rsid w:val="00A11B68"/>
    <w:rsid w:val="00A12594"/>
    <w:rsid w:val="00A13245"/>
    <w:rsid w:val="00A139D8"/>
    <w:rsid w:val="00A13AC1"/>
    <w:rsid w:val="00A14062"/>
    <w:rsid w:val="00A14926"/>
    <w:rsid w:val="00A14E7F"/>
    <w:rsid w:val="00A15D70"/>
    <w:rsid w:val="00A16FD0"/>
    <w:rsid w:val="00A1720D"/>
    <w:rsid w:val="00A21F04"/>
    <w:rsid w:val="00A22A86"/>
    <w:rsid w:val="00A2300D"/>
    <w:rsid w:val="00A245CC"/>
    <w:rsid w:val="00A24FD8"/>
    <w:rsid w:val="00A263A3"/>
    <w:rsid w:val="00A26508"/>
    <w:rsid w:val="00A26DD1"/>
    <w:rsid w:val="00A26E3F"/>
    <w:rsid w:val="00A30543"/>
    <w:rsid w:val="00A31180"/>
    <w:rsid w:val="00A317AF"/>
    <w:rsid w:val="00A330C0"/>
    <w:rsid w:val="00A34122"/>
    <w:rsid w:val="00A34764"/>
    <w:rsid w:val="00A34A97"/>
    <w:rsid w:val="00A34B2D"/>
    <w:rsid w:val="00A34BB3"/>
    <w:rsid w:val="00A37642"/>
    <w:rsid w:val="00A377D4"/>
    <w:rsid w:val="00A378BD"/>
    <w:rsid w:val="00A403D4"/>
    <w:rsid w:val="00A421AE"/>
    <w:rsid w:val="00A431BE"/>
    <w:rsid w:val="00A4440C"/>
    <w:rsid w:val="00A444FD"/>
    <w:rsid w:val="00A446A5"/>
    <w:rsid w:val="00A44F9A"/>
    <w:rsid w:val="00A4520B"/>
    <w:rsid w:val="00A46BFA"/>
    <w:rsid w:val="00A47234"/>
    <w:rsid w:val="00A4767D"/>
    <w:rsid w:val="00A505B1"/>
    <w:rsid w:val="00A50BDD"/>
    <w:rsid w:val="00A51BED"/>
    <w:rsid w:val="00A52C04"/>
    <w:rsid w:val="00A555EE"/>
    <w:rsid w:val="00A55CE6"/>
    <w:rsid w:val="00A56F6D"/>
    <w:rsid w:val="00A575E3"/>
    <w:rsid w:val="00A5775E"/>
    <w:rsid w:val="00A57B16"/>
    <w:rsid w:val="00A57D78"/>
    <w:rsid w:val="00A60B08"/>
    <w:rsid w:val="00A60E13"/>
    <w:rsid w:val="00A61364"/>
    <w:rsid w:val="00A62967"/>
    <w:rsid w:val="00A63298"/>
    <w:rsid w:val="00A65A8E"/>
    <w:rsid w:val="00A65AD6"/>
    <w:rsid w:val="00A6629B"/>
    <w:rsid w:val="00A66E77"/>
    <w:rsid w:val="00A670E0"/>
    <w:rsid w:val="00A70121"/>
    <w:rsid w:val="00A70AC6"/>
    <w:rsid w:val="00A70B4F"/>
    <w:rsid w:val="00A73000"/>
    <w:rsid w:val="00A73B3A"/>
    <w:rsid w:val="00A74129"/>
    <w:rsid w:val="00A74DF8"/>
    <w:rsid w:val="00A75C66"/>
    <w:rsid w:val="00A77780"/>
    <w:rsid w:val="00A7786E"/>
    <w:rsid w:val="00A808DC"/>
    <w:rsid w:val="00A81354"/>
    <w:rsid w:val="00A8235D"/>
    <w:rsid w:val="00A823A9"/>
    <w:rsid w:val="00A825E8"/>
    <w:rsid w:val="00A8303E"/>
    <w:rsid w:val="00A84746"/>
    <w:rsid w:val="00A85912"/>
    <w:rsid w:val="00A85DE4"/>
    <w:rsid w:val="00A85FF8"/>
    <w:rsid w:val="00A90BE5"/>
    <w:rsid w:val="00A90F8C"/>
    <w:rsid w:val="00A918B7"/>
    <w:rsid w:val="00A91A3E"/>
    <w:rsid w:val="00A91B85"/>
    <w:rsid w:val="00A927D4"/>
    <w:rsid w:val="00A92CBE"/>
    <w:rsid w:val="00A92D38"/>
    <w:rsid w:val="00A939E7"/>
    <w:rsid w:val="00A94C68"/>
    <w:rsid w:val="00A9513B"/>
    <w:rsid w:val="00A95A4E"/>
    <w:rsid w:val="00A962E6"/>
    <w:rsid w:val="00A965B0"/>
    <w:rsid w:val="00A9697C"/>
    <w:rsid w:val="00A96FCE"/>
    <w:rsid w:val="00AA00FC"/>
    <w:rsid w:val="00AA080A"/>
    <w:rsid w:val="00AA090A"/>
    <w:rsid w:val="00AA0D96"/>
    <w:rsid w:val="00AA0F12"/>
    <w:rsid w:val="00AA10C3"/>
    <w:rsid w:val="00AA1972"/>
    <w:rsid w:val="00AA1FA7"/>
    <w:rsid w:val="00AA38F3"/>
    <w:rsid w:val="00AA3EC3"/>
    <w:rsid w:val="00AA4203"/>
    <w:rsid w:val="00AA438F"/>
    <w:rsid w:val="00AA50E2"/>
    <w:rsid w:val="00AA62FB"/>
    <w:rsid w:val="00AB116F"/>
    <w:rsid w:val="00AB1BA5"/>
    <w:rsid w:val="00AB21BC"/>
    <w:rsid w:val="00AB269E"/>
    <w:rsid w:val="00AB4BB3"/>
    <w:rsid w:val="00AB5689"/>
    <w:rsid w:val="00AB56E7"/>
    <w:rsid w:val="00AB628F"/>
    <w:rsid w:val="00AB7AA9"/>
    <w:rsid w:val="00AB7C48"/>
    <w:rsid w:val="00AC1B47"/>
    <w:rsid w:val="00AC20BE"/>
    <w:rsid w:val="00AC2F1B"/>
    <w:rsid w:val="00AC4EB9"/>
    <w:rsid w:val="00AC567E"/>
    <w:rsid w:val="00AC59A4"/>
    <w:rsid w:val="00AC5A79"/>
    <w:rsid w:val="00AC618E"/>
    <w:rsid w:val="00AC6FE6"/>
    <w:rsid w:val="00AC7518"/>
    <w:rsid w:val="00AD0E07"/>
    <w:rsid w:val="00AD1531"/>
    <w:rsid w:val="00AD1B4E"/>
    <w:rsid w:val="00AD258B"/>
    <w:rsid w:val="00AD26A7"/>
    <w:rsid w:val="00AD33D0"/>
    <w:rsid w:val="00AD371E"/>
    <w:rsid w:val="00AD3DCD"/>
    <w:rsid w:val="00AD3F4E"/>
    <w:rsid w:val="00AD4C89"/>
    <w:rsid w:val="00AD4F6F"/>
    <w:rsid w:val="00AD5F2B"/>
    <w:rsid w:val="00AD6833"/>
    <w:rsid w:val="00AD782A"/>
    <w:rsid w:val="00AD7C90"/>
    <w:rsid w:val="00AE00FD"/>
    <w:rsid w:val="00AE1976"/>
    <w:rsid w:val="00AE2A0C"/>
    <w:rsid w:val="00AE2ABA"/>
    <w:rsid w:val="00AE2F46"/>
    <w:rsid w:val="00AE312B"/>
    <w:rsid w:val="00AE3715"/>
    <w:rsid w:val="00AE3FE8"/>
    <w:rsid w:val="00AE478D"/>
    <w:rsid w:val="00AE653C"/>
    <w:rsid w:val="00AE665E"/>
    <w:rsid w:val="00AF0CE2"/>
    <w:rsid w:val="00AF18E7"/>
    <w:rsid w:val="00AF2396"/>
    <w:rsid w:val="00AF2AC1"/>
    <w:rsid w:val="00AF2B90"/>
    <w:rsid w:val="00AF3349"/>
    <w:rsid w:val="00AF3DFB"/>
    <w:rsid w:val="00AF470B"/>
    <w:rsid w:val="00AF53B5"/>
    <w:rsid w:val="00AF549F"/>
    <w:rsid w:val="00AF7464"/>
    <w:rsid w:val="00B002F6"/>
    <w:rsid w:val="00B00959"/>
    <w:rsid w:val="00B01A4F"/>
    <w:rsid w:val="00B01D8F"/>
    <w:rsid w:val="00B0292B"/>
    <w:rsid w:val="00B02A85"/>
    <w:rsid w:val="00B02FFF"/>
    <w:rsid w:val="00B03147"/>
    <w:rsid w:val="00B03620"/>
    <w:rsid w:val="00B059A0"/>
    <w:rsid w:val="00B05CC7"/>
    <w:rsid w:val="00B0646D"/>
    <w:rsid w:val="00B076E3"/>
    <w:rsid w:val="00B07EFE"/>
    <w:rsid w:val="00B1081D"/>
    <w:rsid w:val="00B113ED"/>
    <w:rsid w:val="00B1155B"/>
    <w:rsid w:val="00B115A4"/>
    <w:rsid w:val="00B11817"/>
    <w:rsid w:val="00B119A6"/>
    <w:rsid w:val="00B133B7"/>
    <w:rsid w:val="00B14843"/>
    <w:rsid w:val="00B149D6"/>
    <w:rsid w:val="00B14BDD"/>
    <w:rsid w:val="00B159F5"/>
    <w:rsid w:val="00B165C1"/>
    <w:rsid w:val="00B1716C"/>
    <w:rsid w:val="00B202A7"/>
    <w:rsid w:val="00B20546"/>
    <w:rsid w:val="00B208DD"/>
    <w:rsid w:val="00B20979"/>
    <w:rsid w:val="00B20DC4"/>
    <w:rsid w:val="00B224DB"/>
    <w:rsid w:val="00B22603"/>
    <w:rsid w:val="00B2381D"/>
    <w:rsid w:val="00B23C82"/>
    <w:rsid w:val="00B241FB"/>
    <w:rsid w:val="00B2494C"/>
    <w:rsid w:val="00B259A2"/>
    <w:rsid w:val="00B26AD0"/>
    <w:rsid w:val="00B26B93"/>
    <w:rsid w:val="00B27AEE"/>
    <w:rsid w:val="00B30002"/>
    <w:rsid w:val="00B30DB6"/>
    <w:rsid w:val="00B316C3"/>
    <w:rsid w:val="00B31D15"/>
    <w:rsid w:val="00B339C8"/>
    <w:rsid w:val="00B33CCA"/>
    <w:rsid w:val="00B33FBC"/>
    <w:rsid w:val="00B3468C"/>
    <w:rsid w:val="00B363EC"/>
    <w:rsid w:val="00B36821"/>
    <w:rsid w:val="00B368F8"/>
    <w:rsid w:val="00B37A6B"/>
    <w:rsid w:val="00B4077F"/>
    <w:rsid w:val="00B40B96"/>
    <w:rsid w:val="00B40FC2"/>
    <w:rsid w:val="00B42EF4"/>
    <w:rsid w:val="00B44275"/>
    <w:rsid w:val="00B45499"/>
    <w:rsid w:val="00B4565C"/>
    <w:rsid w:val="00B45D31"/>
    <w:rsid w:val="00B471AA"/>
    <w:rsid w:val="00B501FD"/>
    <w:rsid w:val="00B504E6"/>
    <w:rsid w:val="00B5052C"/>
    <w:rsid w:val="00B50D79"/>
    <w:rsid w:val="00B51057"/>
    <w:rsid w:val="00B5156A"/>
    <w:rsid w:val="00B51739"/>
    <w:rsid w:val="00B51DC6"/>
    <w:rsid w:val="00B5255F"/>
    <w:rsid w:val="00B52B99"/>
    <w:rsid w:val="00B538C7"/>
    <w:rsid w:val="00B53B34"/>
    <w:rsid w:val="00B53CE0"/>
    <w:rsid w:val="00B54D1F"/>
    <w:rsid w:val="00B56172"/>
    <w:rsid w:val="00B57439"/>
    <w:rsid w:val="00B578F6"/>
    <w:rsid w:val="00B57CA8"/>
    <w:rsid w:val="00B60CCB"/>
    <w:rsid w:val="00B614D9"/>
    <w:rsid w:val="00B6495B"/>
    <w:rsid w:val="00B65EB3"/>
    <w:rsid w:val="00B67912"/>
    <w:rsid w:val="00B67981"/>
    <w:rsid w:val="00B67BC4"/>
    <w:rsid w:val="00B702B5"/>
    <w:rsid w:val="00B73C9F"/>
    <w:rsid w:val="00B74718"/>
    <w:rsid w:val="00B7588E"/>
    <w:rsid w:val="00B770B5"/>
    <w:rsid w:val="00B7753E"/>
    <w:rsid w:val="00B7771E"/>
    <w:rsid w:val="00B802F8"/>
    <w:rsid w:val="00B83927"/>
    <w:rsid w:val="00B83E67"/>
    <w:rsid w:val="00B8512C"/>
    <w:rsid w:val="00B85567"/>
    <w:rsid w:val="00B855DE"/>
    <w:rsid w:val="00B857EE"/>
    <w:rsid w:val="00B8673B"/>
    <w:rsid w:val="00B87066"/>
    <w:rsid w:val="00B87D02"/>
    <w:rsid w:val="00B87D59"/>
    <w:rsid w:val="00B911C5"/>
    <w:rsid w:val="00B932DB"/>
    <w:rsid w:val="00B93F68"/>
    <w:rsid w:val="00B941C6"/>
    <w:rsid w:val="00B94567"/>
    <w:rsid w:val="00B9475F"/>
    <w:rsid w:val="00B961BC"/>
    <w:rsid w:val="00BA0205"/>
    <w:rsid w:val="00BA0E9E"/>
    <w:rsid w:val="00BA12B2"/>
    <w:rsid w:val="00BA3F09"/>
    <w:rsid w:val="00BA5B0C"/>
    <w:rsid w:val="00BA7ABD"/>
    <w:rsid w:val="00BB013A"/>
    <w:rsid w:val="00BB053D"/>
    <w:rsid w:val="00BB09E9"/>
    <w:rsid w:val="00BB0D3C"/>
    <w:rsid w:val="00BB1341"/>
    <w:rsid w:val="00BB1A1E"/>
    <w:rsid w:val="00BB1EE1"/>
    <w:rsid w:val="00BB272C"/>
    <w:rsid w:val="00BB492B"/>
    <w:rsid w:val="00BB4DDA"/>
    <w:rsid w:val="00BB591F"/>
    <w:rsid w:val="00BB5E3A"/>
    <w:rsid w:val="00BB6003"/>
    <w:rsid w:val="00BB7332"/>
    <w:rsid w:val="00BB7BAF"/>
    <w:rsid w:val="00BC04BF"/>
    <w:rsid w:val="00BC20EE"/>
    <w:rsid w:val="00BC4A6D"/>
    <w:rsid w:val="00BC768F"/>
    <w:rsid w:val="00BD1211"/>
    <w:rsid w:val="00BD1408"/>
    <w:rsid w:val="00BD1649"/>
    <w:rsid w:val="00BD22C8"/>
    <w:rsid w:val="00BD4194"/>
    <w:rsid w:val="00BD75FE"/>
    <w:rsid w:val="00BE3430"/>
    <w:rsid w:val="00BE344D"/>
    <w:rsid w:val="00BE35D3"/>
    <w:rsid w:val="00BE3954"/>
    <w:rsid w:val="00BE4E68"/>
    <w:rsid w:val="00BE4E74"/>
    <w:rsid w:val="00BE758E"/>
    <w:rsid w:val="00BE77F0"/>
    <w:rsid w:val="00BF22B2"/>
    <w:rsid w:val="00BF2C3F"/>
    <w:rsid w:val="00BF36BC"/>
    <w:rsid w:val="00BF4CA1"/>
    <w:rsid w:val="00BF529E"/>
    <w:rsid w:val="00BF53B1"/>
    <w:rsid w:val="00BF58F8"/>
    <w:rsid w:val="00BF5FE3"/>
    <w:rsid w:val="00C01BD1"/>
    <w:rsid w:val="00C022E8"/>
    <w:rsid w:val="00C0481B"/>
    <w:rsid w:val="00C06954"/>
    <w:rsid w:val="00C0755E"/>
    <w:rsid w:val="00C07ECC"/>
    <w:rsid w:val="00C10B24"/>
    <w:rsid w:val="00C11D68"/>
    <w:rsid w:val="00C12731"/>
    <w:rsid w:val="00C12A55"/>
    <w:rsid w:val="00C1389F"/>
    <w:rsid w:val="00C14577"/>
    <w:rsid w:val="00C15043"/>
    <w:rsid w:val="00C16E7F"/>
    <w:rsid w:val="00C17387"/>
    <w:rsid w:val="00C1758F"/>
    <w:rsid w:val="00C201A0"/>
    <w:rsid w:val="00C21EB1"/>
    <w:rsid w:val="00C233D0"/>
    <w:rsid w:val="00C259FA"/>
    <w:rsid w:val="00C25D7B"/>
    <w:rsid w:val="00C30963"/>
    <w:rsid w:val="00C31CE3"/>
    <w:rsid w:val="00C31FF2"/>
    <w:rsid w:val="00C32382"/>
    <w:rsid w:val="00C3278E"/>
    <w:rsid w:val="00C3321A"/>
    <w:rsid w:val="00C33297"/>
    <w:rsid w:val="00C35241"/>
    <w:rsid w:val="00C358C3"/>
    <w:rsid w:val="00C35C28"/>
    <w:rsid w:val="00C3606C"/>
    <w:rsid w:val="00C377DD"/>
    <w:rsid w:val="00C4065B"/>
    <w:rsid w:val="00C40A2B"/>
    <w:rsid w:val="00C40DBF"/>
    <w:rsid w:val="00C4104C"/>
    <w:rsid w:val="00C416E6"/>
    <w:rsid w:val="00C41A5E"/>
    <w:rsid w:val="00C41BA6"/>
    <w:rsid w:val="00C4202C"/>
    <w:rsid w:val="00C4208E"/>
    <w:rsid w:val="00C42A3F"/>
    <w:rsid w:val="00C436CB"/>
    <w:rsid w:val="00C4480A"/>
    <w:rsid w:val="00C44C51"/>
    <w:rsid w:val="00C45DEB"/>
    <w:rsid w:val="00C46009"/>
    <w:rsid w:val="00C46408"/>
    <w:rsid w:val="00C46941"/>
    <w:rsid w:val="00C4750E"/>
    <w:rsid w:val="00C50AEC"/>
    <w:rsid w:val="00C50C83"/>
    <w:rsid w:val="00C5104D"/>
    <w:rsid w:val="00C51AA9"/>
    <w:rsid w:val="00C530A3"/>
    <w:rsid w:val="00C531C2"/>
    <w:rsid w:val="00C5436A"/>
    <w:rsid w:val="00C5523E"/>
    <w:rsid w:val="00C558FE"/>
    <w:rsid w:val="00C5778D"/>
    <w:rsid w:val="00C60058"/>
    <w:rsid w:val="00C609CA"/>
    <w:rsid w:val="00C61517"/>
    <w:rsid w:val="00C6163D"/>
    <w:rsid w:val="00C61B33"/>
    <w:rsid w:val="00C61D59"/>
    <w:rsid w:val="00C64BCD"/>
    <w:rsid w:val="00C65C27"/>
    <w:rsid w:val="00C65EE7"/>
    <w:rsid w:val="00C66629"/>
    <w:rsid w:val="00C70104"/>
    <w:rsid w:val="00C70C46"/>
    <w:rsid w:val="00C70D72"/>
    <w:rsid w:val="00C718C6"/>
    <w:rsid w:val="00C71EF8"/>
    <w:rsid w:val="00C729A0"/>
    <w:rsid w:val="00C7303A"/>
    <w:rsid w:val="00C74406"/>
    <w:rsid w:val="00C754B2"/>
    <w:rsid w:val="00C804B5"/>
    <w:rsid w:val="00C80E5E"/>
    <w:rsid w:val="00C81446"/>
    <w:rsid w:val="00C827C5"/>
    <w:rsid w:val="00C827C6"/>
    <w:rsid w:val="00C83260"/>
    <w:rsid w:val="00C84FF3"/>
    <w:rsid w:val="00C858D5"/>
    <w:rsid w:val="00C872B2"/>
    <w:rsid w:val="00C876A5"/>
    <w:rsid w:val="00C90475"/>
    <w:rsid w:val="00C91F83"/>
    <w:rsid w:val="00C9257D"/>
    <w:rsid w:val="00C92AA0"/>
    <w:rsid w:val="00C94730"/>
    <w:rsid w:val="00C950AD"/>
    <w:rsid w:val="00C958A7"/>
    <w:rsid w:val="00C95CA1"/>
    <w:rsid w:val="00C964A9"/>
    <w:rsid w:val="00C96FA8"/>
    <w:rsid w:val="00C97811"/>
    <w:rsid w:val="00C97902"/>
    <w:rsid w:val="00CA1702"/>
    <w:rsid w:val="00CA2F5F"/>
    <w:rsid w:val="00CA5ADA"/>
    <w:rsid w:val="00CA6977"/>
    <w:rsid w:val="00CA72F5"/>
    <w:rsid w:val="00CA7820"/>
    <w:rsid w:val="00CB00B4"/>
    <w:rsid w:val="00CB10EB"/>
    <w:rsid w:val="00CB1B73"/>
    <w:rsid w:val="00CB1DBF"/>
    <w:rsid w:val="00CB253A"/>
    <w:rsid w:val="00CB329E"/>
    <w:rsid w:val="00CB39B1"/>
    <w:rsid w:val="00CB4583"/>
    <w:rsid w:val="00CB4855"/>
    <w:rsid w:val="00CB4AD7"/>
    <w:rsid w:val="00CB59C9"/>
    <w:rsid w:val="00CC1A35"/>
    <w:rsid w:val="00CC1C0D"/>
    <w:rsid w:val="00CC254C"/>
    <w:rsid w:val="00CC2714"/>
    <w:rsid w:val="00CC3436"/>
    <w:rsid w:val="00CC3CF0"/>
    <w:rsid w:val="00CC5022"/>
    <w:rsid w:val="00CC5D78"/>
    <w:rsid w:val="00CC6759"/>
    <w:rsid w:val="00CC6BBD"/>
    <w:rsid w:val="00CC6FB4"/>
    <w:rsid w:val="00CC7A39"/>
    <w:rsid w:val="00CC7C88"/>
    <w:rsid w:val="00CC7F24"/>
    <w:rsid w:val="00CD0A5F"/>
    <w:rsid w:val="00CD46AD"/>
    <w:rsid w:val="00CD6B96"/>
    <w:rsid w:val="00CD6F7D"/>
    <w:rsid w:val="00CD72B6"/>
    <w:rsid w:val="00CE0FDF"/>
    <w:rsid w:val="00CE258C"/>
    <w:rsid w:val="00CE3328"/>
    <w:rsid w:val="00CE5095"/>
    <w:rsid w:val="00CE51EC"/>
    <w:rsid w:val="00CE66BC"/>
    <w:rsid w:val="00CE6EBA"/>
    <w:rsid w:val="00CF513F"/>
    <w:rsid w:val="00CF53B8"/>
    <w:rsid w:val="00CF5770"/>
    <w:rsid w:val="00CF5B2C"/>
    <w:rsid w:val="00CF5C00"/>
    <w:rsid w:val="00CF6053"/>
    <w:rsid w:val="00CF70B4"/>
    <w:rsid w:val="00CF7B72"/>
    <w:rsid w:val="00D0057B"/>
    <w:rsid w:val="00D00C9B"/>
    <w:rsid w:val="00D01394"/>
    <w:rsid w:val="00D0148F"/>
    <w:rsid w:val="00D0192B"/>
    <w:rsid w:val="00D020C2"/>
    <w:rsid w:val="00D03014"/>
    <w:rsid w:val="00D045B5"/>
    <w:rsid w:val="00D048C8"/>
    <w:rsid w:val="00D04B8C"/>
    <w:rsid w:val="00D05881"/>
    <w:rsid w:val="00D05A52"/>
    <w:rsid w:val="00D0616F"/>
    <w:rsid w:val="00D06CF7"/>
    <w:rsid w:val="00D06F6D"/>
    <w:rsid w:val="00D0760F"/>
    <w:rsid w:val="00D077D3"/>
    <w:rsid w:val="00D1175F"/>
    <w:rsid w:val="00D11D22"/>
    <w:rsid w:val="00D11EB4"/>
    <w:rsid w:val="00D14150"/>
    <w:rsid w:val="00D14665"/>
    <w:rsid w:val="00D15FC2"/>
    <w:rsid w:val="00D16814"/>
    <w:rsid w:val="00D2060B"/>
    <w:rsid w:val="00D21F11"/>
    <w:rsid w:val="00D22627"/>
    <w:rsid w:val="00D22704"/>
    <w:rsid w:val="00D227F0"/>
    <w:rsid w:val="00D233DF"/>
    <w:rsid w:val="00D2465C"/>
    <w:rsid w:val="00D25EE4"/>
    <w:rsid w:val="00D2668A"/>
    <w:rsid w:val="00D266D9"/>
    <w:rsid w:val="00D26CD8"/>
    <w:rsid w:val="00D27C2E"/>
    <w:rsid w:val="00D27CCD"/>
    <w:rsid w:val="00D30C8C"/>
    <w:rsid w:val="00D352B6"/>
    <w:rsid w:val="00D356FC"/>
    <w:rsid w:val="00D36FC0"/>
    <w:rsid w:val="00D376AD"/>
    <w:rsid w:val="00D37C63"/>
    <w:rsid w:val="00D40D3E"/>
    <w:rsid w:val="00D4103D"/>
    <w:rsid w:val="00D435DA"/>
    <w:rsid w:val="00D43A63"/>
    <w:rsid w:val="00D44274"/>
    <w:rsid w:val="00D44F43"/>
    <w:rsid w:val="00D4633A"/>
    <w:rsid w:val="00D46B5D"/>
    <w:rsid w:val="00D46B98"/>
    <w:rsid w:val="00D47109"/>
    <w:rsid w:val="00D47253"/>
    <w:rsid w:val="00D47887"/>
    <w:rsid w:val="00D509EC"/>
    <w:rsid w:val="00D5114C"/>
    <w:rsid w:val="00D51F9F"/>
    <w:rsid w:val="00D52D32"/>
    <w:rsid w:val="00D52D98"/>
    <w:rsid w:val="00D53FE8"/>
    <w:rsid w:val="00D547FD"/>
    <w:rsid w:val="00D553AC"/>
    <w:rsid w:val="00D56827"/>
    <w:rsid w:val="00D5710B"/>
    <w:rsid w:val="00D61DBE"/>
    <w:rsid w:val="00D61FE4"/>
    <w:rsid w:val="00D627C7"/>
    <w:rsid w:val="00D63D7F"/>
    <w:rsid w:val="00D65257"/>
    <w:rsid w:val="00D6581D"/>
    <w:rsid w:val="00D661B0"/>
    <w:rsid w:val="00D66F81"/>
    <w:rsid w:val="00D71647"/>
    <w:rsid w:val="00D71744"/>
    <w:rsid w:val="00D73444"/>
    <w:rsid w:val="00D734C6"/>
    <w:rsid w:val="00D73BE8"/>
    <w:rsid w:val="00D74AAD"/>
    <w:rsid w:val="00D76491"/>
    <w:rsid w:val="00D76A86"/>
    <w:rsid w:val="00D77AFB"/>
    <w:rsid w:val="00D807E5"/>
    <w:rsid w:val="00D819D9"/>
    <w:rsid w:val="00D8387B"/>
    <w:rsid w:val="00D841D0"/>
    <w:rsid w:val="00D8522D"/>
    <w:rsid w:val="00D85AE1"/>
    <w:rsid w:val="00D85B87"/>
    <w:rsid w:val="00D86CC9"/>
    <w:rsid w:val="00D871E2"/>
    <w:rsid w:val="00D87953"/>
    <w:rsid w:val="00D91423"/>
    <w:rsid w:val="00D915D5"/>
    <w:rsid w:val="00D918F0"/>
    <w:rsid w:val="00D91FDB"/>
    <w:rsid w:val="00D927F8"/>
    <w:rsid w:val="00D9362D"/>
    <w:rsid w:val="00D93662"/>
    <w:rsid w:val="00D946B1"/>
    <w:rsid w:val="00D94D99"/>
    <w:rsid w:val="00D94EE6"/>
    <w:rsid w:val="00D97313"/>
    <w:rsid w:val="00D97508"/>
    <w:rsid w:val="00D97EF1"/>
    <w:rsid w:val="00DA1C06"/>
    <w:rsid w:val="00DA291F"/>
    <w:rsid w:val="00DA65AF"/>
    <w:rsid w:val="00DA6F8D"/>
    <w:rsid w:val="00DA79E5"/>
    <w:rsid w:val="00DB0AF9"/>
    <w:rsid w:val="00DB1B2A"/>
    <w:rsid w:val="00DB33A3"/>
    <w:rsid w:val="00DB343B"/>
    <w:rsid w:val="00DB360E"/>
    <w:rsid w:val="00DB3D2A"/>
    <w:rsid w:val="00DB3D9F"/>
    <w:rsid w:val="00DB4215"/>
    <w:rsid w:val="00DB4756"/>
    <w:rsid w:val="00DB4B52"/>
    <w:rsid w:val="00DB5337"/>
    <w:rsid w:val="00DB55BE"/>
    <w:rsid w:val="00DB7B67"/>
    <w:rsid w:val="00DB7D7B"/>
    <w:rsid w:val="00DC1689"/>
    <w:rsid w:val="00DC1F94"/>
    <w:rsid w:val="00DC2D44"/>
    <w:rsid w:val="00DC3729"/>
    <w:rsid w:val="00DC4D1B"/>
    <w:rsid w:val="00DC5153"/>
    <w:rsid w:val="00DC5B8A"/>
    <w:rsid w:val="00DC5FF7"/>
    <w:rsid w:val="00DC60AA"/>
    <w:rsid w:val="00DC6430"/>
    <w:rsid w:val="00DC711E"/>
    <w:rsid w:val="00DD0052"/>
    <w:rsid w:val="00DD0302"/>
    <w:rsid w:val="00DD0C06"/>
    <w:rsid w:val="00DD0EAD"/>
    <w:rsid w:val="00DD1488"/>
    <w:rsid w:val="00DD21D3"/>
    <w:rsid w:val="00DD2B47"/>
    <w:rsid w:val="00DD2F85"/>
    <w:rsid w:val="00DD5325"/>
    <w:rsid w:val="00DD7BAF"/>
    <w:rsid w:val="00DD7FC0"/>
    <w:rsid w:val="00DE0D0A"/>
    <w:rsid w:val="00DE1CCF"/>
    <w:rsid w:val="00DE5627"/>
    <w:rsid w:val="00DE73DA"/>
    <w:rsid w:val="00DE7E93"/>
    <w:rsid w:val="00DF0078"/>
    <w:rsid w:val="00DF0E0D"/>
    <w:rsid w:val="00DF166F"/>
    <w:rsid w:val="00DF2491"/>
    <w:rsid w:val="00DF34EA"/>
    <w:rsid w:val="00DF41ED"/>
    <w:rsid w:val="00DF55B3"/>
    <w:rsid w:val="00DF644B"/>
    <w:rsid w:val="00DF6CF9"/>
    <w:rsid w:val="00DF7C34"/>
    <w:rsid w:val="00E00630"/>
    <w:rsid w:val="00E012FF"/>
    <w:rsid w:val="00E022A8"/>
    <w:rsid w:val="00E02343"/>
    <w:rsid w:val="00E023EC"/>
    <w:rsid w:val="00E03123"/>
    <w:rsid w:val="00E04749"/>
    <w:rsid w:val="00E0476F"/>
    <w:rsid w:val="00E05851"/>
    <w:rsid w:val="00E05AE2"/>
    <w:rsid w:val="00E066A8"/>
    <w:rsid w:val="00E06D12"/>
    <w:rsid w:val="00E071FA"/>
    <w:rsid w:val="00E072FB"/>
    <w:rsid w:val="00E07C1B"/>
    <w:rsid w:val="00E07F87"/>
    <w:rsid w:val="00E07F96"/>
    <w:rsid w:val="00E10527"/>
    <w:rsid w:val="00E10536"/>
    <w:rsid w:val="00E1263F"/>
    <w:rsid w:val="00E13088"/>
    <w:rsid w:val="00E13258"/>
    <w:rsid w:val="00E134F9"/>
    <w:rsid w:val="00E13731"/>
    <w:rsid w:val="00E143F3"/>
    <w:rsid w:val="00E14B2A"/>
    <w:rsid w:val="00E14B88"/>
    <w:rsid w:val="00E152A3"/>
    <w:rsid w:val="00E15BCE"/>
    <w:rsid w:val="00E17230"/>
    <w:rsid w:val="00E20054"/>
    <w:rsid w:val="00E20DFE"/>
    <w:rsid w:val="00E21954"/>
    <w:rsid w:val="00E21F15"/>
    <w:rsid w:val="00E22B83"/>
    <w:rsid w:val="00E241C9"/>
    <w:rsid w:val="00E25341"/>
    <w:rsid w:val="00E25DC3"/>
    <w:rsid w:val="00E266BE"/>
    <w:rsid w:val="00E26979"/>
    <w:rsid w:val="00E32F25"/>
    <w:rsid w:val="00E33702"/>
    <w:rsid w:val="00E33E92"/>
    <w:rsid w:val="00E35909"/>
    <w:rsid w:val="00E35BD8"/>
    <w:rsid w:val="00E369C3"/>
    <w:rsid w:val="00E378E6"/>
    <w:rsid w:val="00E37BA0"/>
    <w:rsid w:val="00E41599"/>
    <w:rsid w:val="00E41A4F"/>
    <w:rsid w:val="00E4203D"/>
    <w:rsid w:val="00E42810"/>
    <w:rsid w:val="00E44B7B"/>
    <w:rsid w:val="00E45740"/>
    <w:rsid w:val="00E46CAC"/>
    <w:rsid w:val="00E501F1"/>
    <w:rsid w:val="00E50424"/>
    <w:rsid w:val="00E504CB"/>
    <w:rsid w:val="00E50C80"/>
    <w:rsid w:val="00E517AC"/>
    <w:rsid w:val="00E5189C"/>
    <w:rsid w:val="00E518DB"/>
    <w:rsid w:val="00E51DBC"/>
    <w:rsid w:val="00E53334"/>
    <w:rsid w:val="00E54543"/>
    <w:rsid w:val="00E54A88"/>
    <w:rsid w:val="00E54CA0"/>
    <w:rsid w:val="00E54E8F"/>
    <w:rsid w:val="00E552A5"/>
    <w:rsid w:val="00E5566F"/>
    <w:rsid w:val="00E5657F"/>
    <w:rsid w:val="00E56C8B"/>
    <w:rsid w:val="00E6082A"/>
    <w:rsid w:val="00E60992"/>
    <w:rsid w:val="00E63E16"/>
    <w:rsid w:val="00E640B8"/>
    <w:rsid w:val="00E650C3"/>
    <w:rsid w:val="00E65674"/>
    <w:rsid w:val="00E65936"/>
    <w:rsid w:val="00E65E4D"/>
    <w:rsid w:val="00E65FDD"/>
    <w:rsid w:val="00E66049"/>
    <w:rsid w:val="00E66479"/>
    <w:rsid w:val="00E664BB"/>
    <w:rsid w:val="00E6680D"/>
    <w:rsid w:val="00E71095"/>
    <w:rsid w:val="00E749BB"/>
    <w:rsid w:val="00E75593"/>
    <w:rsid w:val="00E77656"/>
    <w:rsid w:val="00E77E61"/>
    <w:rsid w:val="00E81376"/>
    <w:rsid w:val="00E81407"/>
    <w:rsid w:val="00E81966"/>
    <w:rsid w:val="00E8200E"/>
    <w:rsid w:val="00E8329D"/>
    <w:rsid w:val="00E836FB"/>
    <w:rsid w:val="00E84951"/>
    <w:rsid w:val="00E87FDB"/>
    <w:rsid w:val="00E9041D"/>
    <w:rsid w:val="00E92092"/>
    <w:rsid w:val="00E93372"/>
    <w:rsid w:val="00E9375B"/>
    <w:rsid w:val="00E93A4C"/>
    <w:rsid w:val="00E93CB9"/>
    <w:rsid w:val="00E944C2"/>
    <w:rsid w:val="00E9456D"/>
    <w:rsid w:val="00E9460C"/>
    <w:rsid w:val="00E956B0"/>
    <w:rsid w:val="00E95A9B"/>
    <w:rsid w:val="00E96292"/>
    <w:rsid w:val="00E96761"/>
    <w:rsid w:val="00E96DDE"/>
    <w:rsid w:val="00E973A7"/>
    <w:rsid w:val="00E97540"/>
    <w:rsid w:val="00E97CBA"/>
    <w:rsid w:val="00EA04F3"/>
    <w:rsid w:val="00EA1D46"/>
    <w:rsid w:val="00EA3681"/>
    <w:rsid w:val="00EA4EE6"/>
    <w:rsid w:val="00EA535F"/>
    <w:rsid w:val="00EA7871"/>
    <w:rsid w:val="00EA7DF4"/>
    <w:rsid w:val="00EB0832"/>
    <w:rsid w:val="00EB17AA"/>
    <w:rsid w:val="00EB18A0"/>
    <w:rsid w:val="00EB1CE6"/>
    <w:rsid w:val="00EB226C"/>
    <w:rsid w:val="00EB2B71"/>
    <w:rsid w:val="00EB2D8D"/>
    <w:rsid w:val="00EB3A65"/>
    <w:rsid w:val="00EB4ADA"/>
    <w:rsid w:val="00EB52CF"/>
    <w:rsid w:val="00EB5A6D"/>
    <w:rsid w:val="00EB64BE"/>
    <w:rsid w:val="00EB64C9"/>
    <w:rsid w:val="00EB6858"/>
    <w:rsid w:val="00EB752A"/>
    <w:rsid w:val="00EB7863"/>
    <w:rsid w:val="00EB7913"/>
    <w:rsid w:val="00EB7F43"/>
    <w:rsid w:val="00EC0301"/>
    <w:rsid w:val="00EC0442"/>
    <w:rsid w:val="00EC08E3"/>
    <w:rsid w:val="00EC0B3D"/>
    <w:rsid w:val="00EC0BFB"/>
    <w:rsid w:val="00EC286E"/>
    <w:rsid w:val="00EC2A74"/>
    <w:rsid w:val="00EC2C69"/>
    <w:rsid w:val="00EC36C2"/>
    <w:rsid w:val="00EC398E"/>
    <w:rsid w:val="00EC456B"/>
    <w:rsid w:val="00EC51A5"/>
    <w:rsid w:val="00EC631C"/>
    <w:rsid w:val="00EC7EA2"/>
    <w:rsid w:val="00ED05D4"/>
    <w:rsid w:val="00ED07A6"/>
    <w:rsid w:val="00ED179E"/>
    <w:rsid w:val="00ED1DC8"/>
    <w:rsid w:val="00ED2560"/>
    <w:rsid w:val="00ED26FA"/>
    <w:rsid w:val="00ED2A32"/>
    <w:rsid w:val="00ED346A"/>
    <w:rsid w:val="00ED35C4"/>
    <w:rsid w:val="00ED36F1"/>
    <w:rsid w:val="00ED47A6"/>
    <w:rsid w:val="00ED5A07"/>
    <w:rsid w:val="00ED716C"/>
    <w:rsid w:val="00EE0237"/>
    <w:rsid w:val="00EE060F"/>
    <w:rsid w:val="00EE1990"/>
    <w:rsid w:val="00EE1E2A"/>
    <w:rsid w:val="00EE2409"/>
    <w:rsid w:val="00EE3A11"/>
    <w:rsid w:val="00EE42D6"/>
    <w:rsid w:val="00EE48B4"/>
    <w:rsid w:val="00EE555F"/>
    <w:rsid w:val="00EE6317"/>
    <w:rsid w:val="00EE6B60"/>
    <w:rsid w:val="00EE6BAF"/>
    <w:rsid w:val="00EF2488"/>
    <w:rsid w:val="00EF284A"/>
    <w:rsid w:val="00EF515B"/>
    <w:rsid w:val="00EF56BE"/>
    <w:rsid w:val="00EF699A"/>
    <w:rsid w:val="00EF738B"/>
    <w:rsid w:val="00F002CC"/>
    <w:rsid w:val="00F01835"/>
    <w:rsid w:val="00F019BF"/>
    <w:rsid w:val="00F01BC2"/>
    <w:rsid w:val="00F04153"/>
    <w:rsid w:val="00F0470C"/>
    <w:rsid w:val="00F05E01"/>
    <w:rsid w:val="00F0610E"/>
    <w:rsid w:val="00F070DF"/>
    <w:rsid w:val="00F07E0B"/>
    <w:rsid w:val="00F07E85"/>
    <w:rsid w:val="00F1011A"/>
    <w:rsid w:val="00F10E48"/>
    <w:rsid w:val="00F1110A"/>
    <w:rsid w:val="00F11E89"/>
    <w:rsid w:val="00F1252E"/>
    <w:rsid w:val="00F125CE"/>
    <w:rsid w:val="00F12B56"/>
    <w:rsid w:val="00F12C61"/>
    <w:rsid w:val="00F131FD"/>
    <w:rsid w:val="00F13BA3"/>
    <w:rsid w:val="00F14318"/>
    <w:rsid w:val="00F1636F"/>
    <w:rsid w:val="00F1650C"/>
    <w:rsid w:val="00F1737A"/>
    <w:rsid w:val="00F202E0"/>
    <w:rsid w:val="00F20662"/>
    <w:rsid w:val="00F23EAE"/>
    <w:rsid w:val="00F242F5"/>
    <w:rsid w:val="00F25652"/>
    <w:rsid w:val="00F2636F"/>
    <w:rsid w:val="00F27AED"/>
    <w:rsid w:val="00F27AF3"/>
    <w:rsid w:val="00F30B26"/>
    <w:rsid w:val="00F30BC4"/>
    <w:rsid w:val="00F31483"/>
    <w:rsid w:val="00F3189E"/>
    <w:rsid w:val="00F32169"/>
    <w:rsid w:val="00F322E9"/>
    <w:rsid w:val="00F32929"/>
    <w:rsid w:val="00F32BDB"/>
    <w:rsid w:val="00F333B3"/>
    <w:rsid w:val="00F33881"/>
    <w:rsid w:val="00F34192"/>
    <w:rsid w:val="00F3439F"/>
    <w:rsid w:val="00F36170"/>
    <w:rsid w:val="00F36417"/>
    <w:rsid w:val="00F371FA"/>
    <w:rsid w:val="00F37A36"/>
    <w:rsid w:val="00F40432"/>
    <w:rsid w:val="00F40994"/>
    <w:rsid w:val="00F40A01"/>
    <w:rsid w:val="00F40ABF"/>
    <w:rsid w:val="00F41161"/>
    <w:rsid w:val="00F41874"/>
    <w:rsid w:val="00F436AF"/>
    <w:rsid w:val="00F44144"/>
    <w:rsid w:val="00F45322"/>
    <w:rsid w:val="00F45849"/>
    <w:rsid w:val="00F4640B"/>
    <w:rsid w:val="00F46ACD"/>
    <w:rsid w:val="00F50E1D"/>
    <w:rsid w:val="00F5119A"/>
    <w:rsid w:val="00F51319"/>
    <w:rsid w:val="00F51774"/>
    <w:rsid w:val="00F52D7F"/>
    <w:rsid w:val="00F536E4"/>
    <w:rsid w:val="00F53AB4"/>
    <w:rsid w:val="00F541E7"/>
    <w:rsid w:val="00F54277"/>
    <w:rsid w:val="00F54982"/>
    <w:rsid w:val="00F56D02"/>
    <w:rsid w:val="00F56E25"/>
    <w:rsid w:val="00F5733D"/>
    <w:rsid w:val="00F576C0"/>
    <w:rsid w:val="00F606C1"/>
    <w:rsid w:val="00F60DBC"/>
    <w:rsid w:val="00F6110D"/>
    <w:rsid w:val="00F63133"/>
    <w:rsid w:val="00F64062"/>
    <w:rsid w:val="00F64214"/>
    <w:rsid w:val="00F64AAD"/>
    <w:rsid w:val="00F65635"/>
    <w:rsid w:val="00F66CFB"/>
    <w:rsid w:val="00F70895"/>
    <w:rsid w:val="00F70EDC"/>
    <w:rsid w:val="00F71552"/>
    <w:rsid w:val="00F71F0E"/>
    <w:rsid w:val="00F724EB"/>
    <w:rsid w:val="00F72E7D"/>
    <w:rsid w:val="00F736B0"/>
    <w:rsid w:val="00F74B9E"/>
    <w:rsid w:val="00F74F57"/>
    <w:rsid w:val="00F76729"/>
    <w:rsid w:val="00F77A37"/>
    <w:rsid w:val="00F77E7A"/>
    <w:rsid w:val="00F80D8B"/>
    <w:rsid w:val="00F81E57"/>
    <w:rsid w:val="00F84427"/>
    <w:rsid w:val="00F8458F"/>
    <w:rsid w:val="00F84D6D"/>
    <w:rsid w:val="00F85116"/>
    <w:rsid w:val="00F86650"/>
    <w:rsid w:val="00F90BB5"/>
    <w:rsid w:val="00F90C61"/>
    <w:rsid w:val="00F90D92"/>
    <w:rsid w:val="00F91418"/>
    <w:rsid w:val="00F9172C"/>
    <w:rsid w:val="00F91A13"/>
    <w:rsid w:val="00F95245"/>
    <w:rsid w:val="00F952D6"/>
    <w:rsid w:val="00F95AB0"/>
    <w:rsid w:val="00F960D3"/>
    <w:rsid w:val="00F964F1"/>
    <w:rsid w:val="00F9669C"/>
    <w:rsid w:val="00F97313"/>
    <w:rsid w:val="00FA2544"/>
    <w:rsid w:val="00FA49B5"/>
    <w:rsid w:val="00FA5A9C"/>
    <w:rsid w:val="00FA5E53"/>
    <w:rsid w:val="00FA5E7B"/>
    <w:rsid w:val="00FA749C"/>
    <w:rsid w:val="00FA78D2"/>
    <w:rsid w:val="00FB10DB"/>
    <w:rsid w:val="00FB1397"/>
    <w:rsid w:val="00FB14CD"/>
    <w:rsid w:val="00FB1DB7"/>
    <w:rsid w:val="00FB2249"/>
    <w:rsid w:val="00FB2AAC"/>
    <w:rsid w:val="00FB403A"/>
    <w:rsid w:val="00FB42B4"/>
    <w:rsid w:val="00FB5772"/>
    <w:rsid w:val="00FB6374"/>
    <w:rsid w:val="00FB70EC"/>
    <w:rsid w:val="00FB7603"/>
    <w:rsid w:val="00FB7C8F"/>
    <w:rsid w:val="00FC0041"/>
    <w:rsid w:val="00FC0EE8"/>
    <w:rsid w:val="00FC17EE"/>
    <w:rsid w:val="00FC237C"/>
    <w:rsid w:val="00FC4497"/>
    <w:rsid w:val="00FC61D9"/>
    <w:rsid w:val="00FC7624"/>
    <w:rsid w:val="00FD0CC8"/>
    <w:rsid w:val="00FD0E5F"/>
    <w:rsid w:val="00FD1A14"/>
    <w:rsid w:val="00FD211A"/>
    <w:rsid w:val="00FD24FD"/>
    <w:rsid w:val="00FD26E5"/>
    <w:rsid w:val="00FD3290"/>
    <w:rsid w:val="00FD33FF"/>
    <w:rsid w:val="00FD44DE"/>
    <w:rsid w:val="00FD5145"/>
    <w:rsid w:val="00FD5365"/>
    <w:rsid w:val="00FD5CFF"/>
    <w:rsid w:val="00FD6000"/>
    <w:rsid w:val="00FD7A81"/>
    <w:rsid w:val="00FE0C70"/>
    <w:rsid w:val="00FE24A3"/>
    <w:rsid w:val="00FE3E72"/>
    <w:rsid w:val="00FE4FD7"/>
    <w:rsid w:val="00FE57CB"/>
    <w:rsid w:val="00FE621A"/>
    <w:rsid w:val="00FF1CAF"/>
    <w:rsid w:val="00FF22EE"/>
    <w:rsid w:val="00FF32A8"/>
    <w:rsid w:val="00FF3BB8"/>
    <w:rsid w:val="00FF42FE"/>
    <w:rsid w:val="00FF487E"/>
    <w:rsid w:val="00FF55BF"/>
    <w:rsid w:val="00FF5CEB"/>
    <w:rsid w:val="00FF65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BE372"/>
  <w15:chartTrackingRefBased/>
  <w15:docId w15:val="{D103630B-AE57-4787-8DB9-DBE3EA8F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51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3CF"/>
    <w:pPr>
      <w:ind w:leftChars="200" w:left="480"/>
    </w:pPr>
  </w:style>
  <w:style w:type="paragraph" w:styleId="HTML">
    <w:name w:val="HTML Preformatted"/>
    <w:basedOn w:val="a"/>
    <w:link w:val="HTML0"/>
    <w:uiPriority w:val="99"/>
    <w:unhideWhenUsed/>
    <w:rsid w:val="00EB2D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細明體" w:eastAsia="細明體" w:hAnsi="細明體" w:cs="細明體"/>
      <w:color w:val="333333"/>
      <w:kern w:val="0"/>
      <w:szCs w:val="24"/>
    </w:rPr>
  </w:style>
  <w:style w:type="character" w:customStyle="1" w:styleId="HTML0">
    <w:name w:val="HTML 預設格式 字元"/>
    <w:basedOn w:val="a0"/>
    <w:link w:val="HTML"/>
    <w:uiPriority w:val="99"/>
    <w:rsid w:val="00EB2D8D"/>
    <w:rPr>
      <w:rFonts w:ascii="細明體" w:eastAsia="細明體" w:hAnsi="細明體" w:cs="細明體"/>
      <w:color w:val="333333"/>
      <w:kern w:val="0"/>
      <w:szCs w:val="24"/>
    </w:rPr>
  </w:style>
  <w:style w:type="paragraph" w:styleId="a4">
    <w:name w:val="header"/>
    <w:basedOn w:val="a"/>
    <w:link w:val="a5"/>
    <w:uiPriority w:val="99"/>
    <w:unhideWhenUsed/>
    <w:rsid w:val="00A808DC"/>
    <w:pPr>
      <w:tabs>
        <w:tab w:val="center" w:pos="4153"/>
        <w:tab w:val="right" w:pos="8306"/>
      </w:tabs>
      <w:snapToGrid w:val="0"/>
    </w:pPr>
    <w:rPr>
      <w:sz w:val="20"/>
      <w:szCs w:val="20"/>
    </w:rPr>
  </w:style>
  <w:style w:type="character" w:customStyle="1" w:styleId="a5">
    <w:name w:val="頁首 字元"/>
    <w:basedOn w:val="a0"/>
    <w:link w:val="a4"/>
    <w:uiPriority w:val="99"/>
    <w:rsid w:val="00A808DC"/>
    <w:rPr>
      <w:sz w:val="20"/>
      <w:szCs w:val="20"/>
    </w:rPr>
  </w:style>
  <w:style w:type="paragraph" w:styleId="a6">
    <w:name w:val="footer"/>
    <w:basedOn w:val="a"/>
    <w:link w:val="a7"/>
    <w:uiPriority w:val="99"/>
    <w:unhideWhenUsed/>
    <w:rsid w:val="00A808DC"/>
    <w:pPr>
      <w:tabs>
        <w:tab w:val="center" w:pos="4153"/>
        <w:tab w:val="right" w:pos="8306"/>
      </w:tabs>
      <w:snapToGrid w:val="0"/>
    </w:pPr>
    <w:rPr>
      <w:sz w:val="20"/>
      <w:szCs w:val="20"/>
    </w:rPr>
  </w:style>
  <w:style w:type="character" w:customStyle="1" w:styleId="a7">
    <w:name w:val="頁尾 字元"/>
    <w:basedOn w:val="a0"/>
    <w:link w:val="a6"/>
    <w:uiPriority w:val="99"/>
    <w:rsid w:val="00A808DC"/>
    <w:rPr>
      <w:sz w:val="20"/>
      <w:szCs w:val="20"/>
    </w:rPr>
  </w:style>
  <w:style w:type="paragraph" w:styleId="a8">
    <w:name w:val="Balloon Text"/>
    <w:basedOn w:val="a"/>
    <w:link w:val="a9"/>
    <w:uiPriority w:val="99"/>
    <w:semiHidden/>
    <w:unhideWhenUsed/>
    <w:rsid w:val="00B93F6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93F6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251A8"/>
    <w:rPr>
      <w:sz w:val="18"/>
      <w:szCs w:val="18"/>
    </w:rPr>
  </w:style>
  <w:style w:type="paragraph" w:styleId="ab">
    <w:name w:val="annotation text"/>
    <w:basedOn w:val="a"/>
    <w:link w:val="ac"/>
    <w:uiPriority w:val="99"/>
    <w:unhideWhenUsed/>
    <w:rsid w:val="007251A8"/>
  </w:style>
  <w:style w:type="character" w:customStyle="1" w:styleId="ac">
    <w:name w:val="註解文字 字元"/>
    <w:basedOn w:val="a0"/>
    <w:link w:val="ab"/>
    <w:uiPriority w:val="99"/>
    <w:rsid w:val="007251A8"/>
  </w:style>
  <w:style w:type="paragraph" w:styleId="ad">
    <w:name w:val="annotation subject"/>
    <w:basedOn w:val="ab"/>
    <w:next w:val="ab"/>
    <w:link w:val="ae"/>
    <w:uiPriority w:val="99"/>
    <w:semiHidden/>
    <w:unhideWhenUsed/>
    <w:rsid w:val="007251A8"/>
    <w:rPr>
      <w:b/>
      <w:bCs/>
    </w:rPr>
  </w:style>
  <w:style w:type="character" w:customStyle="1" w:styleId="ae">
    <w:name w:val="註解主旨 字元"/>
    <w:basedOn w:val="ac"/>
    <w:link w:val="ad"/>
    <w:uiPriority w:val="99"/>
    <w:semiHidden/>
    <w:rsid w:val="007251A8"/>
    <w:rPr>
      <w:b/>
      <w:bCs/>
    </w:rPr>
  </w:style>
  <w:style w:type="table" w:styleId="af">
    <w:name w:val="Table Grid"/>
    <w:basedOn w:val="a1"/>
    <w:uiPriority w:val="39"/>
    <w:rsid w:val="00B45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unhideWhenUsed/>
    <w:rsid w:val="00C12A55"/>
    <w:rPr>
      <w:rFonts w:ascii="Calibri" w:eastAsia="新細明體" w:hAnsi="Courier New" w:cs="Courier New"/>
    </w:rPr>
  </w:style>
  <w:style w:type="character" w:customStyle="1" w:styleId="af1">
    <w:name w:val="純文字 字元"/>
    <w:basedOn w:val="a0"/>
    <w:link w:val="af0"/>
    <w:uiPriority w:val="99"/>
    <w:rsid w:val="00C12A55"/>
    <w:rPr>
      <w:rFonts w:ascii="Calibri" w:eastAsia="新細明體" w:hAnsi="Courier New" w:cs="Courier New"/>
    </w:rPr>
  </w:style>
  <w:style w:type="table" w:customStyle="1" w:styleId="TableNormal">
    <w:name w:val="TableNormal"/>
    <w:rsid w:val="003A22F5"/>
    <w:pPr>
      <w:widowControl w:val="0"/>
    </w:pPr>
    <w:rPr>
      <w:rFonts w:ascii="Calibri" w:hAnsi="Calibri" w:cs="Calibri"/>
      <w:kern w:val="0"/>
      <w:szCs w:val="24"/>
      <w:lang w:val="en"/>
    </w:rPr>
    <w:tblPr>
      <w:tblCellMar>
        <w:top w:w="0" w:type="dxa"/>
        <w:left w:w="0" w:type="dxa"/>
        <w:bottom w:w="0" w:type="dxa"/>
        <w:right w:w="0" w:type="dxa"/>
      </w:tblCellMar>
    </w:tblPr>
  </w:style>
  <w:style w:type="paragraph" w:customStyle="1" w:styleId="af2">
    <w:name w:val="條文一"/>
    <w:basedOn w:val="a"/>
    <w:rsid w:val="00B8673B"/>
    <w:pPr>
      <w:suppressAutoHyphens/>
      <w:autoSpaceDN w:val="0"/>
      <w:spacing w:line="500" w:lineRule="atLeast"/>
      <w:ind w:left="1304" w:hanging="1304"/>
      <w:textAlignment w:val="baseline"/>
    </w:pPr>
    <w:rPr>
      <w:rFonts w:ascii="Times New Roman" w:eastAsia="研澤楷書體" w:hAnsi="Times New Roman" w:cs="Times New Roman"/>
      <w:spacing w:val="20"/>
      <w:kern w:val="0"/>
      <w:sz w:val="28"/>
      <w:szCs w:val="20"/>
    </w:rPr>
  </w:style>
  <w:style w:type="paragraph" w:customStyle="1" w:styleId="af3">
    <w:name w:val="條文一之一、"/>
    <w:basedOn w:val="a"/>
    <w:rsid w:val="00B8673B"/>
    <w:pPr>
      <w:suppressAutoHyphens/>
      <w:autoSpaceDN w:val="0"/>
      <w:spacing w:line="500" w:lineRule="atLeast"/>
      <w:ind w:left="1928" w:hanging="567"/>
      <w:jc w:val="both"/>
      <w:textAlignment w:val="baseline"/>
    </w:pPr>
    <w:rPr>
      <w:rFonts w:ascii="Times New Roman" w:eastAsia="研澤楷書體" w:hAnsi="Times New Roman" w:cs="Times New Roman"/>
      <w:spacing w:val="20"/>
      <w:kern w:val="0"/>
      <w:sz w:val="28"/>
      <w:szCs w:val="20"/>
    </w:rPr>
  </w:style>
  <w:style w:type="paragraph" w:customStyle="1" w:styleId="af4">
    <w:name w:val="條文一之(一)"/>
    <w:basedOn w:val="a"/>
    <w:rsid w:val="00B8673B"/>
    <w:pPr>
      <w:suppressAutoHyphens/>
      <w:autoSpaceDN w:val="0"/>
      <w:spacing w:line="500" w:lineRule="atLeast"/>
      <w:ind w:left="2665" w:hanging="567"/>
      <w:jc w:val="both"/>
      <w:textAlignment w:val="baseline"/>
    </w:pPr>
    <w:rPr>
      <w:rFonts w:ascii="Times New Roman" w:eastAsia="研澤楷書體" w:hAnsi="Times New Roman" w:cs="Times New Roman"/>
      <w:spacing w:val="20"/>
      <w:kern w:val="0"/>
      <w:sz w:val="28"/>
      <w:szCs w:val="20"/>
    </w:rPr>
  </w:style>
  <w:style w:type="paragraph" w:customStyle="1" w:styleId="af5">
    <w:name w:val="條文十一之(一)"/>
    <w:basedOn w:val="af4"/>
    <w:rsid w:val="00B8673B"/>
    <w:pPr>
      <w:ind w:left="3005"/>
    </w:pPr>
  </w:style>
  <w:style w:type="paragraph" w:customStyle="1" w:styleId="af6">
    <w:name w:val="條文十一之１"/>
    <w:basedOn w:val="a"/>
    <w:rsid w:val="00B8673B"/>
    <w:pPr>
      <w:suppressAutoHyphens/>
      <w:autoSpaceDN w:val="0"/>
      <w:spacing w:line="500" w:lineRule="atLeast"/>
      <w:ind w:left="3345" w:hanging="340"/>
      <w:jc w:val="both"/>
      <w:textAlignment w:val="baseline"/>
    </w:pPr>
    <w:rPr>
      <w:rFonts w:ascii="Times New Roman" w:eastAsia="研澤楷書體" w:hAnsi="Times New Roman" w:cs="Times New Roman"/>
      <w:spacing w:val="20"/>
      <w:kern w:val="0"/>
      <w:sz w:val="28"/>
      <w:szCs w:val="20"/>
    </w:rPr>
  </w:style>
  <w:style w:type="paragraph" w:customStyle="1" w:styleId="af7">
    <w:name w:val="第一節"/>
    <w:basedOn w:val="a"/>
    <w:rsid w:val="00B8673B"/>
    <w:pPr>
      <w:suppressAutoHyphens/>
      <w:autoSpaceDN w:val="0"/>
      <w:spacing w:line="500" w:lineRule="atLeast"/>
      <w:ind w:left="340"/>
      <w:jc w:val="both"/>
      <w:textAlignment w:val="baseline"/>
    </w:pPr>
    <w:rPr>
      <w:rFonts w:ascii="Times New Roman" w:eastAsia="研澤楷書體" w:hAnsi="Times New Roman" w:cs="Times New Roman"/>
      <w:spacing w:val="20"/>
      <w:kern w:val="0"/>
      <w:sz w:val="28"/>
      <w:szCs w:val="20"/>
    </w:rPr>
  </w:style>
  <w:style w:type="paragraph" w:customStyle="1" w:styleId="af8">
    <w:name w:val="條文十一"/>
    <w:basedOn w:val="af2"/>
    <w:rsid w:val="00B8673B"/>
    <w:pPr>
      <w:ind w:left="1644" w:hanging="1644"/>
    </w:pPr>
  </w:style>
  <w:style w:type="paragraph" w:customStyle="1" w:styleId="af9">
    <w:name w:val="條文二十一之一、"/>
    <w:basedOn w:val="a"/>
    <w:rsid w:val="00B8673B"/>
    <w:pPr>
      <w:suppressAutoHyphens/>
      <w:autoSpaceDN w:val="0"/>
      <w:spacing w:line="500" w:lineRule="atLeast"/>
      <w:ind w:left="2552" w:hanging="567"/>
      <w:jc w:val="both"/>
      <w:textAlignment w:val="baseline"/>
    </w:pPr>
    <w:rPr>
      <w:rFonts w:ascii="Times New Roman" w:eastAsia="研澤楷書體" w:hAnsi="Times New Roman" w:cs="Times New Roman"/>
      <w:spacing w:val="20"/>
      <w:kern w:val="0"/>
      <w:sz w:val="28"/>
      <w:szCs w:val="20"/>
    </w:rPr>
  </w:style>
  <w:style w:type="paragraph" w:styleId="afa">
    <w:name w:val="Revision"/>
    <w:hidden/>
    <w:uiPriority w:val="99"/>
    <w:semiHidden/>
    <w:rsid w:val="007F4C93"/>
  </w:style>
  <w:style w:type="character" w:styleId="afb">
    <w:name w:val="Hyperlink"/>
    <w:basedOn w:val="a0"/>
    <w:uiPriority w:val="99"/>
    <w:unhideWhenUsed/>
    <w:rsid w:val="001D71D9"/>
    <w:rPr>
      <w:color w:val="0563C1" w:themeColor="hyperlink"/>
      <w:u w:val="single"/>
    </w:rPr>
  </w:style>
  <w:style w:type="character" w:styleId="afc">
    <w:name w:val="Unresolved Mention"/>
    <w:basedOn w:val="a0"/>
    <w:uiPriority w:val="99"/>
    <w:semiHidden/>
    <w:unhideWhenUsed/>
    <w:rsid w:val="001D71D9"/>
    <w:rPr>
      <w:color w:val="605E5C"/>
      <w:shd w:val="clear" w:color="auto" w:fill="E1DFDD"/>
    </w:rPr>
  </w:style>
  <w:style w:type="character" w:customStyle="1" w:styleId="1">
    <w:name w:val="預設段落字型1"/>
    <w:rsid w:val="00D00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11494338">
      <w:bodyDiv w:val="1"/>
      <w:marLeft w:val="0"/>
      <w:marRight w:val="0"/>
      <w:marTop w:val="0"/>
      <w:marBottom w:val="0"/>
      <w:divBdr>
        <w:top w:val="none" w:sz="0" w:space="0" w:color="auto"/>
        <w:left w:val="none" w:sz="0" w:space="0" w:color="auto"/>
        <w:bottom w:val="none" w:sz="0" w:space="0" w:color="auto"/>
        <w:right w:val="none" w:sz="0" w:space="0" w:color="auto"/>
      </w:divBdr>
    </w:div>
    <w:div w:id="63918918">
      <w:bodyDiv w:val="1"/>
      <w:marLeft w:val="0"/>
      <w:marRight w:val="0"/>
      <w:marTop w:val="0"/>
      <w:marBottom w:val="0"/>
      <w:divBdr>
        <w:top w:val="none" w:sz="0" w:space="0" w:color="auto"/>
        <w:left w:val="none" w:sz="0" w:space="0" w:color="auto"/>
        <w:bottom w:val="none" w:sz="0" w:space="0" w:color="auto"/>
        <w:right w:val="none" w:sz="0" w:space="0" w:color="auto"/>
      </w:divBdr>
    </w:div>
    <w:div w:id="105854146">
      <w:bodyDiv w:val="1"/>
      <w:marLeft w:val="0"/>
      <w:marRight w:val="0"/>
      <w:marTop w:val="0"/>
      <w:marBottom w:val="0"/>
      <w:divBdr>
        <w:top w:val="none" w:sz="0" w:space="0" w:color="auto"/>
        <w:left w:val="none" w:sz="0" w:space="0" w:color="auto"/>
        <w:bottom w:val="none" w:sz="0" w:space="0" w:color="auto"/>
        <w:right w:val="none" w:sz="0" w:space="0" w:color="auto"/>
      </w:divBdr>
    </w:div>
    <w:div w:id="127475266">
      <w:bodyDiv w:val="1"/>
      <w:marLeft w:val="0"/>
      <w:marRight w:val="0"/>
      <w:marTop w:val="0"/>
      <w:marBottom w:val="0"/>
      <w:divBdr>
        <w:top w:val="none" w:sz="0" w:space="0" w:color="auto"/>
        <w:left w:val="none" w:sz="0" w:space="0" w:color="auto"/>
        <w:bottom w:val="none" w:sz="0" w:space="0" w:color="auto"/>
        <w:right w:val="none" w:sz="0" w:space="0" w:color="auto"/>
      </w:divBdr>
      <w:divsChild>
        <w:div w:id="921373060">
          <w:marLeft w:val="0"/>
          <w:marRight w:val="0"/>
          <w:marTop w:val="0"/>
          <w:marBottom w:val="0"/>
          <w:divBdr>
            <w:top w:val="none" w:sz="0" w:space="0" w:color="auto"/>
            <w:left w:val="none" w:sz="0" w:space="0" w:color="auto"/>
            <w:bottom w:val="none" w:sz="0" w:space="0" w:color="auto"/>
            <w:right w:val="none" w:sz="0" w:space="0" w:color="auto"/>
          </w:divBdr>
        </w:div>
      </w:divsChild>
    </w:div>
    <w:div w:id="158274204">
      <w:bodyDiv w:val="1"/>
      <w:marLeft w:val="0"/>
      <w:marRight w:val="0"/>
      <w:marTop w:val="0"/>
      <w:marBottom w:val="0"/>
      <w:divBdr>
        <w:top w:val="none" w:sz="0" w:space="0" w:color="auto"/>
        <w:left w:val="none" w:sz="0" w:space="0" w:color="auto"/>
        <w:bottom w:val="none" w:sz="0" w:space="0" w:color="auto"/>
        <w:right w:val="none" w:sz="0" w:space="0" w:color="auto"/>
      </w:divBdr>
    </w:div>
    <w:div w:id="209928472">
      <w:bodyDiv w:val="1"/>
      <w:marLeft w:val="0"/>
      <w:marRight w:val="0"/>
      <w:marTop w:val="0"/>
      <w:marBottom w:val="0"/>
      <w:divBdr>
        <w:top w:val="none" w:sz="0" w:space="0" w:color="auto"/>
        <w:left w:val="none" w:sz="0" w:space="0" w:color="auto"/>
        <w:bottom w:val="none" w:sz="0" w:space="0" w:color="auto"/>
        <w:right w:val="none" w:sz="0" w:space="0" w:color="auto"/>
      </w:divBdr>
      <w:divsChild>
        <w:div w:id="66660765">
          <w:marLeft w:val="0"/>
          <w:marRight w:val="0"/>
          <w:marTop w:val="0"/>
          <w:marBottom w:val="0"/>
          <w:divBdr>
            <w:top w:val="none" w:sz="0" w:space="0" w:color="auto"/>
            <w:left w:val="none" w:sz="0" w:space="0" w:color="auto"/>
            <w:bottom w:val="none" w:sz="0" w:space="0" w:color="auto"/>
            <w:right w:val="none" w:sz="0" w:space="0" w:color="auto"/>
          </w:divBdr>
        </w:div>
        <w:div w:id="247615250">
          <w:marLeft w:val="0"/>
          <w:marRight w:val="0"/>
          <w:marTop w:val="0"/>
          <w:marBottom w:val="0"/>
          <w:divBdr>
            <w:top w:val="none" w:sz="0" w:space="0" w:color="auto"/>
            <w:left w:val="none" w:sz="0" w:space="0" w:color="auto"/>
            <w:bottom w:val="none" w:sz="0" w:space="0" w:color="auto"/>
            <w:right w:val="none" w:sz="0" w:space="0" w:color="auto"/>
          </w:divBdr>
          <w:divsChild>
            <w:div w:id="106237649">
              <w:marLeft w:val="0"/>
              <w:marRight w:val="0"/>
              <w:marTop w:val="0"/>
              <w:marBottom w:val="0"/>
              <w:divBdr>
                <w:top w:val="none" w:sz="0" w:space="0" w:color="auto"/>
                <w:left w:val="none" w:sz="0" w:space="0" w:color="auto"/>
                <w:bottom w:val="none" w:sz="0" w:space="0" w:color="auto"/>
                <w:right w:val="none" w:sz="0" w:space="0" w:color="auto"/>
              </w:divBdr>
            </w:div>
            <w:div w:id="1700356834">
              <w:marLeft w:val="0"/>
              <w:marRight w:val="0"/>
              <w:marTop w:val="0"/>
              <w:marBottom w:val="0"/>
              <w:divBdr>
                <w:top w:val="none" w:sz="0" w:space="0" w:color="auto"/>
                <w:left w:val="none" w:sz="0" w:space="0" w:color="auto"/>
                <w:bottom w:val="none" w:sz="0" w:space="0" w:color="auto"/>
                <w:right w:val="none" w:sz="0" w:space="0" w:color="auto"/>
              </w:divBdr>
            </w:div>
          </w:divsChild>
        </w:div>
        <w:div w:id="405692208">
          <w:marLeft w:val="0"/>
          <w:marRight w:val="0"/>
          <w:marTop w:val="0"/>
          <w:marBottom w:val="0"/>
          <w:divBdr>
            <w:top w:val="none" w:sz="0" w:space="0" w:color="auto"/>
            <w:left w:val="none" w:sz="0" w:space="0" w:color="auto"/>
            <w:bottom w:val="none" w:sz="0" w:space="0" w:color="auto"/>
            <w:right w:val="none" w:sz="0" w:space="0" w:color="auto"/>
          </w:divBdr>
        </w:div>
        <w:div w:id="995186988">
          <w:marLeft w:val="0"/>
          <w:marRight w:val="0"/>
          <w:marTop w:val="0"/>
          <w:marBottom w:val="0"/>
          <w:divBdr>
            <w:top w:val="none" w:sz="0" w:space="0" w:color="auto"/>
            <w:left w:val="none" w:sz="0" w:space="0" w:color="auto"/>
            <w:bottom w:val="none" w:sz="0" w:space="0" w:color="auto"/>
            <w:right w:val="none" w:sz="0" w:space="0" w:color="auto"/>
          </w:divBdr>
        </w:div>
        <w:div w:id="1687750036">
          <w:marLeft w:val="0"/>
          <w:marRight w:val="0"/>
          <w:marTop w:val="0"/>
          <w:marBottom w:val="0"/>
          <w:divBdr>
            <w:top w:val="none" w:sz="0" w:space="0" w:color="auto"/>
            <w:left w:val="none" w:sz="0" w:space="0" w:color="auto"/>
            <w:bottom w:val="none" w:sz="0" w:space="0" w:color="auto"/>
            <w:right w:val="none" w:sz="0" w:space="0" w:color="auto"/>
          </w:divBdr>
        </w:div>
        <w:div w:id="1753887118">
          <w:marLeft w:val="0"/>
          <w:marRight w:val="0"/>
          <w:marTop w:val="0"/>
          <w:marBottom w:val="0"/>
          <w:divBdr>
            <w:top w:val="none" w:sz="0" w:space="0" w:color="auto"/>
            <w:left w:val="none" w:sz="0" w:space="0" w:color="auto"/>
            <w:bottom w:val="none" w:sz="0" w:space="0" w:color="auto"/>
            <w:right w:val="none" w:sz="0" w:space="0" w:color="auto"/>
          </w:divBdr>
        </w:div>
      </w:divsChild>
    </w:div>
    <w:div w:id="236473972">
      <w:bodyDiv w:val="1"/>
      <w:marLeft w:val="0"/>
      <w:marRight w:val="0"/>
      <w:marTop w:val="0"/>
      <w:marBottom w:val="0"/>
      <w:divBdr>
        <w:top w:val="none" w:sz="0" w:space="0" w:color="auto"/>
        <w:left w:val="none" w:sz="0" w:space="0" w:color="auto"/>
        <w:bottom w:val="none" w:sz="0" w:space="0" w:color="auto"/>
        <w:right w:val="none" w:sz="0" w:space="0" w:color="auto"/>
      </w:divBdr>
      <w:divsChild>
        <w:div w:id="1050151427">
          <w:marLeft w:val="0"/>
          <w:marRight w:val="0"/>
          <w:marTop w:val="0"/>
          <w:marBottom w:val="0"/>
          <w:divBdr>
            <w:top w:val="none" w:sz="0" w:space="0" w:color="auto"/>
            <w:left w:val="none" w:sz="0" w:space="0" w:color="auto"/>
            <w:bottom w:val="none" w:sz="0" w:space="0" w:color="auto"/>
            <w:right w:val="none" w:sz="0" w:space="0" w:color="auto"/>
          </w:divBdr>
        </w:div>
      </w:divsChild>
    </w:div>
    <w:div w:id="245574296">
      <w:bodyDiv w:val="1"/>
      <w:marLeft w:val="0"/>
      <w:marRight w:val="0"/>
      <w:marTop w:val="0"/>
      <w:marBottom w:val="0"/>
      <w:divBdr>
        <w:top w:val="none" w:sz="0" w:space="0" w:color="auto"/>
        <w:left w:val="none" w:sz="0" w:space="0" w:color="auto"/>
        <w:bottom w:val="none" w:sz="0" w:space="0" w:color="auto"/>
        <w:right w:val="none" w:sz="0" w:space="0" w:color="auto"/>
      </w:divBdr>
    </w:div>
    <w:div w:id="278731043">
      <w:bodyDiv w:val="1"/>
      <w:marLeft w:val="0"/>
      <w:marRight w:val="0"/>
      <w:marTop w:val="0"/>
      <w:marBottom w:val="0"/>
      <w:divBdr>
        <w:top w:val="none" w:sz="0" w:space="0" w:color="auto"/>
        <w:left w:val="none" w:sz="0" w:space="0" w:color="auto"/>
        <w:bottom w:val="none" w:sz="0" w:space="0" w:color="auto"/>
        <w:right w:val="none" w:sz="0" w:space="0" w:color="auto"/>
      </w:divBdr>
    </w:div>
    <w:div w:id="297885007">
      <w:bodyDiv w:val="1"/>
      <w:marLeft w:val="0"/>
      <w:marRight w:val="0"/>
      <w:marTop w:val="0"/>
      <w:marBottom w:val="0"/>
      <w:divBdr>
        <w:top w:val="none" w:sz="0" w:space="0" w:color="auto"/>
        <w:left w:val="none" w:sz="0" w:space="0" w:color="auto"/>
        <w:bottom w:val="none" w:sz="0" w:space="0" w:color="auto"/>
        <w:right w:val="none" w:sz="0" w:space="0" w:color="auto"/>
      </w:divBdr>
      <w:divsChild>
        <w:div w:id="864714014">
          <w:marLeft w:val="0"/>
          <w:marRight w:val="0"/>
          <w:marTop w:val="0"/>
          <w:marBottom w:val="0"/>
          <w:divBdr>
            <w:top w:val="none" w:sz="0" w:space="0" w:color="auto"/>
            <w:left w:val="none" w:sz="0" w:space="0" w:color="auto"/>
            <w:bottom w:val="none" w:sz="0" w:space="0" w:color="auto"/>
            <w:right w:val="none" w:sz="0" w:space="0" w:color="auto"/>
          </w:divBdr>
        </w:div>
      </w:divsChild>
    </w:div>
    <w:div w:id="344946155">
      <w:bodyDiv w:val="1"/>
      <w:marLeft w:val="0"/>
      <w:marRight w:val="0"/>
      <w:marTop w:val="0"/>
      <w:marBottom w:val="0"/>
      <w:divBdr>
        <w:top w:val="none" w:sz="0" w:space="0" w:color="auto"/>
        <w:left w:val="none" w:sz="0" w:space="0" w:color="auto"/>
        <w:bottom w:val="none" w:sz="0" w:space="0" w:color="auto"/>
        <w:right w:val="none" w:sz="0" w:space="0" w:color="auto"/>
      </w:divBdr>
    </w:div>
    <w:div w:id="373044819">
      <w:bodyDiv w:val="1"/>
      <w:marLeft w:val="0"/>
      <w:marRight w:val="0"/>
      <w:marTop w:val="0"/>
      <w:marBottom w:val="0"/>
      <w:divBdr>
        <w:top w:val="none" w:sz="0" w:space="0" w:color="auto"/>
        <w:left w:val="none" w:sz="0" w:space="0" w:color="auto"/>
        <w:bottom w:val="none" w:sz="0" w:space="0" w:color="auto"/>
        <w:right w:val="none" w:sz="0" w:space="0" w:color="auto"/>
      </w:divBdr>
    </w:div>
    <w:div w:id="390926089">
      <w:bodyDiv w:val="1"/>
      <w:marLeft w:val="0"/>
      <w:marRight w:val="0"/>
      <w:marTop w:val="0"/>
      <w:marBottom w:val="0"/>
      <w:divBdr>
        <w:top w:val="none" w:sz="0" w:space="0" w:color="auto"/>
        <w:left w:val="none" w:sz="0" w:space="0" w:color="auto"/>
        <w:bottom w:val="none" w:sz="0" w:space="0" w:color="auto"/>
        <w:right w:val="none" w:sz="0" w:space="0" w:color="auto"/>
      </w:divBdr>
      <w:divsChild>
        <w:div w:id="1539663960">
          <w:marLeft w:val="0"/>
          <w:marRight w:val="0"/>
          <w:marTop w:val="0"/>
          <w:marBottom w:val="0"/>
          <w:divBdr>
            <w:top w:val="none" w:sz="0" w:space="0" w:color="auto"/>
            <w:left w:val="none" w:sz="0" w:space="0" w:color="auto"/>
            <w:bottom w:val="none" w:sz="0" w:space="0" w:color="auto"/>
            <w:right w:val="none" w:sz="0" w:space="0" w:color="auto"/>
          </w:divBdr>
        </w:div>
      </w:divsChild>
    </w:div>
    <w:div w:id="402485290">
      <w:bodyDiv w:val="1"/>
      <w:marLeft w:val="0"/>
      <w:marRight w:val="0"/>
      <w:marTop w:val="0"/>
      <w:marBottom w:val="0"/>
      <w:divBdr>
        <w:top w:val="none" w:sz="0" w:space="0" w:color="auto"/>
        <w:left w:val="none" w:sz="0" w:space="0" w:color="auto"/>
        <w:bottom w:val="none" w:sz="0" w:space="0" w:color="auto"/>
        <w:right w:val="none" w:sz="0" w:space="0" w:color="auto"/>
      </w:divBdr>
    </w:div>
    <w:div w:id="438716372">
      <w:bodyDiv w:val="1"/>
      <w:marLeft w:val="0"/>
      <w:marRight w:val="0"/>
      <w:marTop w:val="0"/>
      <w:marBottom w:val="0"/>
      <w:divBdr>
        <w:top w:val="none" w:sz="0" w:space="0" w:color="auto"/>
        <w:left w:val="none" w:sz="0" w:space="0" w:color="auto"/>
        <w:bottom w:val="none" w:sz="0" w:space="0" w:color="auto"/>
        <w:right w:val="none" w:sz="0" w:space="0" w:color="auto"/>
      </w:divBdr>
    </w:div>
    <w:div w:id="470484570">
      <w:bodyDiv w:val="1"/>
      <w:marLeft w:val="0"/>
      <w:marRight w:val="0"/>
      <w:marTop w:val="0"/>
      <w:marBottom w:val="0"/>
      <w:divBdr>
        <w:top w:val="none" w:sz="0" w:space="0" w:color="auto"/>
        <w:left w:val="none" w:sz="0" w:space="0" w:color="auto"/>
        <w:bottom w:val="none" w:sz="0" w:space="0" w:color="auto"/>
        <w:right w:val="none" w:sz="0" w:space="0" w:color="auto"/>
      </w:divBdr>
    </w:div>
    <w:div w:id="472910268">
      <w:bodyDiv w:val="1"/>
      <w:marLeft w:val="0"/>
      <w:marRight w:val="0"/>
      <w:marTop w:val="0"/>
      <w:marBottom w:val="0"/>
      <w:divBdr>
        <w:top w:val="none" w:sz="0" w:space="0" w:color="auto"/>
        <w:left w:val="none" w:sz="0" w:space="0" w:color="auto"/>
        <w:bottom w:val="none" w:sz="0" w:space="0" w:color="auto"/>
        <w:right w:val="none" w:sz="0" w:space="0" w:color="auto"/>
      </w:divBdr>
    </w:div>
    <w:div w:id="477500446">
      <w:bodyDiv w:val="1"/>
      <w:marLeft w:val="0"/>
      <w:marRight w:val="0"/>
      <w:marTop w:val="0"/>
      <w:marBottom w:val="0"/>
      <w:divBdr>
        <w:top w:val="none" w:sz="0" w:space="0" w:color="auto"/>
        <w:left w:val="none" w:sz="0" w:space="0" w:color="auto"/>
        <w:bottom w:val="none" w:sz="0" w:space="0" w:color="auto"/>
        <w:right w:val="none" w:sz="0" w:space="0" w:color="auto"/>
      </w:divBdr>
      <w:divsChild>
        <w:div w:id="165218569">
          <w:marLeft w:val="0"/>
          <w:marRight w:val="0"/>
          <w:marTop w:val="0"/>
          <w:marBottom w:val="0"/>
          <w:divBdr>
            <w:top w:val="none" w:sz="0" w:space="0" w:color="auto"/>
            <w:left w:val="none" w:sz="0" w:space="0" w:color="auto"/>
            <w:bottom w:val="none" w:sz="0" w:space="0" w:color="auto"/>
            <w:right w:val="none" w:sz="0" w:space="0" w:color="auto"/>
          </w:divBdr>
        </w:div>
        <w:div w:id="487399989">
          <w:marLeft w:val="0"/>
          <w:marRight w:val="0"/>
          <w:marTop w:val="0"/>
          <w:marBottom w:val="0"/>
          <w:divBdr>
            <w:top w:val="none" w:sz="0" w:space="0" w:color="auto"/>
            <w:left w:val="none" w:sz="0" w:space="0" w:color="auto"/>
            <w:bottom w:val="none" w:sz="0" w:space="0" w:color="auto"/>
            <w:right w:val="none" w:sz="0" w:space="0" w:color="auto"/>
          </w:divBdr>
        </w:div>
        <w:div w:id="1878200215">
          <w:marLeft w:val="0"/>
          <w:marRight w:val="0"/>
          <w:marTop w:val="0"/>
          <w:marBottom w:val="0"/>
          <w:divBdr>
            <w:top w:val="none" w:sz="0" w:space="0" w:color="auto"/>
            <w:left w:val="none" w:sz="0" w:space="0" w:color="auto"/>
            <w:bottom w:val="none" w:sz="0" w:space="0" w:color="auto"/>
            <w:right w:val="none" w:sz="0" w:space="0" w:color="auto"/>
          </w:divBdr>
        </w:div>
      </w:divsChild>
    </w:div>
    <w:div w:id="482351361">
      <w:bodyDiv w:val="1"/>
      <w:marLeft w:val="0"/>
      <w:marRight w:val="0"/>
      <w:marTop w:val="0"/>
      <w:marBottom w:val="0"/>
      <w:divBdr>
        <w:top w:val="none" w:sz="0" w:space="0" w:color="auto"/>
        <w:left w:val="none" w:sz="0" w:space="0" w:color="auto"/>
        <w:bottom w:val="none" w:sz="0" w:space="0" w:color="auto"/>
        <w:right w:val="none" w:sz="0" w:space="0" w:color="auto"/>
      </w:divBdr>
    </w:div>
    <w:div w:id="531916248">
      <w:bodyDiv w:val="1"/>
      <w:marLeft w:val="0"/>
      <w:marRight w:val="0"/>
      <w:marTop w:val="0"/>
      <w:marBottom w:val="0"/>
      <w:divBdr>
        <w:top w:val="none" w:sz="0" w:space="0" w:color="auto"/>
        <w:left w:val="none" w:sz="0" w:space="0" w:color="auto"/>
        <w:bottom w:val="none" w:sz="0" w:space="0" w:color="auto"/>
        <w:right w:val="none" w:sz="0" w:space="0" w:color="auto"/>
      </w:divBdr>
    </w:div>
    <w:div w:id="544099343">
      <w:bodyDiv w:val="1"/>
      <w:marLeft w:val="0"/>
      <w:marRight w:val="0"/>
      <w:marTop w:val="0"/>
      <w:marBottom w:val="0"/>
      <w:divBdr>
        <w:top w:val="none" w:sz="0" w:space="0" w:color="auto"/>
        <w:left w:val="none" w:sz="0" w:space="0" w:color="auto"/>
        <w:bottom w:val="none" w:sz="0" w:space="0" w:color="auto"/>
        <w:right w:val="none" w:sz="0" w:space="0" w:color="auto"/>
      </w:divBdr>
      <w:divsChild>
        <w:div w:id="2104643507">
          <w:marLeft w:val="0"/>
          <w:marRight w:val="0"/>
          <w:marTop w:val="0"/>
          <w:marBottom w:val="0"/>
          <w:divBdr>
            <w:top w:val="none" w:sz="0" w:space="0" w:color="auto"/>
            <w:left w:val="none" w:sz="0" w:space="0" w:color="auto"/>
            <w:bottom w:val="none" w:sz="0" w:space="0" w:color="auto"/>
            <w:right w:val="none" w:sz="0" w:space="0" w:color="auto"/>
          </w:divBdr>
          <w:divsChild>
            <w:div w:id="176817669">
              <w:marLeft w:val="0"/>
              <w:marRight w:val="0"/>
              <w:marTop w:val="0"/>
              <w:marBottom w:val="0"/>
              <w:divBdr>
                <w:top w:val="none" w:sz="0" w:space="0" w:color="auto"/>
                <w:left w:val="none" w:sz="0" w:space="0" w:color="auto"/>
                <w:bottom w:val="none" w:sz="0" w:space="0" w:color="auto"/>
                <w:right w:val="none" w:sz="0" w:space="0" w:color="auto"/>
              </w:divBdr>
              <w:divsChild>
                <w:div w:id="110319115">
                  <w:marLeft w:val="0"/>
                  <w:marRight w:val="0"/>
                  <w:marTop w:val="0"/>
                  <w:marBottom w:val="0"/>
                  <w:divBdr>
                    <w:top w:val="none" w:sz="0" w:space="0" w:color="auto"/>
                    <w:left w:val="none" w:sz="0" w:space="0" w:color="auto"/>
                    <w:bottom w:val="none" w:sz="0" w:space="0" w:color="auto"/>
                    <w:right w:val="none" w:sz="0" w:space="0" w:color="auto"/>
                  </w:divBdr>
                </w:div>
                <w:div w:id="1977637024">
                  <w:marLeft w:val="0"/>
                  <w:marRight w:val="0"/>
                  <w:marTop w:val="0"/>
                  <w:marBottom w:val="0"/>
                  <w:divBdr>
                    <w:top w:val="none" w:sz="0" w:space="0" w:color="auto"/>
                    <w:left w:val="none" w:sz="0" w:space="0" w:color="auto"/>
                    <w:bottom w:val="none" w:sz="0" w:space="0" w:color="auto"/>
                    <w:right w:val="none" w:sz="0" w:space="0" w:color="auto"/>
                  </w:divBdr>
                </w:div>
              </w:divsChild>
            </w:div>
            <w:div w:id="1109352093">
              <w:marLeft w:val="0"/>
              <w:marRight w:val="0"/>
              <w:marTop w:val="0"/>
              <w:marBottom w:val="0"/>
              <w:divBdr>
                <w:top w:val="none" w:sz="0" w:space="0" w:color="auto"/>
                <w:left w:val="none" w:sz="0" w:space="0" w:color="auto"/>
                <w:bottom w:val="none" w:sz="0" w:space="0" w:color="auto"/>
                <w:right w:val="none" w:sz="0" w:space="0" w:color="auto"/>
              </w:divBdr>
              <w:divsChild>
                <w:div w:id="1289966423">
                  <w:marLeft w:val="0"/>
                  <w:marRight w:val="0"/>
                  <w:marTop w:val="0"/>
                  <w:marBottom w:val="0"/>
                  <w:divBdr>
                    <w:top w:val="none" w:sz="0" w:space="0" w:color="auto"/>
                    <w:left w:val="none" w:sz="0" w:space="0" w:color="auto"/>
                    <w:bottom w:val="none" w:sz="0" w:space="0" w:color="auto"/>
                    <w:right w:val="none" w:sz="0" w:space="0" w:color="auto"/>
                  </w:divBdr>
                </w:div>
                <w:div w:id="1581714341">
                  <w:marLeft w:val="0"/>
                  <w:marRight w:val="0"/>
                  <w:marTop w:val="0"/>
                  <w:marBottom w:val="0"/>
                  <w:divBdr>
                    <w:top w:val="none" w:sz="0" w:space="0" w:color="auto"/>
                    <w:left w:val="none" w:sz="0" w:space="0" w:color="auto"/>
                    <w:bottom w:val="none" w:sz="0" w:space="0" w:color="auto"/>
                    <w:right w:val="none" w:sz="0" w:space="0" w:color="auto"/>
                  </w:divBdr>
                </w:div>
              </w:divsChild>
            </w:div>
            <w:div w:id="153704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860735">
      <w:bodyDiv w:val="1"/>
      <w:marLeft w:val="0"/>
      <w:marRight w:val="0"/>
      <w:marTop w:val="0"/>
      <w:marBottom w:val="0"/>
      <w:divBdr>
        <w:top w:val="none" w:sz="0" w:space="0" w:color="auto"/>
        <w:left w:val="none" w:sz="0" w:space="0" w:color="auto"/>
        <w:bottom w:val="none" w:sz="0" w:space="0" w:color="auto"/>
        <w:right w:val="none" w:sz="0" w:space="0" w:color="auto"/>
      </w:divBdr>
    </w:div>
    <w:div w:id="588316729">
      <w:bodyDiv w:val="1"/>
      <w:marLeft w:val="0"/>
      <w:marRight w:val="0"/>
      <w:marTop w:val="0"/>
      <w:marBottom w:val="0"/>
      <w:divBdr>
        <w:top w:val="none" w:sz="0" w:space="0" w:color="auto"/>
        <w:left w:val="none" w:sz="0" w:space="0" w:color="auto"/>
        <w:bottom w:val="none" w:sz="0" w:space="0" w:color="auto"/>
        <w:right w:val="none" w:sz="0" w:space="0" w:color="auto"/>
      </w:divBdr>
    </w:div>
    <w:div w:id="592207323">
      <w:bodyDiv w:val="1"/>
      <w:marLeft w:val="0"/>
      <w:marRight w:val="0"/>
      <w:marTop w:val="0"/>
      <w:marBottom w:val="0"/>
      <w:divBdr>
        <w:top w:val="none" w:sz="0" w:space="0" w:color="auto"/>
        <w:left w:val="none" w:sz="0" w:space="0" w:color="auto"/>
        <w:bottom w:val="none" w:sz="0" w:space="0" w:color="auto"/>
        <w:right w:val="none" w:sz="0" w:space="0" w:color="auto"/>
      </w:divBdr>
    </w:div>
    <w:div w:id="615260481">
      <w:bodyDiv w:val="1"/>
      <w:marLeft w:val="0"/>
      <w:marRight w:val="0"/>
      <w:marTop w:val="0"/>
      <w:marBottom w:val="0"/>
      <w:divBdr>
        <w:top w:val="none" w:sz="0" w:space="0" w:color="auto"/>
        <w:left w:val="none" w:sz="0" w:space="0" w:color="auto"/>
        <w:bottom w:val="none" w:sz="0" w:space="0" w:color="auto"/>
        <w:right w:val="none" w:sz="0" w:space="0" w:color="auto"/>
      </w:divBdr>
    </w:div>
    <w:div w:id="622659182">
      <w:bodyDiv w:val="1"/>
      <w:marLeft w:val="0"/>
      <w:marRight w:val="0"/>
      <w:marTop w:val="0"/>
      <w:marBottom w:val="0"/>
      <w:divBdr>
        <w:top w:val="none" w:sz="0" w:space="0" w:color="auto"/>
        <w:left w:val="none" w:sz="0" w:space="0" w:color="auto"/>
        <w:bottom w:val="none" w:sz="0" w:space="0" w:color="auto"/>
        <w:right w:val="none" w:sz="0" w:space="0" w:color="auto"/>
      </w:divBdr>
    </w:div>
    <w:div w:id="625816085">
      <w:bodyDiv w:val="1"/>
      <w:marLeft w:val="0"/>
      <w:marRight w:val="0"/>
      <w:marTop w:val="0"/>
      <w:marBottom w:val="0"/>
      <w:divBdr>
        <w:top w:val="none" w:sz="0" w:space="0" w:color="auto"/>
        <w:left w:val="none" w:sz="0" w:space="0" w:color="auto"/>
        <w:bottom w:val="none" w:sz="0" w:space="0" w:color="auto"/>
        <w:right w:val="none" w:sz="0" w:space="0" w:color="auto"/>
      </w:divBdr>
      <w:divsChild>
        <w:div w:id="1207183321">
          <w:marLeft w:val="0"/>
          <w:marRight w:val="0"/>
          <w:marTop w:val="0"/>
          <w:marBottom w:val="0"/>
          <w:divBdr>
            <w:top w:val="none" w:sz="0" w:space="0" w:color="auto"/>
            <w:left w:val="none" w:sz="0" w:space="0" w:color="auto"/>
            <w:bottom w:val="none" w:sz="0" w:space="0" w:color="auto"/>
            <w:right w:val="none" w:sz="0" w:space="0" w:color="auto"/>
          </w:divBdr>
        </w:div>
        <w:div w:id="1314482731">
          <w:marLeft w:val="0"/>
          <w:marRight w:val="0"/>
          <w:marTop w:val="0"/>
          <w:marBottom w:val="0"/>
          <w:divBdr>
            <w:top w:val="none" w:sz="0" w:space="0" w:color="auto"/>
            <w:left w:val="none" w:sz="0" w:space="0" w:color="auto"/>
            <w:bottom w:val="none" w:sz="0" w:space="0" w:color="auto"/>
            <w:right w:val="none" w:sz="0" w:space="0" w:color="auto"/>
          </w:divBdr>
        </w:div>
        <w:div w:id="1522275528">
          <w:marLeft w:val="0"/>
          <w:marRight w:val="0"/>
          <w:marTop w:val="0"/>
          <w:marBottom w:val="0"/>
          <w:divBdr>
            <w:top w:val="none" w:sz="0" w:space="0" w:color="auto"/>
            <w:left w:val="none" w:sz="0" w:space="0" w:color="auto"/>
            <w:bottom w:val="none" w:sz="0" w:space="0" w:color="auto"/>
            <w:right w:val="none" w:sz="0" w:space="0" w:color="auto"/>
          </w:divBdr>
        </w:div>
      </w:divsChild>
    </w:div>
    <w:div w:id="643199004">
      <w:bodyDiv w:val="1"/>
      <w:marLeft w:val="0"/>
      <w:marRight w:val="0"/>
      <w:marTop w:val="0"/>
      <w:marBottom w:val="0"/>
      <w:divBdr>
        <w:top w:val="none" w:sz="0" w:space="0" w:color="auto"/>
        <w:left w:val="none" w:sz="0" w:space="0" w:color="auto"/>
        <w:bottom w:val="none" w:sz="0" w:space="0" w:color="auto"/>
        <w:right w:val="none" w:sz="0" w:space="0" w:color="auto"/>
      </w:divBdr>
    </w:div>
    <w:div w:id="715204519">
      <w:bodyDiv w:val="1"/>
      <w:marLeft w:val="0"/>
      <w:marRight w:val="0"/>
      <w:marTop w:val="0"/>
      <w:marBottom w:val="0"/>
      <w:divBdr>
        <w:top w:val="none" w:sz="0" w:space="0" w:color="auto"/>
        <w:left w:val="none" w:sz="0" w:space="0" w:color="auto"/>
        <w:bottom w:val="none" w:sz="0" w:space="0" w:color="auto"/>
        <w:right w:val="none" w:sz="0" w:space="0" w:color="auto"/>
      </w:divBdr>
    </w:div>
    <w:div w:id="715852454">
      <w:bodyDiv w:val="1"/>
      <w:marLeft w:val="0"/>
      <w:marRight w:val="0"/>
      <w:marTop w:val="0"/>
      <w:marBottom w:val="0"/>
      <w:divBdr>
        <w:top w:val="none" w:sz="0" w:space="0" w:color="auto"/>
        <w:left w:val="none" w:sz="0" w:space="0" w:color="auto"/>
        <w:bottom w:val="none" w:sz="0" w:space="0" w:color="auto"/>
        <w:right w:val="none" w:sz="0" w:space="0" w:color="auto"/>
      </w:divBdr>
    </w:div>
    <w:div w:id="720519985">
      <w:bodyDiv w:val="1"/>
      <w:marLeft w:val="0"/>
      <w:marRight w:val="0"/>
      <w:marTop w:val="0"/>
      <w:marBottom w:val="0"/>
      <w:divBdr>
        <w:top w:val="none" w:sz="0" w:space="0" w:color="auto"/>
        <w:left w:val="none" w:sz="0" w:space="0" w:color="auto"/>
        <w:bottom w:val="none" w:sz="0" w:space="0" w:color="auto"/>
        <w:right w:val="none" w:sz="0" w:space="0" w:color="auto"/>
      </w:divBdr>
    </w:div>
    <w:div w:id="737439202">
      <w:bodyDiv w:val="1"/>
      <w:marLeft w:val="0"/>
      <w:marRight w:val="0"/>
      <w:marTop w:val="0"/>
      <w:marBottom w:val="0"/>
      <w:divBdr>
        <w:top w:val="none" w:sz="0" w:space="0" w:color="auto"/>
        <w:left w:val="none" w:sz="0" w:space="0" w:color="auto"/>
        <w:bottom w:val="none" w:sz="0" w:space="0" w:color="auto"/>
        <w:right w:val="none" w:sz="0" w:space="0" w:color="auto"/>
      </w:divBdr>
    </w:div>
    <w:div w:id="748771439">
      <w:bodyDiv w:val="1"/>
      <w:marLeft w:val="0"/>
      <w:marRight w:val="0"/>
      <w:marTop w:val="0"/>
      <w:marBottom w:val="0"/>
      <w:divBdr>
        <w:top w:val="none" w:sz="0" w:space="0" w:color="auto"/>
        <w:left w:val="none" w:sz="0" w:space="0" w:color="auto"/>
        <w:bottom w:val="none" w:sz="0" w:space="0" w:color="auto"/>
        <w:right w:val="none" w:sz="0" w:space="0" w:color="auto"/>
      </w:divBdr>
    </w:div>
    <w:div w:id="751007611">
      <w:bodyDiv w:val="1"/>
      <w:marLeft w:val="0"/>
      <w:marRight w:val="0"/>
      <w:marTop w:val="0"/>
      <w:marBottom w:val="0"/>
      <w:divBdr>
        <w:top w:val="none" w:sz="0" w:space="0" w:color="auto"/>
        <w:left w:val="none" w:sz="0" w:space="0" w:color="auto"/>
        <w:bottom w:val="none" w:sz="0" w:space="0" w:color="auto"/>
        <w:right w:val="none" w:sz="0" w:space="0" w:color="auto"/>
      </w:divBdr>
    </w:div>
    <w:div w:id="765154312">
      <w:bodyDiv w:val="1"/>
      <w:marLeft w:val="0"/>
      <w:marRight w:val="0"/>
      <w:marTop w:val="0"/>
      <w:marBottom w:val="0"/>
      <w:divBdr>
        <w:top w:val="none" w:sz="0" w:space="0" w:color="auto"/>
        <w:left w:val="none" w:sz="0" w:space="0" w:color="auto"/>
        <w:bottom w:val="none" w:sz="0" w:space="0" w:color="auto"/>
        <w:right w:val="none" w:sz="0" w:space="0" w:color="auto"/>
      </w:divBdr>
    </w:div>
    <w:div w:id="772559147">
      <w:bodyDiv w:val="1"/>
      <w:marLeft w:val="0"/>
      <w:marRight w:val="0"/>
      <w:marTop w:val="0"/>
      <w:marBottom w:val="0"/>
      <w:divBdr>
        <w:top w:val="none" w:sz="0" w:space="0" w:color="auto"/>
        <w:left w:val="none" w:sz="0" w:space="0" w:color="auto"/>
        <w:bottom w:val="none" w:sz="0" w:space="0" w:color="auto"/>
        <w:right w:val="none" w:sz="0" w:space="0" w:color="auto"/>
      </w:divBdr>
    </w:div>
    <w:div w:id="814416999">
      <w:bodyDiv w:val="1"/>
      <w:marLeft w:val="0"/>
      <w:marRight w:val="0"/>
      <w:marTop w:val="0"/>
      <w:marBottom w:val="0"/>
      <w:divBdr>
        <w:top w:val="none" w:sz="0" w:space="0" w:color="auto"/>
        <w:left w:val="none" w:sz="0" w:space="0" w:color="auto"/>
        <w:bottom w:val="none" w:sz="0" w:space="0" w:color="auto"/>
        <w:right w:val="none" w:sz="0" w:space="0" w:color="auto"/>
      </w:divBdr>
    </w:div>
    <w:div w:id="838153968">
      <w:bodyDiv w:val="1"/>
      <w:marLeft w:val="0"/>
      <w:marRight w:val="0"/>
      <w:marTop w:val="0"/>
      <w:marBottom w:val="0"/>
      <w:divBdr>
        <w:top w:val="none" w:sz="0" w:space="0" w:color="auto"/>
        <w:left w:val="none" w:sz="0" w:space="0" w:color="auto"/>
        <w:bottom w:val="none" w:sz="0" w:space="0" w:color="auto"/>
        <w:right w:val="none" w:sz="0" w:space="0" w:color="auto"/>
      </w:divBdr>
    </w:div>
    <w:div w:id="885411235">
      <w:bodyDiv w:val="1"/>
      <w:marLeft w:val="0"/>
      <w:marRight w:val="0"/>
      <w:marTop w:val="0"/>
      <w:marBottom w:val="0"/>
      <w:divBdr>
        <w:top w:val="none" w:sz="0" w:space="0" w:color="auto"/>
        <w:left w:val="none" w:sz="0" w:space="0" w:color="auto"/>
        <w:bottom w:val="none" w:sz="0" w:space="0" w:color="auto"/>
        <w:right w:val="none" w:sz="0" w:space="0" w:color="auto"/>
      </w:divBdr>
      <w:divsChild>
        <w:div w:id="630746905">
          <w:marLeft w:val="0"/>
          <w:marRight w:val="0"/>
          <w:marTop w:val="0"/>
          <w:marBottom w:val="0"/>
          <w:divBdr>
            <w:top w:val="none" w:sz="0" w:space="0" w:color="auto"/>
            <w:left w:val="none" w:sz="0" w:space="0" w:color="auto"/>
            <w:bottom w:val="none" w:sz="0" w:space="0" w:color="auto"/>
            <w:right w:val="none" w:sz="0" w:space="0" w:color="auto"/>
          </w:divBdr>
        </w:div>
      </w:divsChild>
    </w:div>
    <w:div w:id="939096149">
      <w:bodyDiv w:val="1"/>
      <w:marLeft w:val="0"/>
      <w:marRight w:val="0"/>
      <w:marTop w:val="0"/>
      <w:marBottom w:val="0"/>
      <w:divBdr>
        <w:top w:val="none" w:sz="0" w:space="0" w:color="auto"/>
        <w:left w:val="none" w:sz="0" w:space="0" w:color="auto"/>
        <w:bottom w:val="none" w:sz="0" w:space="0" w:color="auto"/>
        <w:right w:val="none" w:sz="0" w:space="0" w:color="auto"/>
      </w:divBdr>
    </w:div>
    <w:div w:id="953288862">
      <w:bodyDiv w:val="1"/>
      <w:marLeft w:val="0"/>
      <w:marRight w:val="0"/>
      <w:marTop w:val="0"/>
      <w:marBottom w:val="0"/>
      <w:divBdr>
        <w:top w:val="none" w:sz="0" w:space="0" w:color="auto"/>
        <w:left w:val="none" w:sz="0" w:space="0" w:color="auto"/>
        <w:bottom w:val="none" w:sz="0" w:space="0" w:color="auto"/>
        <w:right w:val="none" w:sz="0" w:space="0" w:color="auto"/>
      </w:divBdr>
    </w:div>
    <w:div w:id="974529862">
      <w:bodyDiv w:val="1"/>
      <w:marLeft w:val="0"/>
      <w:marRight w:val="0"/>
      <w:marTop w:val="0"/>
      <w:marBottom w:val="0"/>
      <w:divBdr>
        <w:top w:val="none" w:sz="0" w:space="0" w:color="auto"/>
        <w:left w:val="none" w:sz="0" w:space="0" w:color="auto"/>
        <w:bottom w:val="none" w:sz="0" w:space="0" w:color="auto"/>
        <w:right w:val="none" w:sz="0" w:space="0" w:color="auto"/>
      </w:divBdr>
    </w:div>
    <w:div w:id="977105655">
      <w:bodyDiv w:val="1"/>
      <w:marLeft w:val="0"/>
      <w:marRight w:val="0"/>
      <w:marTop w:val="0"/>
      <w:marBottom w:val="0"/>
      <w:divBdr>
        <w:top w:val="none" w:sz="0" w:space="0" w:color="auto"/>
        <w:left w:val="none" w:sz="0" w:space="0" w:color="auto"/>
        <w:bottom w:val="none" w:sz="0" w:space="0" w:color="auto"/>
        <w:right w:val="none" w:sz="0" w:space="0" w:color="auto"/>
      </w:divBdr>
    </w:div>
    <w:div w:id="994912146">
      <w:bodyDiv w:val="1"/>
      <w:marLeft w:val="0"/>
      <w:marRight w:val="0"/>
      <w:marTop w:val="0"/>
      <w:marBottom w:val="0"/>
      <w:divBdr>
        <w:top w:val="none" w:sz="0" w:space="0" w:color="auto"/>
        <w:left w:val="none" w:sz="0" w:space="0" w:color="auto"/>
        <w:bottom w:val="none" w:sz="0" w:space="0" w:color="auto"/>
        <w:right w:val="none" w:sz="0" w:space="0" w:color="auto"/>
      </w:divBdr>
      <w:divsChild>
        <w:div w:id="715276526">
          <w:marLeft w:val="0"/>
          <w:marRight w:val="0"/>
          <w:marTop w:val="0"/>
          <w:marBottom w:val="0"/>
          <w:divBdr>
            <w:top w:val="none" w:sz="0" w:space="0" w:color="auto"/>
            <w:left w:val="none" w:sz="0" w:space="0" w:color="auto"/>
            <w:bottom w:val="none" w:sz="0" w:space="0" w:color="auto"/>
            <w:right w:val="none" w:sz="0" w:space="0" w:color="auto"/>
          </w:divBdr>
        </w:div>
        <w:div w:id="1701394527">
          <w:marLeft w:val="0"/>
          <w:marRight w:val="0"/>
          <w:marTop w:val="0"/>
          <w:marBottom w:val="0"/>
          <w:divBdr>
            <w:top w:val="none" w:sz="0" w:space="0" w:color="auto"/>
            <w:left w:val="none" w:sz="0" w:space="0" w:color="auto"/>
            <w:bottom w:val="none" w:sz="0" w:space="0" w:color="auto"/>
            <w:right w:val="none" w:sz="0" w:space="0" w:color="auto"/>
          </w:divBdr>
        </w:div>
        <w:div w:id="2063283216">
          <w:marLeft w:val="0"/>
          <w:marRight w:val="0"/>
          <w:marTop w:val="0"/>
          <w:marBottom w:val="0"/>
          <w:divBdr>
            <w:top w:val="none" w:sz="0" w:space="0" w:color="auto"/>
            <w:left w:val="none" w:sz="0" w:space="0" w:color="auto"/>
            <w:bottom w:val="none" w:sz="0" w:space="0" w:color="auto"/>
            <w:right w:val="none" w:sz="0" w:space="0" w:color="auto"/>
          </w:divBdr>
        </w:div>
      </w:divsChild>
    </w:div>
    <w:div w:id="1026324411">
      <w:bodyDiv w:val="1"/>
      <w:marLeft w:val="0"/>
      <w:marRight w:val="0"/>
      <w:marTop w:val="0"/>
      <w:marBottom w:val="0"/>
      <w:divBdr>
        <w:top w:val="none" w:sz="0" w:space="0" w:color="auto"/>
        <w:left w:val="none" w:sz="0" w:space="0" w:color="auto"/>
        <w:bottom w:val="none" w:sz="0" w:space="0" w:color="auto"/>
        <w:right w:val="none" w:sz="0" w:space="0" w:color="auto"/>
      </w:divBdr>
    </w:div>
    <w:div w:id="1027483253">
      <w:bodyDiv w:val="1"/>
      <w:marLeft w:val="0"/>
      <w:marRight w:val="0"/>
      <w:marTop w:val="0"/>
      <w:marBottom w:val="0"/>
      <w:divBdr>
        <w:top w:val="none" w:sz="0" w:space="0" w:color="auto"/>
        <w:left w:val="none" w:sz="0" w:space="0" w:color="auto"/>
        <w:bottom w:val="none" w:sz="0" w:space="0" w:color="auto"/>
        <w:right w:val="none" w:sz="0" w:space="0" w:color="auto"/>
      </w:divBdr>
    </w:div>
    <w:div w:id="1027945962">
      <w:bodyDiv w:val="1"/>
      <w:marLeft w:val="0"/>
      <w:marRight w:val="0"/>
      <w:marTop w:val="0"/>
      <w:marBottom w:val="0"/>
      <w:divBdr>
        <w:top w:val="none" w:sz="0" w:space="0" w:color="auto"/>
        <w:left w:val="none" w:sz="0" w:space="0" w:color="auto"/>
        <w:bottom w:val="none" w:sz="0" w:space="0" w:color="auto"/>
        <w:right w:val="none" w:sz="0" w:space="0" w:color="auto"/>
      </w:divBdr>
    </w:div>
    <w:div w:id="1036588264">
      <w:bodyDiv w:val="1"/>
      <w:marLeft w:val="0"/>
      <w:marRight w:val="0"/>
      <w:marTop w:val="0"/>
      <w:marBottom w:val="0"/>
      <w:divBdr>
        <w:top w:val="none" w:sz="0" w:space="0" w:color="auto"/>
        <w:left w:val="none" w:sz="0" w:space="0" w:color="auto"/>
        <w:bottom w:val="none" w:sz="0" w:space="0" w:color="auto"/>
        <w:right w:val="none" w:sz="0" w:space="0" w:color="auto"/>
      </w:divBdr>
      <w:divsChild>
        <w:div w:id="828860775">
          <w:marLeft w:val="0"/>
          <w:marRight w:val="0"/>
          <w:marTop w:val="0"/>
          <w:marBottom w:val="0"/>
          <w:divBdr>
            <w:top w:val="none" w:sz="0" w:space="0" w:color="auto"/>
            <w:left w:val="none" w:sz="0" w:space="0" w:color="auto"/>
            <w:bottom w:val="none" w:sz="0" w:space="0" w:color="auto"/>
            <w:right w:val="none" w:sz="0" w:space="0" w:color="auto"/>
          </w:divBdr>
        </w:div>
      </w:divsChild>
    </w:div>
    <w:div w:id="1091664047">
      <w:bodyDiv w:val="1"/>
      <w:marLeft w:val="0"/>
      <w:marRight w:val="0"/>
      <w:marTop w:val="0"/>
      <w:marBottom w:val="0"/>
      <w:divBdr>
        <w:top w:val="none" w:sz="0" w:space="0" w:color="auto"/>
        <w:left w:val="none" w:sz="0" w:space="0" w:color="auto"/>
        <w:bottom w:val="none" w:sz="0" w:space="0" w:color="auto"/>
        <w:right w:val="none" w:sz="0" w:space="0" w:color="auto"/>
      </w:divBdr>
      <w:divsChild>
        <w:div w:id="111481077">
          <w:marLeft w:val="0"/>
          <w:marRight w:val="0"/>
          <w:marTop w:val="0"/>
          <w:marBottom w:val="0"/>
          <w:divBdr>
            <w:top w:val="none" w:sz="0" w:space="0" w:color="auto"/>
            <w:left w:val="none" w:sz="0" w:space="0" w:color="auto"/>
            <w:bottom w:val="none" w:sz="0" w:space="0" w:color="auto"/>
            <w:right w:val="none" w:sz="0" w:space="0" w:color="auto"/>
          </w:divBdr>
        </w:div>
        <w:div w:id="644505114">
          <w:marLeft w:val="0"/>
          <w:marRight w:val="0"/>
          <w:marTop w:val="0"/>
          <w:marBottom w:val="0"/>
          <w:divBdr>
            <w:top w:val="none" w:sz="0" w:space="0" w:color="auto"/>
            <w:left w:val="none" w:sz="0" w:space="0" w:color="auto"/>
            <w:bottom w:val="none" w:sz="0" w:space="0" w:color="auto"/>
            <w:right w:val="none" w:sz="0" w:space="0" w:color="auto"/>
          </w:divBdr>
        </w:div>
        <w:div w:id="1121606691">
          <w:marLeft w:val="0"/>
          <w:marRight w:val="0"/>
          <w:marTop w:val="0"/>
          <w:marBottom w:val="0"/>
          <w:divBdr>
            <w:top w:val="none" w:sz="0" w:space="0" w:color="auto"/>
            <w:left w:val="none" w:sz="0" w:space="0" w:color="auto"/>
            <w:bottom w:val="none" w:sz="0" w:space="0" w:color="auto"/>
            <w:right w:val="none" w:sz="0" w:space="0" w:color="auto"/>
          </w:divBdr>
        </w:div>
        <w:div w:id="1146705925">
          <w:marLeft w:val="0"/>
          <w:marRight w:val="0"/>
          <w:marTop w:val="0"/>
          <w:marBottom w:val="0"/>
          <w:divBdr>
            <w:top w:val="none" w:sz="0" w:space="0" w:color="auto"/>
            <w:left w:val="none" w:sz="0" w:space="0" w:color="auto"/>
            <w:bottom w:val="none" w:sz="0" w:space="0" w:color="auto"/>
            <w:right w:val="none" w:sz="0" w:space="0" w:color="auto"/>
          </w:divBdr>
        </w:div>
        <w:div w:id="1226795693">
          <w:marLeft w:val="0"/>
          <w:marRight w:val="0"/>
          <w:marTop w:val="0"/>
          <w:marBottom w:val="0"/>
          <w:divBdr>
            <w:top w:val="none" w:sz="0" w:space="0" w:color="auto"/>
            <w:left w:val="none" w:sz="0" w:space="0" w:color="auto"/>
            <w:bottom w:val="none" w:sz="0" w:space="0" w:color="auto"/>
            <w:right w:val="none" w:sz="0" w:space="0" w:color="auto"/>
          </w:divBdr>
        </w:div>
      </w:divsChild>
    </w:div>
    <w:div w:id="1127429986">
      <w:bodyDiv w:val="1"/>
      <w:marLeft w:val="0"/>
      <w:marRight w:val="0"/>
      <w:marTop w:val="0"/>
      <w:marBottom w:val="0"/>
      <w:divBdr>
        <w:top w:val="none" w:sz="0" w:space="0" w:color="auto"/>
        <w:left w:val="none" w:sz="0" w:space="0" w:color="auto"/>
        <w:bottom w:val="none" w:sz="0" w:space="0" w:color="auto"/>
        <w:right w:val="none" w:sz="0" w:space="0" w:color="auto"/>
      </w:divBdr>
    </w:div>
    <w:div w:id="1139761178">
      <w:bodyDiv w:val="1"/>
      <w:marLeft w:val="0"/>
      <w:marRight w:val="0"/>
      <w:marTop w:val="0"/>
      <w:marBottom w:val="0"/>
      <w:divBdr>
        <w:top w:val="none" w:sz="0" w:space="0" w:color="auto"/>
        <w:left w:val="none" w:sz="0" w:space="0" w:color="auto"/>
        <w:bottom w:val="none" w:sz="0" w:space="0" w:color="auto"/>
        <w:right w:val="none" w:sz="0" w:space="0" w:color="auto"/>
      </w:divBdr>
    </w:div>
    <w:div w:id="1144854498">
      <w:bodyDiv w:val="1"/>
      <w:marLeft w:val="0"/>
      <w:marRight w:val="0"/>
      <w:marTop w:val="0"/>
      <w:marBottom w:val="0"/>
      <w:divBdr>
        <w:top w:val="none" w:sz="0" w:space="0" w:color="auto"/>
        <w:left w:val="none" w:sz="0" w:space="0" w:color="auto"/>
        <w:bottom w:val="none" w:sz="0" w:space="0" w:color="auto"/>
        <w:right w:val="none" w:sz="0" w:space="0" w:color="auto"/>
      </w:divBdr>
    </w:div>
    <w:div w:id="1158694477">
      <w:bodyDiv w:val="1"/>
      <w:marLeft w:val="0"/>
      <w:marRight w:val="0"/>
      <w:marTop w:val="0"/>
      <w:marBottom w:val="0"/>
      <w:divBdr>
        <w:top w:val="none" w:sz="0" w:space="0" w:color="auto"/>
        <w:left w:val="none" w:sz="0" w:space="0" w:color="auto"/>
        <w:bottom w:val="none" w:sz="0" w:space="0" w:color="auto"/>
        <w:right w:val="none" w:sz="0" w:space="0" w:color="auto"/>
      </w:divBdr>
      <w:divsChild>
        <w:div w:id="581791950">
          <w:marLeft w:val="0"/>
          <w:marRight w:val="0"/>
          <w:marTop w:val="0"/>
          <w:marBottom w:val="0"/>
          <w:divBdr>
            <w:top w:val="none" w:sz="0" w:space="0" w:color="auto"/>
            <w:left w:val="none" w:sz="0" w:space="0" w:color="auto"/>
            <w:bottom w:val="none" w:sz="0" w:space="0" w:color="auto"/>
            <w:right w:val="none" w:sz="0" w:space="0" w:color="auto"/>
          </w:divBdr>
        </w:div>
      </w:divsChild>
    </w:div>
    <w:div w:id="1171525331">
      <w:bodyDiv w:val="1"/>
      <w:marLeft w:val="0"/>
      <w:marRight w:val="0"/>
      <w:marTop w:val="0"/>
      <w:marBottom w:val="0"/>
      <w:divBdr>
        <w:top w:val="none" w:sz="0" w:space="0" w:color="auto"/>
        <w:left w:val="none" w:sz="0" w:space="0" w:color="auto"/>
        <w:bottom w:val="none" w:sz="0" w:space="0" w:color="auto"/>
        <w:right w:val="none" w:sz="0" w:space="0" w:color="auto"/>
      </w:divBdr>
    </w:div>
    <w:div w:id="1175608797">
      <w:bodyDiv w:val="1"/>
      <w:marLeft w:val="0"/>
      <w:marRight w:val="0"/>
      <w:marTop w:val="0"/>
      <w:marBottom w:val="0"/>
      <w:divBdr>
        <w:top w:val="none" w:sz="0" w:space="0" w:color="auto"/>
        <w:left w:val="none" w:sz="0" w:space="0" w:color="auto"/>
        <w:bottom w:val="none" w:sz="0" w:space="0" w:color="auto"/>
        <w:right w:val="none" w:sz="0" w:space="0" w:color="auto"/>
      </w:divBdr>
    </w:div>
    <w:div w:id="1183278203">
      <w:bodyDiv w:val="1"/>
      <w:marLeft w:val="0"/>
      <w:marRight w:val="0"/>
      <w:marTop w:val="0"/>
      <w:marBottom w:val="0"/>
      <w:divBdr>
        <w:top w:val="none" w:sz="0" w:space="0" w:color="auto"/>
        <w:left w:val="none" w:sz="0" w:space="0" w:color="auto"/>
        <w:bottom w:val="none" w:sz="0" w:space="0" w:color="auto"/>
        <w:right w:val="none" w:sz="0" w:space="0" w:color="auto"/>
      </w:divBdr>
    </w:div>
    <w:div w:id="1219129013">
      <w:bodyDiv w:val="1"/>
      <w:marLeft w:val="0"/>
      <w:marRight w:val="0"/>
      <w:marTop w:val="0"/>
      <w:marBottom w:val="0"/>
      <w:divBdr>
        <w:top w:val="none" w:sz="0" w:space="0" w:color="auto"/>
        <w:left w:val="none" w:sz="0" w:space="0" w:color="auto"/>
        <w:bottom w:val="none" w:sz="0" w:space="0" w:color="auto"/>
        <w:right w:val="none" w:sz="0" w:space="0" w:color="auto"/>
      </w:divBdr>
    </w:div>
    <w:div w:id="1237863521">
      <w:bodyDiv w:val="1"/>
      <w:marLeft w:val="0"/>
      <w:marRight w:val="0"/>
      <w:marTop w:val="0"/>
      <w:marBottom w:val="0"/>
      <w:divBdr>
        <w:top w:val="none" w:sz="0" w:space="0" w:color="auto"/>
        <w:left w:val="none" w:sz="0" w:space="0" w:color="auto"/>
        <w:bottom w:val="none" w:sz="0" w:space="0" w:color="auto"/>
        <w:right w:val="none" w:sz="0" w:space="0" w:color="auto"/>
      </w:divBdr>
    </w:div>
    <w:div w:id="1270040844">
      <w:bodyDiv w:val="1"/>
      <w:marLeft w:val="0"/>
      <w:marRight w:val="0"/>
      <w:marTop w:val="0"/>
      <w:marBottom w:val="0"/>
      <w:divBdr>
        <w:top w:val="none" w:sz="0" w:space="0" w:color="auto"/>
        <w:left w:val="none" w:sz="0" w:space="0" w:color="auto"/>
        <w:bottom w:val="none" w:sz="0" w:space="0" w:color="auto"/>
        <w:right w:val="none" w:sz="0" w:space="0" w:color="auto"/>
      </w:divBdr>
      <w:divsChild>
        <w:div w:id="1403257901">
          <w:marLeft w:val="0"/>
          <w:marRight w:val="0"/>
          <w:marTop w:val="0"/>
          <w:marBottom w:val="0"/>
          <w:divBdr>
            <w:top w:val="none" w:sz="0" w:space="0" w:color="auto"/>
            <w:left w:val="none" w:sz="0" w:space="0" w:color="auto"/>
            <w:bottom w:val="none" w:sz="0" w:space="0" w:color="auto"/>
            <w:right w:val="none" w:sz="0" w:space="0" w:color="auto"/>
          </w:divBdr>
        </w:div>
      </w:divsChild>
    </w:div>
    <w:div w:id="1285698608">
      <w:bodyDiv w:val="1"/>
      <w:marLeft w:val="0"/>
      <w:marRight w:val="0"/>
      <w:marTop w:val="0"/>
      <w:marBottom w:val="0"/>
      <w:divBdr>
        <w:top w:val="none" w:sz="0" w:space="0" w:color="auto"/>
        <w:left w:val="none" w:sz="0" w:space="0" w:color="auto"/>
        <w:bottom w:val="none" w:sz="0" w:space="0" w:color="auto"/>
        <w:right w:val="none" w:sz="0" w:space="0" w:color="auto"/>
      </w:divBdr>
    </w:div>
    <w:div w:id="1306662816">
      <w:bodyDiv w:val="1"/>
      <w:marLeft w:val="0"/>
      <w:marRight w:val="0"/>
      <w:marTop w:val="0"/>
      <w:marBottom w:val="0"/>
      <w:divBdr>
        <w:top w:val="none" w:sz="0" w:space="0" w:color="auto"/>
        <w:left w:val="none" w:sz="0" w:space="0" w:color="auto"/>
        <w:bottom w:val="none" w:sz="0" w:space="0" w:color="auto"/>
        <w:right w:val="none" w:sz="0" w:space="0" w:color="auto"/>
      </w:divBdr>
    </w:div>
    <w:div w:id="1351373974">
      <w:bodyDiv w:val="1"/>
      <w:marLeft w:val="0"/>
      <w:marRight w:val="0"/>
      <w:marTop w:val="0"/>
      <w:marBottom w:val="0"/>
      <w:divBdr>
        <w:top w:val="none" w:sz="0" w:space="0" w:color="auto"/>
        <w:left w:val="none" w:sz="0" w:space="0" w:color="auto"/>
        <w:bottom w:val="none" w:sz="0" w:space="0" w:color="auto"/>
        <w:right w:val="none" w:sz="0" w:space="0" w:color="auto"/>
      </w:divBdr>
    </w:div>
    <w:div w:id="1369911743">
      <w:bodyDiv w:val="1"/>
      <w:marLeft w:val="0"/>
      <w:marRight w:val="0"/>
      <w:marTop w:val="0"/>
      <w:marBottom w:val="0"/>
      <w:divBdr>
        <w:top w:val="none" w:sz="0" w:space="0" w:color="auto"/>
        <w:left w:val="none" w:sz="0" w:space="0" w:color="auto"/>
        <w:bottom w:val="none" w:sz="0" w:space="0" w:color="auto"/>
        <w:right w:val="none" w:sz="0" w:space="0" w:color="auto"/>
      </w:divBdr>
    </w:div>
    <w:div w:id="1387070991">
      <w:bodyDiv w:val="1"/>
      <w:marLeft w:val="0"/>
      <w:marRight w:val="0"/>
      <w:marTop w:val="0"/>
      <w:marBottom w:val="0"/>
      <w:divBdr>
        <w:top w:val="none" w:sz="0" w:space="0" w:color="auto"/>
        <w:left w:val="none" w:sz="0" w:space="0" w:color="auto"/>
        <w:bottom w:val="none" w:sz="0" w:space="0" w:color="auto"/>
        <w:right w:val="none" w:sz="0" w:space="0" w:color="auto"/>
      </w:divBdr>
    </w:div>
    <w:div w:id="1394349368">
      <w:bodyDiv w:val="1"/>
      <w:marLeft w:val="0"/>
      <w:marRight w:val="0"/>
      <w:marTop w:val="0"/>
      <w:marBottom w:val="0"/>
      <w:divBdr>
        <w:top w:val="none" w:sz="0" w:space="0" w:color="auto"/>
        <w:left w:val="none" w:sz="0" w:space="0" w:color="auto"/>
        <w:bottom w:val="none" w:sz="0" w:space="0" w:color="auto"/>
        <w:right w:val="none" w:sz="0" w:space="0" w:color="auto"/>
      </w:divBdr>
      <w:divsChild>
        <w:div w:id="1757359516">
          <w:marLeft w:val="0"/>
          <w:marRight w:val="0"/>
          <w:marTop w:val="0"/>
          <w:marBottom w:val="0"/>
          <w:divBdr>
            <w:top w:val="none" w:sz="0" w:space="0" w:color="auto"/>
            <w:left w:val="none" w:sz="0" w:space="0" w:color="auto"/>
            <w:bottom w:val="none" w:sz="0" w:space="0" w:color="auto"/>
            <w:right w:val="none" w:sz="0" w:space="0" w:color="auto"/>
          </w:divBdr>
        </w:div>
      </w:divsChild>
    </w:div>
    <w:div w:id="1404840848">
      <w:bodyDiv w:val="1"/>
      <w:marLeft w:val="0"/>
      <w:marRight w:val="0"/>
      <w:marTop w:val="0"/>
      <w:marBottom w:val="0"/>
      <w:divBdr>
        <w:top w:val="none" w:sz="0" w:space="0" w:color="auto"/>
        <w:left w:val="none" w:sz="0" w:space="0" w:color="auto"/>
        <w:bottom w:val="none" w:sz="0" w:space="0" w:color="auto"/>
        <w:right w:val="none" w:sz="0" w:space="0" w:color="auto"/>
      </w:divBdr>
    </w:div>
    <w:div w:id="1409575151">
      <w:bodyDiv w:val="1"/>
      <w:marLeft w:val="0"/>
      <w:marRight w:val="0"/>
      <w:marTop w:val="0"/>
      <w:marBottom w:val="0"/>
      <w:divBdr>
        <w:top w:val="none" w:sz="0" w:space="0" w:color="auto"/>
        <w:left w:val="none" w:sz="0" w:space="0" w:color="auto"/>
        <w:bottom w:val="none" w:sz="0" w:space="0" w:color="auto"/>
        <w:right w:val="none" w:sz="0" w:space="0" w:color="auto"/>
      </w:divBdr>
    </w:div>
    <w:div w:id="1485585302">
      <w:bodyDiv w:val="1"/>
      <w:marLeft w:val="0"/>
      <w:marRight w:val="0"/>
      <w:marTop w:val="0"/>
      <w:marBottom w:val="0"/>
      <w:divBdr>
        <w:top w:val="none" w:sz="0" w:space="0" w:color="auto"/>
        <w:left w:val="none" w:sz="0" w:space="0" w:color="auto"/>
        <w:bottom w:val="none" w:sz="0" w:space="0" w:color="auto"/>
        <w:right w:val="none" w:sz="0" w:space="0" w:color="auto"/>
      </w:divBdr>
    </w:div>
    <w:div w:id="1524048470">
      <w:bodyDiv w:val="1"/>
      <w:marLeft w:val="0"/>
      <w:marRight w:val="0"/>
      <w:marTop w:val="0"/>
      <w:marBottom w:val="0"/>
      <w:divBdr>
        <w:top w:val="none" w:sz="0" w:space="0" w:color="auto"/>
        <w:left w:val="none" w:sz="0" w:space="0" w:color="auto"/>
        <w:bottom w:val="none" w:sz="0" w:space="0" w:color="auto"/>
        <w:right w:val="none" w:sz="0" w:space="0" w:color="auto"/>
      </w:divBdr>
      <w:divsChild>
        <w:div w:id="104153839">
          <w:marLeft w:val="0"/>
          <w:marRight w:val="0"/>
          <w:marTop w:val="0"/>
          <w:marBottom w:val="0"/>
          <w:divBdr>
            <w:top w:val="none" w:sz="0" w:space="0" w:color="auto"/>
            <w:left w:val="none" w:sz="0" w:space="0" w:color="auto"/>
            <w:bottom w:val="none" w:sz="0" w:space="0" w:color="auto"/>
            <w:right w:val="none" w:sz="0" w:space="0" w:color="auto"/>
          </w:divBdr>
        </w:div>
      </w:divsChild>
    </w:div>
    <w:div w:id="1539538728">
      <w:bodyDiv w:val="1"/>
      <w:marLeft w:val="0"/>
      <w:marRight w:val="0"/>
      <w:marTop w:val="0"/>
      <w:marBottom w:val="0"/>
      <w:divBdr>
        <w:top w:val="none" w:sz="0" w:space="0" w:color="auto"/>
        <w:left w:val="none" w:sz="0" w:space="0" w:color="auto"/>
        <w:bottom w:val="none" w:sz="0" w:space="0" w:color="auto"/>
        <w:right w:val="none" w:sz="0" w:space="0" w:color="auto"/>
      </w:divBdr>
    </w:div>
    <w:div w:id="1548833711">
      <w:bodyDiv w:val="1"/>
      <w:marLeft w:val="0"/>
      <w:marRight w:val="0"/>
      <w:marTop w:val="0"/>
      <w:marBottom w:val="0"/>
      <w:divBdr>
        <w:top w:val="none" w:sz="0" w:space="0" w:color="auto"/>
        <w:left w:val="none" w:sz="0" w:space="0" w:color="auto"/>
        <w:bottom w:val="none" w:sz="0" w:space="0" w:color="auto"/>
        <w:right w:val="none" w:sz="0" w:space="0" w:color="auto"/>
      </w:divBdr>
      <w:divsChild>
        <w:div w:id="1429959931">
          <w:marLeft w:val="0"/>
          <w:marRight w:val="0"/>
          <w:marTop w:val="0"/>
          <w:marBottom w:val="0"/>
          <w:divBdr>
            <w:top w:val="none" w:sz="0" w:space="0" w:color="auto"/>
            <w:left w:val="none" w:sz="0" w:space="0" w:color="auto"/>
            <w:bottom w:val="none" w:sz="0" w:space="0" w:color="auto"/>
            <w:right w:val="none" w:sz="0" w:space="0" w:color="auto"/>
          </w:divBdr>
        </w:div>
      </w:divsChild>
    </w:div>
    <w:div w:id="1566379536">
      <w:bodyDiv w:val="1"/>
      <w:marLeft w:val="0"/>
      <w:marRight w:val="0"/>
      <w:marTop w:val="0"/>
      <w:marBottom w:val="0"/>
      <w:divBdr>
        <w:top w:val="none" w:sz="0" w:space="0" w:color="auto"/>
        <w:left w:val="none" w:sz="0" w:space="0" w:color="auto"/>
        <w:bottom w:val="none" w:sz="0" w:space="0" w:color="auto"/>
        <w:right w:val="none" w:sz="0" w:space="0" w:color="auto"/>
      </w:divBdr>
    </w:div>
    <w:div w:id="1567301581">
      <w:bodyDiv w:val="1"/>
      <w:marLeft w:val="0"/>
      <w:marRight w:val="0"/>
      <w:marTop w:val="0"/>
      <w:marBottom w:val="0"/>
      <w:divBdr>
        <w:top w:val="none" w:sz="0" w:space="0" w:color="auto"/>
        <w:left w:val="none" w:sz="0" w:space="0" w:color="auto"/>
        <w:bottom w:val="none" w:sz="0" w:space="0" w:color="auto"/>
        <w:right w:val="none" w:sz="0" w:space="0" w:color="auto"/>
      </w:divBdr>
    </w:div>
    <w:div w:id="1567572155">
      <w:bodyDiv w:val="1"/>
      <w:marLeft w:val="0"/>
      <w:marRight w:val="0"/>
      <w:marTop w:val="0"/>
      <w:marBottom w:val="0"/>
      <w:divBdr>
        <w:top w:val="none" w:sz="0" w:space="0" w:color="auto"/>
        <w:left w:val="none" w:sz="0" w:space="0" w:color="auto"/>
        <w:bottom w:val="none" w:sz="0" w:space="0" w:color="auto"/>
        <w:right w:val="none" w:sz="0" w:space="0" w:color="auto"/>
      </w:divBdr>
    </w:div>
    <w:div w:id="1582983470">
      <w:bodyDiv w:val="1"/>
      <w:marLeft w:val="0"/>
      <w:marRight w:val="0"/>
      <w:marTop w:val="0"/>
      <w:marBottom w:val="0"/>
      <w:divBdr>
        <w:top w:val="none" w:sz="0" w:space="0" w:color="auto"/>
        <w:left w:val="none" w:sz="0" w:space="0" w:color="auto"/>
        <w:bottom w:val="none" w:sz="0" w:space="0" w:color="auto"/>
        <w:right w:val="none" w:sz="0" w:space="0" w:color="auto"/>
      </w:divBdr>
    </w:div>
    <w:div w:id="1587156342">
      <w:bodyDiv w:val="1"/>
      <w:marLeft w:val="0"/>
      <w:marRight w:val="0"/>
      <w:marTop w:val="0"/>
      <w:marBottom w:val="0"/>
      <w:divBdr>
        <w:top w:val="none" w:sz="0" w:space="0" w:color="auto"/>
        <w:left w:val="none" w:sz="0" w:space="0" w:color="auto"/>
        <w:bottom w:val="none" w:sz="0" w:space="0" w:color="auto"/>
        <w:right w:val="none" w:sz="0" w:space="0" w:color="auto"/>
      </w:divBdr>
      <w:divsChild>
        <w:div w:id="1872766634">
          <w:marLeft w:val="0"/>
          <w:marRight w:val="0"/>
          <w:marTop w:val="0"/>
          <w:marBottom w:val="0"/>
          <w:divBdr>
            <w:top w:val="none" w:sz="0" w:space="0" w:color="auto"/>
            <w:left w:val="none" w:sz="0" w:space="0" w:color="auto"/>
            <w:bottom w:val="none" w:sz="0" w:space="0" w:color="auto"/>
            <w:right w:val="none" w:sz="0" w:space="0" w:color="auto"/>
          </w:divBdr>
          <w:divsChild>
            <w:div w:id="336807586">
              <w:marLeft w:val="0"/>
              <w:marRight w:val="0"/>
              <w:marTop w:val="0"/>
              <w:marBottom w:val="0"/>
              <w:divBdr>
                <w:top w:val="none" w:sz="0" w:space="0" w:color="auto"/>
                <w:left w:val="none" w:sz="0" w:space="0" w:color="auto"/>
                <w:bottom w:val="none" w:sz="0" w:space="0" w:color="auto"/>
                <w:right w:val="none" w:sz="0" w:space="0" w:color="auto"/>
              </w:divBdr>
            </w:div>
            <w:div w:id="564488658">
              <w:marLeft w:val="0"/>
              <w:marRight w:val="0"/>
              <w:marTop w:val="0"/>
              <w:marBottom w:val="0"/>
              <w:divBdr>
                <w:top w:val="none" w:sz="0" w:space="0" w:color="auto"/>
                <w:left w:val="none" w:sz="0" w:space="0" w:color="auto"/>
                <w:bottom w:val="none" w:sz="0" w:space="0" w:color="auto"/>
                <w:right w:val="none" w:sz="0" w:space="0" w:color="auto"/>
              </w:divBdr>
            </w:div>
            <w:div w:id="857696737">
              <w:marLeft w:val="0"/>
              <w:marRight w:val="0"/>
              <w:marTop w:val="0"/>
              <w:marBottom w:val="0"/>
              <w:divBdr>
                <w:top w:val="none" w:sz="0" w:space="0" w:color="auto"/>
                <w:left w:val="none" w:sz="0" w:space="0" w:color="auto"/>
                <w:bottom w:val="none" w:sz="0" w:space="0" w:color="auto"/>
                <w:right w:val="none" w:sz="0" w:space="0" w:color="auto"/>
              </w:divBdr>
            </w:div>
            <w:div w:id="877938801">
              <w:marLeft w:val="0"/>
              <w:marRight w:val="0"/>
              <w:marTop w:val="0"/>
              <w:marBottom w:val="0"/>
              <w:divBdr>
                <w:top w:val="none" w:sz="0" w:space="0" w:color="auto"/>
                <w:left w:val="none" w:sz="0" w:space="0" w:color="auto"/>
                <w:bottom w:val="none" w:sz="0" w:space="0" w:color="auto"/>
                <w:right w:val="none" w:sz="0" w:space="0" w:color="auto"/>
              </w:divBdr>
            </w:div>
            <w:div w:id="888146257">
              <w:marLeft w:val="0"/>
              <w:marRight w:val="0"/>
              <w:marTop w:val="0"/>
              <w:marBottom w:val="0"/>
              <w:divBdr>
                <w:top w:val="none" w:sz="0" w:space="0" w:color="auto"/>
                <w:left w:val="none" w:sz="0" w:space="0" w:color="auto"/>
                <w:bottom w:val="none" w:sz="0" w:space="0" w:color="auto"/>
                <w:right w:val="none" w:sz="0" w:space="0" w:color="auto"/>
              </w:divBdr>
            </w:div>
            <w:div w:id="1675304718">
              <w:marLeft w:val="0"/>
              <w:marRight w:val="0"/>
              <w:marTop w:val="0"/>
              <w:marBottom w:val="0"/>
              <w:divBdr>
                <w:top w:val="none" w:sz="0" w:space="0" w:color="auto"/>
                <w:left w:val="none" w:sz="0" w:space="0" w:color="auto"/>
                <w:bottom w:val="none" w:sz="0" w:space="0" w:color="auto"/>
                <w:right w:val="none" w:sz="0" w:space="0" w:color="auto"/>
              </w:divBdr>
            </w:div>
            <w:div w:id="167931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711">
      <w:bodyDiv w:val="1"/>
      <w:marLeft w:val="0"/>
      <w:marRight w:val="0"/>
      <w:marTop w:val="0"/>
      <w:marBottom w:val="0"/>
      <w:divBdr>
        <w:top w:val="none" w:sz="0" w:space="0" w:color="auto"/>
        <w:left w:val="none" w:sz="0" w:space="0" w:color="auto"/>
        <w:bottom w:val="none" w:sz="0" w:space="0" w:color="auto"/>
        <w:right w:val="none" w:sz="0" w:space="0" w:color="auto"/>
      </w:divBdr>
      <w:divsChild>
        <w:div w:id="94906563">
          <w:marLeft w:val="0"/>
          <w:marRight w:val="0"/>
          <w:marTop w:val="0"/>
          <w:marBottom w:val="0"/>
          <w:divBdr>
            <w:top w:val="none" w:sz="0" w:space="0" w:color="auto"/>
            <w:left w:val="none" w:sz="0" w:space="0" w:color="auto"/>
            <w:bottom w:val="none" w:sz="0" w:space="0" w:color="auto"/>
            <w:right w:val="none" w:sz="0" w:space="0" w:color="auto"/>
          </w:divBdr>
        </w:div>
      </w:divsChild>
    </w:div>
    <w:div w:id="1614970282">
      <w:bodyDiv w:val="1"/>
      <w:marLeft w:val="0"/>
      <w:marRight w:val="0"/>
      <w:marTop w:val="0"/>
      <w:marBottom w:val="0"/>
      <w:divBdr>
        <w:top w:val="none" w:sz="0" w:space="0" w:color="auto"/>
        <w:left w:val="none" w:sz="0" w:space="0" w:color="auto"/>
        <w:bottom w:val="none" w:sz="0" w:space="0" w:color="auto"/>
        <w:right w:val="none" w:sz="0" w:space="0" w:color="auto"/>
      </w:divBdr>
    </w:div>
    <w:div w:id="1628973560">
      <w:bodyDiv w:val="1"/>
      <w:marLeft w:val="0"/>
      <w:marRight w:val="0"/>
      <w:marTop w:val="0"/>
      <w:marBottom w:val="0"/>
      <w:divBdr>
        <w:top w:val="none" w:sz="0" w:space="0" w:color="auto"/>
        <w:left w:val="none" w:sz="0" w:space="0" w:color="auto"/>
        <w:bottom w:val="none" w:sz="0" w:space="0" w:color="auto"/>
        <w:right w:val="none" w:sz="0" w:space="0" w:color="auto"/>
      </w:divBdr>
    </w:div>
    <w:div w:id="1632520351">
      <w:bodyDiv w:val="1"/>
      <w:marLeft w:val="0"/>
      <w:marRight w:val="0"/>
      <w:marTop w:val="0"/>
      <w:marBottom w:val="0"/>
      <w:divBdr>
        <w:top w:val="none" w:sz="0" w:space="0" w:color="auto"/>
        <w:left w:val="none" w:sz="0" w:space="0" w:color="auto"/>
        <w:bottom w:val="none" w:sz="0" w:space="0" w:color="auto"/>
        <w:right w:val="none" w:sz="0" w:space="0" w:color="auto"/>
      </w:divBdr>
    </w:div>
    <w:div w:id="1691684152">
      <w:bodyDiv w:val="1"/>
      <w:marLeft w:val="0"/>
      <w:marRight w:val="0"/>
      <w:marTop w:val="0"/>
      <w:marBottom w:val="0"/>
      <w:divBdr>
        <w:top w:val="none" w:sz="0" w:space="0" w:color="auto"/>
        <w:left w:val="none" w:sz="0" w:space="0" w:color="auto"/>
        <w:bottom w:val="none" w:sz="0" w:space="0" w:color="auto"/>
        <w:right w:val="none" w:sz="0" w:space="0" w:color="auto"/>
      </w:divBdr>
    </w:div>
    <w:div w:id="1707561616">
      <w:bodyDiv w:val="1"/>
      <w:marLeft w:val="0"/>
      <w:marRight w:val="0"/>
      <w:marTop w:val="0"/>
      <w:marBottom w:val="0"/>
      <w:divBdr>
        <w:top w:val="none" w:sz="0" w:space="0" w:color="auto"/>
        <w:left w:val="none" w:sz="0" w:space="0" w:color="auto"/>
        <w:bottom w:val="none" w:sz="0" w:space="0" w:color="auto"/>
        <w:right w:val="none" w:sz="0" w:space="0" w:color="auto"/>
      </w:divBdr>
    </w:div>
    <w:div w:id="1719277442">
      <w:bodyDiv w:val="1"/>
      <w:marLeft w:val="0"/>
      <w:marRight w:val="0"/>
      <w:marTop w:val="0"/>
      <w:marBottom w:val="0"/>
      <w:divBdr>
        <w:top w:val="none" w:sz="0" w:space="0" w:color="auto"/>
        <w:left w:val="none" w:sz="0" w:space="0" w:color="auto"/>
        <w:bottom w:val="none" w:sz="0" w:space="0" w:color="auto"/>
        <w:right w:val="none" w:sz="0" w:space="0" w:color="auto"/>
      </w:divBdr>
      <w:divsChild>
        <w:div w:id="1938780881">
          <w:marLeft w:val="0"/>
          <w:marRight w:val="0"/>
          <w:marTop w:val="0"/>
          <w:marBottom w:val="0"/>
          <w:divBdr>
            <w:top w:val="none" w:sz="0" w:space="0" w:color="auto"/>
            <w:left w:val="none" w:sz="0" w:space="0" w:color="auto"/>
            <w:bottom w:val="none" w:sz="0" w:space="0" w:color="auto"/>
            <w:right w:val="none" w:sz="0" w:space="0" w:color="auto"/>
          </w:divBdr>
        </w:div>
      </w:divsChild>
    </w:div>
    <w:div w:id="1727141335">
      <w:bodyDiv w:val="1"/>
      <w:marLeft w:val="0"/>
      <w:marRight w:val="0"/>
      <w:marTop w:val="0"/>
      <w:marBottom w:val="0"/>
      <w:divBdr>
        <w:top w:val="none" w:sz="0" w:space="0" w:color="auto"/>
        <w:left w:val="none" w:sz="0" w:space="0" w:color="auto"/>
        <w:bottom w:val="none" w:sz="0" w:space="0" w:color="auto"/>
        <w:right w:val="none" w:sz="0" w:space="0" w:color="auto"/>
      </w:divBdr>
    </w:div>
    <w:div w:id="1730034889">
      <w:bodyDiv w:val="1"/>
      <w:marLeft w:val="0"/>
      <w:marRight w:val="0"/>
      <w:marTop w:val="0"/>
      <w:marBottom w:val="0"/>
      <w:divBdr>
        <w:top w:val="none" w:sz="0" w:space="0" w:color="auto"/>
        <w:left w:val="none" w:sz="0" w:space="0" w:color="auto"/>
        <w:bottom w:val="none" w:sz="0" w:space="0" w:color="auto"/>
        <w:right w:val="none" w:sz="0" w:space="0" w:color="auto"/>
      </w:divBdr>
    </w:div>
    <w:div w:id="1739395848">
      <w:bodyDiv w:val="1"/>
      <w:marLeft w:val="0"/>
      <w:marRight w:val="0"/>
      <w:marTop w:val="0"/>
      <w:marBottom w:val="0"/>
      <w:divBdr>
        <w:top w:val="none" w:sz="0" w:space="0" w:color="auto"/>
        <w:left w:val="none" w:sz="0" w:space="0" w:color="auto"/>
        <w:bottom w:val="none" w:sz="0" w:space="0" w:color="auto"/>
        <w:right w:val="none" w:sz="0" w:space="0" w:color="auto"/>
      </w:divBdr>
    </w:div>
    <w:div w:id="1751846845">
      <w:bodyDiv w:val="1"/>
      <w:marLeft w:val="0"/>
      <w:marRight w:val="0"/>
      <w:marTop w:val="0"/>
      <w:marBottom w:val="0"/>
      <w:divBdr>
        <w:top w:val="none" w:sz="0" w:space="0" w:color="auto"/>
        <w:left w:val="none" w:sz="0" w:space="0" w:color="auto"/>
        <w:bottom w:val="none" w:sz="0" w:space="0" w:color="auto"/>
        <w:right w:val="none" w:sz="0" w:space="0" w:color="auto"/>
      </w:divBdr>
    </w:div>
    <w:div w:id="1775973128">
      <w:bodyDiv w:val="1"/>
      <w:marLeft w:val="0"/>
      <w:marRight w:val="0"/>
      <w:marTop w:val="0"/>
      <w:marBottom w:val="0"/>
      <w:divBdr>
        <w:top w:val="none" w:sz="0" w:space="0" w:color="auto"/>
        <w:left w:val="none" w:sz="0" w:space="0" w:color="auto"/>
        <w:bottom w:val="none" w:sz="0" w:space="0" w:color="auto"/>
        <w:right w:val="none" w:sz="0" w:space="0" w:color="auto"/>
      </w:divBdr>
    </w:div>
    <w:div w:id="1790316226">
      <w:bodyDiv w:val="1"/>
      <w:marLeft w:val="0"/>
      <w:marRight w:val="0"/>
      <w:marTop w:val="0"/>
      <w:marBottom w:val="0"/>
      <w:divBdr>
        <w:top w:val="none" w:sz="0" w:space="0" w:color="auto"/>
        <w:left w:val="none" w:sz="0" w:space="0" w:color="auto"/>
        <w:bottom w:val="none" w:sz="0" w:space="0" w:color="auto"/>
        <w:right w:val="none" w:sz="0" w:space="0" w:color="auto"/>
      </w:divBdr>
      <w:divsChild>
        <w:div w:id="482892182">
          <w:marLeft w:val="0"/>
          <w:marRight w:val="0"/>
          <w:marTop w:val="0"/>
          <w:marBottom w:val="0"/>
          <w:divBdr>
            <w:top w:val="none" w:sz="0" w:space="0" w:color="auto"/>
            <w:left w:val="none" w:sz="0" w:space="0" w:color="auto"/>
            <w:bottom w:val="none" w:sz="0" w:space="0" w:color="auto"/>
            <w:right w:val="none" w:sz="0" w:space="0" w:color="auto"/>
          </w:divBdr>
        </w:div>
      </w:divsChild>
    </w:div>
    <w:div w:id="1796947391">
      <w:bodyDiv w:val="1"/>
      <w:marLeft w:val="0"/>
      <w:marRight w:val="0"/>
      <w:marTop w:val="0"/>
      <w:marBottom w:val="0"/>
      <w:divBdr>
        <w:top w:val="none" w:sz="0" w:space="0" w:color="auto"/>
        <w:left w:val="none" w:sz="0" w:space="0" w:color="auto"/>
        <w:bottom w:val="none" w:sz="0" w:space="0" w:color="auto"/>
        <w:right w:val="none" w:sz="0" w:space="0" w:color="auto"/>
      </w:divBdr>
    </w:div>
    <w:div w:id="1801343291">
      <w:bodyDiv w:val="1"/>
      <w:marLeft w:val="0"/>
      <w:marRight w:val="0"/>
      <w:marTop w:val="0"/>
      <w:marBottom w:val="0"/>
      <w:divBdr>
        <w:top w:val="none" w:sz="0" w:space="0" w:color="auto"/>
        <w:left w:val="none" w:sz="0" w:space="0" w:color="auto"/>
        <w:bottom w:val="none" w:sz="0" w:space="0" w:color="auto"/>
        <w:right w:val="none" w:sz="0" w:space="0" w:color="auto"/>
      </w:divBdr>
      <w:divsChild>
        <w:div w:id="265235635">
          <w:marLeft w:val="0"/>
          <w:marRight w:val="0"/>
          <w:marTop w:val="0"/>
          <w:marBottom w:val="0"/>
          <w:divBdr>
            <w:top w:val="none" w:sz="0" w:space="0" w:color="auto"/>
            <w:left w:val="none" w:sz="0" w:space="0" w:color="auto"/>
            <w:bottom w:val="none" w:sz="0" w:space="0" w:color="auto"/>
            <w:right w:val="none" w:sz="0" w:space="0" w:color="auto"/>
          </w:divBdr>
        </w:div>
      </w:divsChild>
    </w:div>
    <w:div w:id="1808472178">
      <w:bodyDiv w:val="1"/>
      <w:marLeft w:val="0"/>
      <w:marRight w:val="0"/>
      <w:marTop w:val="0"/>
      <w:marBottom w:val="0"/>
      <w:divBdr>
        <w:top w:val="none" w:sz="0" w:space="0" w:color="auto"/>
        <w:left w:val="none" w:sz="0" w:space="0" w:color="auto"/>
        <w:bottom w:val="none" w:sz="0" w:space="0" w:color="auto"/>
        <w:right w:val="none" w:sz="0" w:space="0" w:color="auto"/>
      </w:divBdr>
    </w:div>
    <w:div w:id="1809516804">
      <w:bodyDiv w:val="1"/>
      <w:marLeft w:val="0"/>
      <w:marRight w:val="0"/>
      <w:marTop w:val="0"/>
      <w:marBottom w:val="0"/>
      <w:divBdr>
        <w:top w:val="none" w:sz="0" w:space="0" w:color="auto"/>
        <w:left w:val="none" w:sz="0" w:space="0" w:color="auto"/>
        <w:bottom w:val="none" w:sz="0" w:space="0" w:color="auto"/>
        <w:right w:val="none" w:sz="0" w:space="0" w:color="auto"/>
      </w:divBdr>
    </w:div>
    <w:div w:id="1822114999">
      <w:bodyDiv w:val="1"/>
      <w:marLeft w:val="0"/>
      <w:marRight w:val="0"/>
      <w:marTop w:val="0"/>
      <w:marBottom w:val="0"/>
      <w:divBdr>
        <w:top w:val="none" w:sz="0" w:space="0" w:color="auto"/>
        <w:left w:val="none" w:sz="0" w:space="0" w:color="auto"/>
        <w:bottom w:val="none" w:sz="0" w:space="0" w:color="auto"/>
        <w:right w:val="none" w:sz="0" w:space="0" w:color="auto"/>
      </w:divBdr>
    </w:div>
    <w:div w:id="1886722551">
      <w:bodyDiv w:val="1"/>
      <w:marLeft w:val="0"/>
      <w:marRight w:val="0"/>
      <w:marTop w:val="0"/>
      <w:marBottom w:val="0"/>
      <w:divBdr>
        <w:top w:val="none" w:sz="0" w:space="0" w:color="auto"/>
        <w:left w:val="none" w:sz="0" w:space="0" w:color="auto"/>
        <w:bottom w:val="none" w:sz="0" w:space="0" w:color="auto"/>
        <w:right w:val="none" w:sz="0" w:space="0" w:color="auto"/>
      </w:divBdr>
      <w:divsChild>
        <w:div w:id="640965711">
          <w:marLeft w:val="0"/>
          <w:marRight w:val="0"/>
          <w:marTop w:val="0"/>
          <w:marBottom w:val="0"/>
          <w:divBdr>
            <w:top w:val="none" w:sz="0" w:space="0" w:color="auto"/>
            <w:left w:val="none" w:sz="0" w:space="0" w:color="auto"/>
            <w:bottom w:val="none" w:sz="0" w:space="0" w:color="auto"/>
            <w:right w:val="none" w:sz="0" w:space="0" w:color="auto"/>
          </w:divBdr>
        </w:div>
      </w:divsChild>
    </w:div>
    <w:div w:id="1889756674">
      <w:bodyDiv w:val="1"/>
      <w:marLeft w:val="0"/>
      <w:marRight w:val="0"/>
      <w:marTop w:val="0"/>
      <w:marBottom w:val="0"/>
      <w:divBdr>
        <w:top w:val="none" w:sz="0" w:space="0" w:color="auto"/>
        <w:left w:val="none" w:sz="0" w:space="0" w:color="auto"/>
        <w:bottom w:val="none" w:sz="0" w:space="0" w:color="auto"/>
        <w:right w:val="none" w:sz="0" w:space="0" w:color="auto"/>
      </w:divBdr>
      <w:divsChild>
        <w:div w:id="689181927">
          <w:marLeft w:val="0"/>
          <w:marRight w:val="0"/>
          <w:marTop w:val="0"/>
          <w:marBottom w:val="0"/>
          <w:divBdr>
            <w:top w:val="none" w:sz="0" w:space="0" w:color="auto"/>
            <w:left w:val="none" w:sz="0" w:space="0" w:color="auto"/>
            <w:bottom w:val="none" w:sz="0" w:space="0" w:color="auto"/>
            <w:right w:val="none" w:sz="0" w:space="0" w:color="auto"/>
          </w:divBdr>
          <w:divsChild>
            <w:div w:id="115412657">
              <w:marLeft w:val="0"/>
              <w:marRight w:val="0"/>
              <w:marTop w:val="0"/>
              <w:marBottom w:val="0"/>
              <w:divBdr>
                <w:top w:val="none" w:sz="0" w:space="0" w:color="auto"/>
                <w:left w:val="none" w:sz="0" w:space="0" w:color="auto"/>
                <w:bottom w:val="none" w:sz="0" w:space="0" w:color="auto"/>
                <w:right w:val="none" w:sz="0" w:space="0" w:color="auto"/>
              </w:divBdr>
            </w:div>
            <w:div w:id="771241274">
              <w:marLeft w:val="0"/>
              <w:marRight w:val="0"/>
              <w:marTop w:val="0"/>
              <w:marBottom w:val="0"/>
              <w:divBdr>
                <w:top w:val="none" w:sz="0" w:space="0" w:color="auto"/>
                <w:left w:val="none" w:sz="0" w:space="0" w:color="auto"/>
                <w:bottom w:val="none" w:sz="0" w:space="0" w:color="auto"/>
                <w:right w:val="none" w:sz="0" w:space="0" w:color="auto"/>
              </w:divBdr>
            </w:div>
            <w:div w:id="10385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3267">
      <w:bodyDiv w:val="1"/>
      <w:marLeft w:val="0"/>
      <w:marRight w:val="0"/>
      <w:marTop w:val="0"/>
      <w:marBottom w:val="0"/>
      <w:divBdr>
        <w:top w:val="none" w:sz="0" w:space="0" w:color="auto"/>
        <w:left w:val="none" w:sz="0" w:space="0" w:color="auto"/>
        <w:bottom w:val="none" w:sz="0" w:space="0" w:color="auto"/>
        <w:right w:val="none" w:sz="0" w:space="0" w:color="auto"/>
      </w:divBdr>
    </w:div>
    <w:div w:id="1917938880">
      <w:bodyDiv w:val="1"/>
      <w:marLeft w:val="0"/>
      <w:marRight w:val="0"/>
      <w:marTop w:val="0"/>
      <w:marBottom w:val="0"/>
      <w:divBdr>
        <w:top w:val="none" w:sz="0" w:space="0" w:color="auto"/>
        <w:left w:val="none" w:sz="0" w:space="0" w:color="auto"/>
        <w:bottom w:val="none" w:sz="0" w:space="0" w:color="auto"/>
        <w:right w:val="none" w:sz="0" w:space="0" w:color="auto"/>
      </w:divBdr>
    </w:div>
    <w:div w:id="1938128490">
      <w:bodyDiv w:val="1"/>
      <w:marLeft w:val="0"/>
      <w:marRight w:val="0"/>
      <w:marTop w:val="0"/>
      <w:marBottom w:val="0"/>
      <w:divBdr>
        <w:top w:val="none" w:sz="0" w:space="0" w:color="auto"/>
        <w:left w:val="none" w:sz="0" w:space="0" w:color="auto"/>
        <w:bottom w:val="none" w:sz="0" w:space="0" w:color="auto"/>
        <w:right w:val="none" w:sz="0" w:space="0" w:color="auto"/>
      </w:divBdr>
    </w:div>
    <w:div w:id="1940402943">
      <w:bodyDiv w:val="1"/>
      <w:marLeft w:val="0"/>
      <w:marRight w:val="0"/>
      <w:marTop w:val="0"/>
      <w:marBottom w:val="0"/>
      <w:divBdr>
        <w:top w:val="none" w:sz="0" w:space="0" w:color="auto"/>
        <w:left w:val="none" w:sz="0" w:space="0" w:color="auto"/>
        <w:bottom w:val="none" w:sz="0" w:space="0" w:color="auto"/>
        <w:right w:val="none" w:sz="0" w:space="0" w:color="auto"/>
      </w:divBdr>
    </w:div>
    <w:div w:id="1942568403">
      <w:bodyDiv w:val="1"/>
      <w:marLeft w:val="0"/>
      <w:marRight w:val="0"/>
      <w:marTop w:val="0"/>
      <w:marBottom w:val="0"/>
      <w:divBdr>
        <w:top w:val="none" w:sz="0" w:space="0" w:color="auto"/>
        <w:left w:val="none" w:sz="0" w:space="0" w:color="auto"/>
        <w:bottom w:val="none" w:sz="0" w:space="0" w:color="auto"/>
        <w:right w:val="none" w:sz="0" w:space="0" w:color="auto"/>
      </w:divBdr>
      <w:divsChild>
        <w:div w:id="563176434">
          <w:marLeft w:val="0"/>
          <w:marRight w:val="0"/>
          <w:marTop w:val="0"/>
          <w:marBottom w:val="0"/>
          <w:divBdr>
            <w:top w:val="none" w:sz="0" w:space="0" w:color="auto"/>
            <w:left w:val="none" w:sz="0" w:space="0" w:color="auto"/>
            <w:bottom w:val="none" w:sz="0" w:space="0" w:color="auto"/>
            <w:right w:val="none" w:sz="0" w:space="0" w:color="auto"/>
          </w:divBdr>
          <w:divsChild>
            <w:div w:id="139081289">
              <w:marLeft w:val="0"/>
              <w:marRight w:val="0"/>
              <w:marTop w:val="0"/>
              <w:marBottom w:val="0"/>
              <w:divBdr>
                <w:top w:val="none" w:sz="0" w:space="0" w:color="auto"/>
                <w:left w:val="none" w:sz="0" w:space="0" w:color="auto"/>
                <w:bottom w:val="none" w:sz="0" w:space="0" w:color="auto"/>
                <w:right w:val="none" w:sz="0" w:space="0" w:color="auto"/>
              </w:divBdr>
            </w:div>
            <w:div w:id="2463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32159">
      <w:bodyDiv w:val="1"/>
      <w:marLeft w:val="0"/>
      <w:marRight w:val="0"/>
      <w:marTop w:val="0"/>
      <w:marBottom w:val="0"/>
      <w:divBdr>
        <w:top w:val="none" w:sz="0" w:space="0" w:color="auto"/>
        <w:left w:val="none" w:sz="0" w:space="0" w:color="auto"/>
        <w:bottom w:val="none" w:sz="0" w:space="0" w:color="auto"/>
        <w:right w:val="none" w:sz="0" w:space="0" w:color="auto"/>
      </w:divBdr>
    </w:div>
    <w:div w:id="1963345566">
      <w:bodyDiv w:val="1"/>
      <w:marLeft w:val="0"/>
      <w:marRight w:val="0"/>
      <w:marTop w:val="0"/>
      <w:marBottom w:val="0"/>
      <w:divBdr>
        <w:top w:val="none" w:sz="0" w:space="0" w:color="auto"/>
        <w:left w:val="none" w:sz="0" w:space="0" w:color="auto"/>
        <w:bottom w:val="none" w:sz="0" w:space="0" w:color="auto"/>
        <w:right w:val="none" w:sz="0" w:space="0" w:color="auto"/>
      </w:divBdr>
    </w:div>
    <w:div w:id="1978677080">
      <w:bodyDiv w:val="1"/>
      <w:marLeft w:val="0"/>
      <w:marRight w:val="0"/>
      <w:marTop w:val="0"/>
      <w:marBottom w:val="0"/>
      <w:divBdr>
        <w:top w:val="none" w:sz="0" w:space="0" w:color="auto"/>
        <w:left w:val="none" w:sz="0" w:space="0" w:color="auto"/>
        <w:bottom w:val="none" w:sz="0" w:space="0" w:color="auto"/>
        <w:right w:val="none" w:sz="0" w:space="0" w:color="auto"/>
      </w:divBdr>
    </w:div>
    <w:div w:id="1991051856">
      <w:bodyDiv w:val="1"/>
      <w:marLeft w:val="0"/>
      <w:marRight w:val="0"/>
      <w:marTop w:val="0"/>
      <w:marBottom w:val="0"/>
      <w:divBdr>
        <w:top w:val="none" w:sz="0" w:space="0" w:color="auto"/>
        <w:left w:val="none" w:sz="0" w:space="0" w:color="auto"/>
        <w:bottom w:val="none" w:sz="0" w:space="0" w:color="auto"/>
        <w:right w:val="none" w:sz="0" w:space="0" w:color="auto"/>
      </w:divBdr>
    </w:div>
    <w:div w:id="2039578582">
      <w:bodyDiv w:val="1"/>
      <w:marLeft w:val="0"/>
      <w:marRight w:val="0"/>
      <w:marTop w:val="0"/>
      <w:marBottom w:val="0"/>
      <w:divBdr>
        <w:top w:val="none" w:sz="0" w:space="0" w:color="auto"/>
        <w:left w:val="none" w:sz="0" w:space="0" w:color="auto"/>
        <w:bottom w:val="none" w:sz="0" w:space="0" w:color="auto"/>
        <w:right w:val="none" w:sz="0" w:space="0" w:color="auto"/>
      </w:divBdr>
    </w:div>
    <w:div w:id="2050564210">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81440235">
      <w:bodyDiv w:val="1"/>
      <w:marLeft w:val="0"/>
      <w:marRight w:val="0"/>
      <w:marTop w:val="0"/>
      <w:marBottom w:val="0"/>
      <w:divBdr>
        <w:top w:val="none" w:sz="0" w:space="0" w:color="auto"/>
        <w:left w:val="none" w:sz="0" w:space="0" w:color="auto"/>
        <w:bottom w:val="none" w:sz="0" w:space="0" w:color="auto"/>
        <w:right w:val="none" w:sz="0" w:space="0" w:color="auto"/>
      </w:divBdr>
    </w:div>
    <w:div w:id="2091585171">
      <w:bodyDiv w:val="1"/>
      <w:marLeft w:val="0"/>
      <w:marRight w:val="0"/>
      <w:marTop w:val="0"/>
      <w:marBottom w:val="0"/>
      <w:divBdr>
        <w:top w:val="none" w:sz="0" w:space="0" w:color="auto"/>
        <w:left w:val="none" w:sz="0" w:space="0" w:color="auto"/>
        <w:bottom w:val="none" w:sz="0" w:space="0" w:color="auto"/>
        <w:right w:val="none" w:sz="0" w:space="0" w:color="auto"/>
      </w:divBdr>
    </w:div>
    <w:div w:id="2128966695">
      <w:bodyDiv w:val="1"/>
      <w:marLeft w:val="0"/>
      <w:marRight w:val="0"/>
      <w:marTop w:val="0"/>
      <w:marBottom w:val="0"/>
      <w:divBdr>
        <w:top w:val="none" w:sz="0" w:space="0" w:color="auto"/>
        <w:left w:val="none" w:sz="0" w:space="0" w:color="auto"/>
        <w:bottom w:val="none" w:sz="0" w:space="0" w:color="auto"/>
        <w:right w:val="none" w:sz="0" w:space="0" w:color="auto"/>
      </w:divBdr>
    </w:div>
    <w:div w:id="21298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70FF4-4CD4-496E-BA3A-5E4FF935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863</Words>
  <Characters>4924</Characters>
  <Application>Microsoft Office Word</Application>
  <DocSecurity>0</DocSecurity>
  <Lines>41</Lines>
  <Paragraphs>11</Paragraphs>
  <ScaleCrop>false</ScaleCrop>
  <Company>TWSE 臺灣證券交易所</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葉織慧</dc:creator>
  <cp:keywords/>
  <dc:description/>
  <cp:lastModifiedBy>黃筱筑</cp:lastModifiedBy>
  <cp:revision>2</cp:revision>
  <cp:lastPrinted>2026-03-04T01:37:00Z</cp:lastPrinted>
  <dcterms:created xsi:type="dcterms:W3CDTF">2026-04-13T02:43:00Z</dcterms:created>
  <dcterms:modified xsi:type="dcterms:W3CDTF">2026-04-13T02:43:00Z</dcterms:modified>
</cp:coreProperties>
</file>