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9F5" w:rsidRPr="00886F7F" w:rsidRDefault="000549F5" w:rsidP="001230E8">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附表四、申請取得發行認購（售）權證資格之認可檢查表</w:t>
      </w:r>
    </w:p>
    <w:p w:rsidR="000549F5" w:rsidRPr="00886F7F" w:rsidRDefault="000549F5" w:rsidP="001230E8">
      <w:p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申請機構名稱：</w:t>
      </w:r>
    </w:p>
    <w:p w:rsidR="000549F5" w:rsidRPr="00886F7F" w:rsidRDefault="000549F5" w:rsidP="001230E8">
      <w:p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承辦人：</w:t>
      </w:r>
      <w:r w:rsidRPr="00886F7F">
        <w:rPr>
          <w:rFonts w:ascii="標楷體" w:eastAsia="標楷體" w:hAnsi="標楷體"/>
          <w:color w:val="000000"/>
          <w:szCs w:val="24"/>
        </w:rPr>
        <w:t xml:space="preserve">                                </w:t>
      </w:r>
      <w:r w:rsidRPr="00886F7F">
        <w:rPr>
          <w:rFonts w:ascii="標楷體" w:eastAsia="標楷體" w:hAnsi="標楷體" w:hint="eastAsia"/>
          <w:color w:val="000000"/>
          <w:szCs w:val="24"/>
        </w:rPr>
        <w:t>填表日期：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6"/>
        <w:gridCol w:w="5185"/>
        <w:gridCol w:w="1314"/>
        <w:gridCol w:w="1561"/>
      </w:tblGrid>
      <w:tr w:rsidR="000549F5" w:rsidRPr="00886F7F" w:rsidTr="00BC0DB3">
        <w:tc>
          <w:tcPr>
            <w:tcW w:w="296" w:type="dxa"/>
          </w:tcPr>
          <w:p w:rsidR="000549F5" w:rsidRPr="00886F7F" w:rsidRDefault="000549F5" w:rsidP="001230E8">
            <w:p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項目</w:t>
            </w:r>
          </w:p>
        </w:tc>
        <w:tc>
          <w:tcPr>
            <w:tcW w:w="5189" w:type="dxa"/>
          </w:tcPr>
          <w:p w:rsidR="000549F5" w:rsidRPr="00886F7F" w:rsidRDefault="000549F5" w:rsidP="001230E8">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審查內容</w:t>
            </w:r>
          </w:p>
        </w:tc>
        <w:tc>
          <w:tcPr>
            <w:tcW w:w="1315" w:type="dxa"/>
          </w:tcPr>
          <w:p w:rsidR="000549F5" w:rsidRPr="00886F7F" w:rsidRDefault="000549F5" w:rsidP="001230E8">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發行人填報</w:t>
            </w:r>
          </w:p>
        </w:tc>
        <w:tc>
          <w:tcPr>
            <w:tcW w:w="1562" w:type="dxa"/>
          </w:tcPr>
          <w:p w:rsidR="000549F5" w:rsidRPr="00886F7F" w:rsidRDefault="000549F5" w:rsidP="001230E8">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交易所審查意見</w:t>
            </w:r>
          </w:p>
        </w:tc>
      </w:tr>
      <w:tr w:rsidR="000549F5" w:rsidRPr="00886F7F" w:rsidTr="00BC0DB3">
        <w:tc>
          <w:tcPr>
            <w:tcW w:w="296" w:type="dxa"/>
          </w:tcPr>
          <w:p w:rsidR="000549F5" w:rsidRPr="00886F7F" w:rsidRDefault="000549F5" w:rsidP="001230E8">
            <w:pPr>
              <w:spacing w:line="400" w:lineRule="atLeast"/>
              <w:rPr>
                <w:rFonts w:ascii="標楷體" w:eastAsia="標楷體" w:hAnsi="標楷體"/>
                <w:color w:val="000000"/>
                <w:szCs w:val="24"/>
                <w:u w:val="single"/>
              </w:rPr>
            </w:pPr>
            <w:r w:rsidRPr="00886F7F">
              <w:rPr>
                <w:rFonts w:ascii="標楷體" w:eastAsia="標楷體" w:hAnsi="標楷體" w:hint="eastAsia"/>
                <w:color w:val="000000"/>
                <w:szCs w:val="24"/>
                <w:u w:val="single"/>
              </w:rPr>
              <w:t>發行處理</w:t>
            </w:r>
          </w:p>
          <w:p w:rsidR="000549F5" w:rsidRPr="00886F7F" w:rsidRDefault="000549F5" w:rsidP="001230E8">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準則第</w:t>
            </w:r>
          </w:p>
          <w:p w:rsidR="000549F5" w:rsidRPr="00886F7F" w:rsidRDefault="000549F5" w:rsidP="001230E8">
            <w:pPr>
              <w:spacing w:line="400" w:lineRule="atLeast"/>
              <w:rPr>
                <w:rFonts w:ascii="標楷體" w:eastAsia="標楷體" w:hAnsi="標楷體"/>
                <w:color w:val="000000"/>
                <w:szCs w:val="24"/>
              </w:rPr>
            </w:pPr>
            <w:r w:rsidRPr="00886F7F">
              <w:rPr>
                <w:rFonts w:ascii="標楷體" w:eastAsia="標楷體" w:hAnsi="標楷體" w:hint="eastAsia"/>
                <w:color w:val="000000"/>
                <w:szCs w:val="24"/>
                <w:u w:val="single"/>
              </w:rPr>
              <w:t>三條及第五</w:t>
            </w:r>
          </w:p>
          <w:p w:rsidR="000549F5" w:rsidRPr="00886F7F" w:rsidRDefault="000549F5" w:rsidP="001230E8">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條</w:t>
            </w:r>
          </w:p>
          <w:p w:rsidR="000549F5" w:rsidRPr="00886F7F" w:rsidRDefault="000549F5" w:rsidP="001230E8">
            <w:pPr>
              <w:spacing w:line="400" w:lineRule="atLeast"/>
              <w:rPr>
                <w:rFonts w:ascii="標楷體" w:eastAsia="標楷體" w:hAnsi="標楷體"/>
                <w:color w:val="000000"/>
                <w:szCs w:val="24"/>
                <w:u w:val="single"/>
              </w:rPr>
            </w:pPr>
            <w:r w:rsidRPr="00886F7F">
              <w:rPr>
                <w:rFonts w:ascii="標楷體" w:eastAsia="標楷體" w:hAnsi="標楷體" w:hint="eastAsia"/>
                <w:color w:val="000000"/>
                <w:szCs w:val="24"/>
                <w:u w:val="single"/>
              </w:rPr>
              <w:t>、審查準則第</w:t>
            </w:r>
          </w:p>
          <w:p w:rsidR="000549F5" w:rsidRPr="00886F7F" w:rsidRDefault="000549F5" w:rsidP="001230E8">
            <w:pPr>
              <w:spacing w:line="400" w:lineRule="atLeast"/>
              <w:rPr>
                <w:rFonts w:ascii="標楷體" w:eastAsia="標楷體" w:hAnsi="標楷體"/>
                <w:dstrike/>
                <w:color w:val="000000"/>
                <w:szCs w:val="24"/>
              </w:rPr>
            </w:pPr>
            <w:r w:rsidRPr="00886F7F">
              <w:rPr>
                <w:rFonts w:ascii="標楷體" w:eastAsia="標楷體" w:hAnsi="標楷體" w:hint="eastAsia"/>
                <w:color w:val="000000"/>
                <w:szCs w:val="24"/>
                <w:u w:val="single"/>
              </w:rPr>
              <w:t>六條</w:t>
            </w:r>
          </w:p>
        </w:tc>
        <w:tc>
          <w:tcPr>
            <w:tcW w:w="5189" w:type="dxa"/>
          </w:tcPr>
          <w:p w:rsidR="000549F5" w:rsidRPr="00886F7F" w:rsidRDefault="00111E96" w:rsidP="001230E8">
            <w:pPr>
              <w:spacing w:line="400" w:lineRule="atLeast"/>
              <w:ind w:left="480" w:hanging="480"/>
              <w:jc w:val="both"/>
              <w:rPr>
                <w:rFonts w:ascii="標楷體" w:eastAsia="標楷體" w:hAnsi="標楷體"/>
                <w:color w:val="000000"/>
                <w:szCs w:val="24"/>
              </w:rPr>
            </w:pPr>
            <w:r>
              <w:rPr>
                <w:rFonts w:ascii="標楷體" w:eastAsia="標楷體" w:hAnsi="標楷體" w:hint="eastAsia"/>
                <w:color w:val="000000"/>
                <w:szCs w:val="24"/>
              </w:rPr>
              <w:t>一、</w:t>
            </w:r>
            <w:r w:rsidR="000549F5" w:rsidRPr="00886F7F">
              <w:rPr>
                <w:rFonts w:ascii="標楷體" w:eastAsia="標楷體" w:hAnsi="標楷體" w:hint="eastAsia"/>
                <w:color w:val="000000"/>
                <w:szCs w:val="24"/>
              </w:rPr>
              <w:t>申請資格</w:t>
            </w:r>
          </w:p>
          <w:p w:rsidR="000549F5" w:rsidRPr="00886F7F" w:rsidRDefault="000549F5" w:rsidP="001230E8">
            <w:pPr>
              <w:spacing w:line="400" w:lineRule="atLeast"/>
              <w:ind w:left="725" w:hanging="240"/>
              <w:jc w:val="both"/>
              <w:rPr>
                <w:rFonts w:ascii="標楷體" w:eastAsia="標楷體" w:hAnsi="標楷體"/>
                <w:color w:val="000000"/>
                <w:szCs w:val="24"/>
              </w:rPr>
            </w:pPr>
            <w:r w:rsidRPr="00886F7F">
              <w:rPr>
                <w:rFonts w:ascii="標楷體" w:eastAsia="標楷體" w:hAnsi="標楷體" w:hint="eastAsia"/>
                <w:color w:val="000000"/>
                <w:szCs w:val="24"/>
              </w:rPr>
              <w:t>1.同時經營證券承銷、自行買賣及</w:t>
            </w:r>
            <w:proofErr w:type="gramStart"/>
            <w:r w:rsidRPr="00886F7F">
              <w:rPr>
                <w:rFonts w:ascii="標楷體" w:eastAsia="標楷體" w:hAnsi="標楷體" w:hint="eastAsia"/>
                <w:color w:val="000000"/>
                <w:szCs w:val="24"/>
              </w:rPr>
              <w:t>行紀或</w:t>
            </w:r>
            <w:proofErr w:type="gramEnd"/>
            <w:r w:rsidRPr="00886F7F">
              <w:rPr>
                <w:rFonts w:ascii="標楷體" w:eastAsia="標楷體" w:hAnsi="標楷體" w:hint="eastAsia"/>
                <w:color w:val="000000"/>
                <w:szCs w:val="24"/>
              </w:rPr>
              <w:t>居間等三種業務者，得申請認購（售）權證發行人資格之認可，其為外國機構者，應檢具董事會同意函或履約保證切結書後，由在中華民國境內之分支機構或直接或間接持股百分之百之子公司在中華民國境內設立之分支機構以該外國機構名義提出申請，其子公司及在中華民國境內之分支機構所營事業並應符合上開規定。</w:t>
            </w:r>
          </w:p>
          <w:p w:rsidR="000549F5" w:rsidRPr="00886F7F" w:rsidRDefault="000549F5" w:rsidP="001230E8">
            <w:pPr>
              <w:spacing w:line="400" w:lineRule="atLeast"/>
              <w:ind w:left="725" w:hanging="240"/>
              <w:jc w:val="both"/>
              <w:rPr>
                <w:rFonts w:ascii="標楷體" w:eastAsia="標楷體" w:hAnsi="標楷體"/>
                <w:color w:val="000000"/>
                <w:szCs w:val="24"/>
              </w:rPr>
            </w:pPr>
            <w:r w:rsidRPr="00886F7F">
              <w:rPr>
                <w:rFonts w:ascii="標楷體" w:eastAsia="標楷體" w:hAnsi="標楷體" w:hint="eastAsia"/>
                <w:color w:val="000000"/>
                <w:szCs w:val="24"/>
              </w:rPr>
              <w:t>2.發行人委託外國機構擔任風險管理機構</w:t>
            </w:r>
            <w:r w:rsidRPr="00886F7F">
              <w:rPr>
                <w:rFonts w:ascii="標楷體" w:eastAsia="標楷體" w:hAnsi="標楷體" w:hint="eastAsia"/>
                <w:color w:val="000000"/>
                <w:szCs w:val="24"/>
                <w:u w:val="single"/>
              </w:rPr>
              <w:t>或外國發行人</w:t>
            </w:r>
            <w:r w:rsidRPr="00886F7F">
              <w:rPr>
                <w:rFonts w:ascii="標楷體" w:eastAsia="標楷體" w:hAnsi="標楷體" w:hint="eastAsia"/>
                <w:color w:val="000000"/>
                <w:szCs w:val="24"/>
              </w:rPr>
              <w:t>，應先取具外匯業務主管機關同意函。</w:t>
            </w:r>
          </w:p>
          <w:p w:rsidR="000549F5" w:rsidRPr="00886F7F" w:rsidRDefault="000549F5" w:rsidP="001230E8">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u w:val="single"/>
              </w:rPr>
              <w:t>本國</w:t>
            </w:r>
            <w:r w:rsidRPr="00886F7F">
              <w:rPr>
                <w:rFonts w:ascii="標楷體" w:eastAsia="標楷體" w:hAnsi="標楷體" w:hint="eastAsia"/>
                <w:color w:val="000000"/>
                <w:szCs w:val="24"/>
              </w:rPr>
              <w:t>發行人應</w:t>
            </w:r>
            <w:r w:rsidRPr="00886F7F">
              <w:rPr>
                <w:rFonts w:ascii="標楷體" w:eastAsia="標楷體" w:hAnsi="標楷體" w:hint="eastAsia"/>
                <w:color w:val="000000"/>
                <w:szCs w:val="24"/>
                <w:u w:val="single"/>
              </w:rPr>
              <w:t>具備</w:t>
            </w:r>
            <w:r w:rsidRPr="00886F7F">
              <w:rPr>
                <w:rFonts w:ascii="標楷體" w:eastAsia="標楷體" w:hAnsi="標楷體" w:hint="eastAsia"/>
                <w:color w:val="000000"/>
                <w:szCs w:val="24"/>
              </w:rPr>
              <w:t>下列</w:t>
            </w:r>
            <w:r w:rsidRPr="00886F7F">
              <w:rPr>
                <w:rFonts w:ascii="標楷體" w:eastAsia="標楷體" w:hAnsi="標楷體" w:hint="eastAsia"/>
                <w:color w:val="000000"/>
                <w:szCs w:val="24"/>
                <w:u w:val="single"/>
              </w:rPr>
              <w:t>資格條件。但不符第3款至第7款之條件，而其情事已具體改善，並經主管機關認可者，不在此限</w:t>
            </w:r>
            <w:r w:rsidRPr="00886F7F">
              <w:rPr>
                <w:rFonts w:ascii="標楷體" w:eastAsia="標楷體" w:hAnsi="標楷體" w:hint="eastAsia"/>
                <w:color w:val="000000"/>
                <w:szCs w:val="24"/>
              </w:rPr>
              <w:t>：</w:t>
            </w:r>
          </w:p>
          <w:p w:rsidR="000549F5" w:rsidRPr="00886F7F" w:rsidRDefault="000549F5" w:rsidP="001230E8">
            <w:pPr>
              <w:numPr>
                <w:ilvl w:val="0"/>
                <w:numId w:val="2"/>
              </w:numPr>
              <w:spacing w:line="400" w:lineRule="atLeast"/>
              <w:jc w:val="both"/>
              <w:rPr>
                <w:rFonts w:ascii="標楷體" w:eastAsia="標楷體" w:hAnsi="標楷體"/>
                <w:color w:val="000000"/>
                <w:szCs w:val="24"/>
              </w:rPr>
            </w:pPr>
            <w:r w:rsidRPr="00886F7F">
              <w:rPr>
                <w:rFonts w:ascii="標楷體" w:eastAsia="標楷體" w:hAnsi="標楷體" w:cs="細明體" w:hint="eastAsia"/>
                <w:color w:val="000000"/>
                <w:kern w:val="0"/>
                <w:szCs w:val="24"/>
              </w:rPr>
              <w:t>最近期經會計師查核簽證之財務報告</w:t>
            </w:r>
            <w:r w:rsidRPr="00886F7F">
              <w:rPr>
                <w:rFonts w:ascii="標楷體" w:eastAsia="標楷體" w:hAnsi="標楷體" w:cs="細明體" w:hint="eastAsia"/>
                <w:color w:val="000000"/>
                <w:kern w:val="0"/>
                <w:szCs w:val="24"/>
                <w:u w:val="single"/>
              </w:rPr>
              <w:t>淨值</w:t>
            </w:r>
            <w:r w:rsidRPr="00886F7F">
              <w:rPr>
                <w:rFonts w:ascii="標楷體" w:eastAsia="標楷體" w:hAnsi="標楷體" w:cs="細明體" w:hint="eastAsia"/>
                <w:color w:val="000000"/>
                <w:kern w:val="0"/>
                <w:szCs w:val="24"/>
              </w:rPr>
              <w:t>達新臺幣三十億元以上</w:t>
            </w:r>
            <w:r w:rsidRPr="00886F7F">
              <w:rPr>
                <w:rFonts w:ascii="標楷體" w:eastAsia="標楷體" w:hAnsi="標楷體" w:cs="細明體" w:hint="eastAsia"/>
                <w:color w:val="000000"/>
                <w:kern w:val="0"/>
                <w:szCs w:val="24"/>
                <w:u w:val="single"/>
              </w:rPr>
              <w:t>，且不低於實收資本額；財務狀況符合證券商管理規則之規定。</w:t>
            </w:r>
          </w:p>
          <w:p w:rsidR="000549F5" w:rsidRPr="00886F7F" w:rsidRDefault="000549F5" w:rsidP="001230E8">
            <w:pPr>
              <w:numPr>
                <w:ilvl w:val="0"/>
                <w:numId w:val="2"/>
              </w:numPr>
              <w:spacing w:line="400" w:lineRule="atLeast"/>
              <w:jc w:val="both"/>
              <w:rPr>
                <w:rFonts w:ascii="標楷體" w:eastAsia="標楷體" w:hAnsi="標楷體"/>
                <w:color w:val="000000"/>
                <w:szCs w:val="24"/>
                <w:u w:val="single"/>
              </w:rPr>
            </w:pPr>
            <w:r w:rsidRPr="00886F7F">
              <w:rPr>
                <w:rFonts w:ascii="標楷體" w:eastAsia="標楷體" w:hAnsi="標楷體" w:cs="細明體" w:hint="eastAsia"/>
                <w:color w:val="000000"/>
                <w:kern w:val="0"/>
                <w:szCs w:val="24"/>
                <w:u w:val="single"/>
              </w:rPr>
              <w:t>申請日前半年自有資本適足比率未低於百分之二百。</w:t>
            </w:r>
          </w:p>
          <w:p w:rsidR="000549F5" w:rsidRPr="00886F7F" w:rsidRDefault="000549F5" w:rsidP="001230E8">
            <w:pPr>
              <w:numPr>
                <w:ilvl w:val="0"/>
                <w:numId w:val="2"/>
              </w:numPr>
              <w:spacing w:line="400" w:lineRule="atLeast"/>
              <w:jc w:val="both"/>
              <w:rPr>
                <w:rFonts w:ascii="標楷體" w:eastAsia="標楷體" w:hAnsi="標楷體"/>
                <w:color w:val="000000"/>
                <w:szCs w:val="24"/>
              </w:rPr>
            </w:pPr>
            <w:r w:rsidRPr="00886F7F">
              <w:rPr>
                <w:rFonts w:ascii="標楷體" w:eastAsia="標楷體" w:hAnsi="標楷體" w:cs="細明體" w:hint="eastAsia"/>
                <w:color w:val="000000"/>
                <w:kern w:val="0"/>
                <w:szCs w:val="24"/>
                <w:u w:val="single"/>
              </w:rPr>
              <w:t>最近三個月未曾受</w:t>
            </w:r>
            <w:r w:rsidRPr="00886F7F">
              <w:rPr>
                <w:rFonts w:ascii="標楷體" w:eastAsia="標楷體" w:hAnsi="標楷體" w:hint="eastAsia"/>
                <w:color w:val="000000"/>
                <w:szCs w:val="24"/>
                <w:u w:val="single"/>
              </w:rPr>
              <w:t>主管機關</w:t>
            </w:r>
            <w:r w:rsidRPr="00886F7F">
              <w:rPr>
                <w:rFonts w:ascii="標楷體" w:eastAsia="標楷體" w:hAnsi="標楷體" w:cs="細明體" w:hint="eastAsia"/>
                <w:color w:val="000000"/>
                <w:kern w:val="0"/>
                <w:szCs w:val="24"/>
                <w:u w:val="single"/>
              </w:rPr>
              <w:t>依證券交易法第六十六條第一款所為之警告處分。</w:t>
            </w:r>
          </w:p>
          <w:p w:rsidR="000549F5" w:rsidRPr="00886F7F" w:rsidRDefault="000549F5" w:rsidP="001230E8">
            <w:pPr>
              <w:spacing w:line="400" w:lineRule="atLeast"/>
              <w:ind w:leftChars="200" w:left="720" w:hangingChars="100" w:hanging="240"/>
              <w:jc w:val="both"/>
              <w:rPr>
                <w:rFonts w:ascii="標楷體" w:eastAsia="標楷體" w:hAnsi="標楷體"/>
                <w:color w:val="000000"/>
                <w:szCs w:val="24"/>
              </w:rPr>
            </w:pPr>
            <w:r w:rsidRPr="00886F7F">
              <w:rPr>
                <w:rFonts w:ascii="標楷體" w:eastAsia="標楷體" w:hAnsi="標楷體" w:cs="細明體" w:hint="eastAsia"/>
                <w:color w:val="000000"/>
                <w:kern w:val="0"/>
                <w:szCs w:val="24"/>
              </w:rPr>
              <w:t>4.</w:t>
            </w:r>
            <w:r w:rsidRPr="00886F7F">
              <w:rPr>
                <w:rFonts w:ascii="標楷體" w:eastAsia="標楷體" w:hAnsi="標楷體" w:cs="細明體" w:hint="eastAsia"/>
                <w:color w:val="000000"/>
                <w:kern w:val="0"/>
                <w:szCs w:val="24"/>
                <w:u w:val="single"/>
              </w:rPr>
              <w:t>最近半年未曾受</w:t>
            </w:r>
            <w:r w:rsidRPr="00886F7F">
              <w:rPr>
                <w:rFonts w:ascii="標楷體" w:eastAsia="標楷體" w:hAnsi="標楷體" w:hint="eastAsia"/>
                <w:color w:val="000000"/>
                <w:szCs w:val="24"/>
                <w:u w:val="single"/>
              </w:rPr>
              <w:t>主管機關</w:t>
            </w:r>
            <w:r w:rsidRPr="00886F7F">
              <w:rPr>
                <w:rFonts w:ascii="標楷體" w:eastAsia="標楷體" w:hAnsi="標楷體" w:cs="細明體" w:hint="eastAsia"/>
                <w:color w:val="000000"/>
                <w:kern w:val="0"/>
                <w:szCs w:val="24"/>
                <w:u w:val="single"/>
              </w:rPr>
              <w:t>命令該發行人解除其董事、監察人或經理人職務處分，或撤換其負責人或其他有關人員之處分。</w:t>
            </w:r>
          </w:p>
          <w:p w:rsidR="000549F5" w:rsidRPr="00886F7F" w:rsidRDefault="000549F5" w:rsidP="001230E8">
            <w:pPr>
              <w:spacing w:line="400" w:lineRule="atLeast"/>
              <w:ind w:leftChars="200" w:left="720" w:hangingChars="100" w:hanging="240"/>
              <w:jc w:val="both"/>
              <w:rPr>
                <w:rFonts w:ascii="標楷體" w:eastAsia="標楷體" w:hAnsi="標楷體"/>
                <w:color w:val="000000"/>
                <w:szCs w:val="24"/>
              </w:rPr>
            </w:pPr>
            <w:r w:rsidRPr="00886F7F">
              <w:rPr>
                <w:rFonts w:ascii="標楷體" w:eastAsia="標楷體" w:hAnsi="標楷體" w:hint="eastAsia"/>
                <w:color w:val="000000"/>
                <w:szCs w:val="24"/>
              </w:rPr>
              <w:t>5.</w:t>
            </w:r>
            <w:r w:rsidRPr="00886F7F">
              <w:rPr>
                <w:rFonts w:ascii="標楷體" w:eastAsia="標楷體" w:hAnsi="標楷體" w:cs="細明體" w:hint="eastAsia"/>
                <w:color w:val="000000"/>
                <w:kern w:val="0"/>
                <w:szCs w:val="24"/>
                <w:u w:val="single"/>
              </w:rPr>
              <w:t>最近一年未曾受</w:t>
            </w:r>
            <w:r w:rsidRPr="00886F7F">
              <w:rPr>
                <w:rFonts w:ascii="標楷體" w:eastAsia="標楷體" w:hAnsi="標楷體" w:hint="eastAsia"/>
                <w:color w:val="000000"/>
                <w:szCs w:val="24"/>
                <w:u w:val="single"/>
              </w:rPr>
              <w:t>主管機關</w:t>
            </w:r>
            <w:r w:rsidRPr="00886F7F">
              <w:rPr>
                <w:rFonts w:ascii="標楷體" w:eastAsia="標楷體" w:hAnsi="標楷體" w:cs="細明體" w:hint="eastAsia"/>
                <w:color w:val="000000"/>
                <w:kern w:val="0"/>
                <w:szCs w:val="24"/>
                <w:u w:val="single"/>
              </w:rPr>
              <w:t>為停業之處分。</w:t>
            </w:r>
          </w:p>
          <w:p w:rsidR="000549F5" w:rsidRPr="00886F7F" w:rsidRDefault="000549F5" w:rsidP="001230E8">
            <w:pPr>
              <w:spacing w:line="400" w:lineRule="atLeast"/>
              <w:ind w:leftChars="200" w:left="720" w:hangingChars="100" w:hanging="240"/>
              <w:jc w:val="both"/>
              <w:rPr>
                <w:rFonts w:ascii="標楷體" w:eastAsia="標楷體" w:hAnsi="標楷體" w:cs="細明體"/>
                <w:color w:val="000000"/>
                <w:kern w:val="0"/>
                <w:szCs w:val="24"/>
                <w:u w:val="single"/>
              </w:rPr>
            </w:pPr>
            <w:r w:rsidRPr="00886F7F">
              <w:rPr>
                <w:rFonts w:ascii="標楷體" w:eastAsia="標楷體" w:hAnsi="標楷體" w:hint="eastAsia"/>
                <w:color w:val="000000"/>
                <w:szCs w:val="24"/>
              </w:rPr>
              <w:t>6.</w:t>
            </w:r>
            <w:r w:rsidRPr="00886F7F">
              <w:rPr>
                <w:rFonts w:ascii="標楷體" w:eastAsia="標楷體" w:hAnsi="標楷體" w:cs="細明體" w:hint="eastAsia"/>
                <w:color w:val="000000"/>
                <w:kern w:val="0"/>
                <w:szCs w:val="24"/>
                <w:u w:val="single"/>
              </w:rPr>
              <w:t>最近二年未曾受</w:t>
            </w:r>
            <w:r w:rsidRPr="00886F7F">
              <w:rPr>
                <w:rFonts w:ascii="標楷體" w:eastAsia="標楷體" w:hAnsi="標楷體" w:hint="eastAsia"/>
                <w:color w:val="000000"/>
                <w:szCs w:val="24"/>
                <w:u w:val="single"/>
              </w:rPr>
              <w:t>主管機關</w:t>
            </w:r>
            <w:r w:rsidRPr="00886F7F">
              <w:rPr>
                <w:rFonts w:ascii="標楷體" w:eastAsia="標楷體" w:hAnsi="標楷體" w:cs="細明體" w:hint="eastAsia"/>
                <w:color w:val="000000"/>
                <w:kern w:val="0"/>
                <w:szCs w:val="24"/>
                <w:u w:val="single"/>
              </w:rPr>
              <w:t>撤銷或廢止部分營業許可之處分。</w:t>
            </w:r>
          </w:p>
          <w:p w:rsidR="000549F5" w:rsidRPr="00886F7F" w:rsidRDefault="000549F5" w:rsidP="001230E8">
            <w:pPr>
              <w:spacing w:line="400" w:lineRule="atLeast"/>
              <w:ind w:leftChars="200" w:left="720" w:hangingChars="100" w:hanging="240"/>
              <w:jc w:val="both"/>
              <w:rPr>
                <w:rFonts w:ascii="標楷體" w:eastAsia="標楷體" w:hAnsi="標楷體" w:cs="細明體"/>
                <w:color w:val="000000"/>
                <w:kern w:val="0"/>
                <w:szCs w:val="24"/>
                <w:u w:val="single"/>
              </w:rPr>
            </w:pPr>
            <w:r w:rsidRPr="00886F7F">
              <w:rPr>
                <w:rFonts w:ascii="標楷體" w:eastAsia="標楷體" w:hAnsi="標楷體" w:hint="eastAsia"/>
                <w:color w:val="000000"/>
                <w:szCs w:val="24"/>
                <w:u w:val="single"/>
              </w:rPr>
              <w:lastRenderedPageBreak/>
              <w:t>7.</w:t>
            </w:r>
            <w:r w:rsidRPr="00886F7F">
              <w:rPr>
                <w:rFonts w:ascii="標楷體" w:eastAsia="標楷體" w:hAnsi="標楷體" w:cs="細明體" w:hint="eastAsia"/>
                <w:color w:val="000000"/>
                <w:kern w:val="0"/>
                <w:szCs w:val="24"/>
                <w:u w:val="single"/>
              </w:rPr>
              <w:t>最近一年未曾受</w:t>
            </w:r>
            <w:r w:rsidRPr="00040286">
              <w:rPr>
                <w:rFonts w:ascii="標楷體" w:eastAsia="標楷體" w:hAnsi="標楷體" w:hint="eastAsia"/>
                <w:color w:val="000000"/>
                <w:szCs w:val="24"/>
                <w:u w:val="single"/>
              </w:rPr>
              <w:t>證券交易所</w:t>
            </w:r>
            <w:r w:rsidRPr="00886F7F">
              <w:rPr>
                <w:rFonts w:ascii="標楷體" w:eastAsia="標楷體" w:hAnsi="標楷體" w:cs="細明體" w:hint="eastAsia"/>
                <w:color w:val="000000"/>
                <w:kern w:val="0"/>
                <w:szCs w:val="24"/>
                <w:u w:val="single"/>
              </w:rPr>
              <w:t>、櫃檯買賣中心、期交所依其章則為處以停止或限制買賣之處置。</w:t>
            </w:r>
          </w:p>
          <w:p w:rsidR="000549F5" w:rsidRPr="00886F7F" w:rsidRDefault="000549F5" w:rsidP="001230E8">
            <w:pPr>
              <w:widowControl/>
              <w:spacing w:line="400" w:lineRule="atLeast"/>
              <w:ind w:left="480" w:hangingChars="200" w:hanging="480"/>
              <w:jc w:val="both"/>
              <w:rPr>
                <w:rFonts w:ascii="標楷體" w:eastAsia="標楷體" w:hAnsi="標楷體"/>
                <w:color w:val="000000"/>
                <w:szCs w:val="24"/>
                <w:u w:val="single"/>
              </w:rPr>
            </w:pPr>
            <w:r w:rsidRPr="00886F7F">
              <w:rPr>
                <w:rFonts w:ascii="標楷體" w:eastAsia="標楷體" w:hAnsi="標楷體" w:hint="eastAsia"/>
                <w:color w:val="000000"/>
                <w:szCs w:val="24"/>
              </w:rPr>
              <w:t>三、</w:t>
            </w:r>
            <w:r w:rsidRPr="00886F7F">
              <w:rPr>
                <w:rFonts w:ascii="標楷體" w:eastAsia="標楷體" w:hAnsi="標楷體" w:cs="細明體" w:hint="eastAsia"/>
                <w:color w:val="000000"/>
                <w:kern w:val="0"/>
                <w:szCs w:val="24"/>
                <w:u w:val="single"/>
              </w:rPr>
              <w:t>外國發行人</w:t>
            </w:r>
            <w:r w:rsidRPr="00886F7F">
              <w:rPr>
                <w:rFonts w:ascii="標楷體" w:eastAsia="標楷體" w:hAnsi="標楷體" w:hint="eastAsia"/>
                <w:color w:val="000000"/>
                <w:szCs w:val="24"/>
                <w:u w:val="single"/>
              </w:rPr>
              <w:t>應具備下列資格條件：</w:t>
            </w:r>
          </w:p>
          <w:p w:rsidR="000549F5" w:rsidRPr="00886F7F" w:rsidRDefault="000549F5" w:rsidP="001230E8">
            <w:pPr>
              <w:numPr>
                <w:ilvl w:val="0"/>
                <w:numId w:val="3"/>
              </w:numPr>
              <w:spacing w:line="400" w:lineRule="atLeast"/>
              <w:jc w:val="both"/>
              <w:rPr>
                <w:rFonts w:ascii="標楷體" w:eastAsia="標楷體" w:hAnsi="標楷體"/>
                <w:color w:val="000000"/>
                <w:szCs w:val="24"/>
                <w:u w:val="single"/>
              </w:rPr>
            </w:pPr>
            <w:r w:rsidRPr="00886F7F">
              <w:rPr>
                <w:rFonts w:ascii="標楷體" w:eastAsia="標楷體" w:hAnsi="標楷體" w:cs="細明體" w:hint="eastAsia"/>
                <w:color w:val="000000"/>
                <w:kern w:val="0"/>
                <w:szCs w:val="24"/>
                <w:u w:val="single"/>
              </w:rPr>
              <w:t>最近期經會計師查核簽證之財務報告淨值達新臺幣三十億元以上，且不低於實收資本額。</w:t>
            </w:r>
          </w:p>
          <w:p w:rsidR="000549F5" w:rsidRPr="00886F7F" w:rsidRDefault="000549F5" w:rsidP="001230E8">
            <w:pPr>
              <w:numPr>
                <w:ilvl w:val="0"/>
                <w:numId w:val="3"/>
              </w:numPr>
              <w:spacing w:line="400" w:lineRule="atLeast"/>
              <w:jc w:val="both"/>
              <w:rPr>
                <w:rFonts w:ascii="標楷體" w:eastAsia="標楷體" w:hAnsi="標楷體"/>
                <w:color w:val="000000"/>
                <w:szCs w:val="24"/>
                <w:u w:val="single"/>
              </w:rPr>
            </w:pPr>
            <w:r w:rsidRPr="00886F7F">
              <w:rPr>
                <w:rFonts w:ascii="標楷體" w:eastAsia="標楷體" w:hAnsi="標楷體" w:cs="細明體" w:hint="eastAsia"/>
                <w:color w:val="000000"/>
                <w:kern w:val="0"/>
                <w:szCs w:val="24"/>
                <w:u w:val="single"/>
              </w:rPr>
              <w:t>符合</w:t>
            </w:r>
            <w:r w:rsidRPr="00886F7F">
              <w:rPr>
                <w:rFonts w:ascii="標楷體" w:eastAsia="標楷體" w:hAnsi="標楷體" w:hint="eastAsia"/>
                <w:color w:val="000000"/>
                <w:szCs w:val="24"/>
                <w:u w:val="single"/>
              </w:rPr>
              <w:t>經主管機關認可之信用評等機構評定達一定等級以上</w:t>
            </w:r>
            <w:r w:rsidRPr="00886F7F">
              <w:rPr>
                <w:rFonts w:ascii="標楷體" w:eastAsia="標楷體" w:hAnsi="標楷體" w:cs="細明體" w:hint="eastAsia"/>
                <w:color w:val="000000"/>
                <w:kern w:val="0"/>
                <w:szCs w:val="24"/>
                <w:u w:val="single"/>
              </w:rPr>
              <w:t>。</w:t>
            </w:r>
          </w:p>
          <w:p w:rsidR="000549F5" w:rsidRPr="00886F7F" w:rsidRDefault="000549F5" w:rsidP="001230E8">
            <w:pPr>
              <w:numPr>
                <w:ilvl w:val="0"/>
                <w:numId w:val="3"/>
              </w:numPr>
              <w:spacing w:line="400" w:lineRule="atLeast"/>
              <w:jc w:val="both"/>
              <w:rPr>
                <w:rFonts w:ascii="標楷體" w:eastAsia="標楷體" w:hAnsi="標楷體"/>
                <w:color w:val="000000"/>
                <w:szCs w:val="24"/>
                <w:u w:val="single"/>
              </w:rPr>
            </w:pPr>
            <w:r w:rsidRPr="00886F7F">
              <w:rPr>
                <w:rFonts w:ascii="標楷體" w:eastAsia="標楷體" w:hAnsi="標楷體" w:cs="細明體" w:hint="eastAsia"/>
                <w:color w:val="000000"/>
                <w:kern w:val="0"/>
                <w:szCs w:val="24"/>
                <w:u w:val="single"/>
              </w:rPr>
              <w:t>具有國際</w:t>
            </w:r>
            <w:r w:rsidRPr="00886F7F">
              <w:rPr>
                <w:rFonts w:ascii="標楷體" w:eastAsia="標楷體" w:hAnsi="標楷體" w:hint="eastAsia"/>
                <w:color w:val="000000"/>
                <w:szCs w:val="24"/>
                <w:u w:val="single"/>
              </w:rPr>
              <w:t>認購（售）權證業務經驗</w:t>
            </w:r>
            <w:r w:rsidRPr="00886F7F">
              <w:rPr>
                <w:rFonts w:ascii="標楷體" w:eastAsia="標楷體" w:hAnsi="標楷體" w:cs="細明體" w:hint="eastAsia"/>
                <w:color w:val="000000"/>
                <w:kern w:val="0"/>
                <w:szCs w:val="24"/>
                <w:u w:val="single"/>
              </w:rPr>
              <w:t>。</w:t>
            </w:r>
          </w:p>
          <w:p w:rsidR="000549F5" w:rsidRPr="00886F7F" w:rsidRDefault="000549F5" w:rsidP="001230E8">
            <w:pPr>
              <w:spacing w:line="400" w:lineRule="atLeast"/>
              <w:ind w:leftChars="200" w:left="720" w:hangingChars="100" w:hanging="240"/>
              <w:jc w:val="both"/>
              <w:rPr>
                <w:rFonts w:ascii="標楷體" w:eastAsia="標楷體" w:hAnsi="標楷體"/>
                <w:color w:val="000000"/>
                <w:szCs w:val="24"/>
                <w:u w:val="single"/>
              </w:rPr>
            </w:pPr>
            <w:r w:rsidRPr="00886F7F">
              <w:rPr>
                <w:rFonts w:ascii="標楷體" w:eastAsia="標楷體" w:hAnsi="標楷體" w:cs="細明體" w:hint="eastAsia"/>
                <w:color w:val="000000"/>
                <w:kern w:val="0"/>
                <w:szCs w:val="24"/>
                <w:u w:val="single"/>
              </w:rPr>
              <w:t>4.最近二年在其本國未曾受主管機關處分。</w:t>
            </w:r>
          </w:p>
          <w:p w:rsidR="000549F5" w:rsidRPr="00886F7F" w:rsidRDefault="000549F5" w:rsidP="001230E8">
            <w:pPr>
              <w:spacing w:line="400" w:lineRule="atLeast"/>
              <w:ind w:leftChars="200" w:left="720" w:hangingChars="100" w:hanging="240"/>
              <w:jc w:val="both"/>
              <w:rPr>
                <w:rFonts w:ascii="標楷體" w:eastAsia="標楷體" w:hAnsi="標楷體" w:cs="細明體"/>
                <w:color w:val="000000"/>
                <w:kern w:val="0"/>
                <w:szCs w:val="24"/>
              </w:rPr>
            </w:pPr>
            <w:r w:rsidRPr="00886F7F">
              <w:rPr>
                <w:rFonts w:ascii="標楷體" w:eastAsia="標楷體" w:hAnsi="標楷體" w:hint="eastAsia"/>
                <w:color w:val="000000"/>
                <w:szCs w:val="24"/>
                <w:u w:val="single"/>
              </w:rPr>
              <w:t>5.其</w:t>
            </w:r>
            <w:r w:rsidRPr="00886F7F">
              <w:rPr>
                <w:rFonts w:ascii="標楷體" w:eastAsia="標楷體" w:hAnsi="標楷體" w:cs="細明體" w:hint="eastAsia"/>
                <w:color w:val="000000"/>
                <w:kern w:val="0"/>
                <w:szCs w:val="24"/>
                <w:u w:val="single"/>
              </w:rPr>
              <w:t>在中華民國境內之分支機構或直接或間接持股百分之百之子公司在中華民國境內設立之分支機構淨值應達新臺幣一億五千萬元以上，並符合前項第2款至第7款規定。</w:t>
            </w:r>
          </w:p>
          <w:p w:rsidR="000549F5" w:rsidRPr="00886F7F" w:rsidRDefault="000549F5" w:rsidP="001230E8">
            <w:pPr>
              <w:spacing w:line="400" w:lineRule="atLeast"/>
              <w:ind w:left="480" w:hangingChars="200" w:hanging="480"/>
              <w:jc w:val="both"/>
              <w:rPr>
                <w:rFonts w:ascii="標楷體" w:eastAsia="標楷體" w:hAnsi="標楷體"/>
                <w:color w:val="000000"/>
                <w:szCs w:val="24"/>
                <w:highlight w:val="yellow"/>
              </w:rPr>
            </w:pPr>
            <w:r w:rsidRPr="00886F7F">
              <w:rPr>
                <w:rFonts w:ascii="標楷體" w:eastAsia="標楷體" w:hAnsi="標楷體" w:hint="eastAsia"/>
                <w:color w:val="000000"/>
                <w:szCs w:val="24"/>
              </w:rPr>
              <w:t>四、發行人如係委託其他機構從事避險操作，該</w:t>
            </w:r>
            <w:r w:rsidRPr="00886F7F">
              <w:rPr>
                <w:rFonts w:ascii="標楷體" w:eastAsia="標楷體" w:hAnsi="標楷體" w:hint="eastAsia"/>
                <w:color w:val="000000"/>
                <w:szCs w:val="24"/>
                <w:u w:val="single"/>
              </w:rPr>
              <w:t>風險管理</w:t>
            </w:r>
            <w:r w:rsidRPr="00886F7F">
              <w:rPr>
                <w:rFonts w:ascii="標楷體" w:eastAsia="標楷體" w:hAnsi="標楷體" w:hint="eastAsia"/>
                <w:color w:val="000000"/>
                <w:szCs w:val="24"/>
              </w:rPr>
              <w:t>機構之</w:t>
            </w:r>
            <w:r w:rsidRPr="00886F7F">
              <w:rPr>
                <w:rFonts w:ascii="標楷體" w:eastAsia="標楷體" w:hAnsi="標楷體" w:cs="細明體"/>
                <w:color w:val="000000"/>
                <w:kern w:val="0"/>
                <w:szCs w:val="24"/>
              </w:rPr>
              <w:t>財務報告</w:t>
            </w:r>
            <w:r w:rsidRPr="00886F7F">
              <w:rPr>
                <w:rFonts w:ascii="標楷體" w:eastAsia="標楷體" w:hAnsi="標楷體" w:cs="細明體" w:hint="eastAsia"/>
                <w:color w:val="000000"/>
                <w:szCs w:val="24"/>
                <w:u w:val="single"/>
              </w:rPr>
              <w:t>淨值</w:t>
            </w:r>
            <w:r w:rsidRPr="00886F7F">
              <w:rPr>
                <w:rFonts w:ascii="標楷體" w:eastAsia="標楷體" w:hAnsi="標楷體" w:hint="eastAsia"/>
                <w:color w:val="000000"/>
                <w:szCs w:val="24"/>
              </w:rPr>
              <w:t>需達新台幣十億元以上且</w:t>
            </w:r>
            <w:r w:rsidRPr="00886F7F">
              <w:rPr>
                <w:rFonts w:ascii="標楷體" w:eastAsia="標楷體" w:hAnsi="標楷體" w:cs="細明體" w:hint="eastAsia"/>
                <w:color w:val="000000"/>
                <w:szCs w:val="24"/>
                <w:u w:val="single"/>
              </w:rPr>
              <w:t>其</w:t>
            </w:r>
            <w:r w:rsidRPr="00886F7F">
              <w:rPr>
                <w:rFonts w:ascii="標楷體" w:eastAsia="標楷體" w:hAnsi="標楷體" w:cs="細明體" w:hint="eastAsia"/>
                <w:color w:val="000000"/>
                <w:szCs w:val="24"/>
              </w:rPr>
              <w:t>信用評</w:t>
            </w:r>
            <w:r w:rsidRPr="00886F7F">
              <w:rPr>
                <w:rFonts w:ascii="標楷體" w:eastAsia="標楷體" w:hAnsi="標楷體" w:cs="細明體" w:hint="eastAsia"/>
                <w:color w:val="000000"/>
                <w:szCs w:val="24"/>
                <w:u w:val="single"/>
              </w:rPr>
              <w:t>級</w:t>
            </w:r>
            <w:r w:rsidRPr="00886F7F">
              <w:rPr>
                <w:rFonts w:ascii="標楷體" w:eastAsia="標楷體" w:hAnsi="標楷體" w:hint="eastAsia"/>
                <w:color w:val="000000"/>
                <w:szCs w:val="24"/>
                <w:u w:val="single"/>
              </w:rPr>
              <w:t>須</w:t>
            </w:r>
            <w:r w:rsidR="00111E96" w:rsidRPr="00886F7F">
              <w:rPr>
                <w:rFonts w:ascii="標楷體" w:eastAsia="標楷體" w:hAnsi="標楷體" w:cs="細明體" w:hint="eastAsia"/>
                <w:color w:val="000000"/>
                <w:kern w:val="0"/>
                <w:szCs w:val="24"/>
                <w:u w:val="single"/>
              </w:rPr>
              <w:t>符合</w:t>
            </w:r>
            <w:r w:rsidRPr="00886F7F">
              <w:rPr>
                <w:rFonts w:ascii="標楷體" w:eastAsia="標楷體" w:hAnsi="標楷體" w:cs="細明體" w:hint="eastAsia"/>
                <w:color w:val="000000"/>
                <w:szCs w:val="24"/>
                <w:u w:val="single"/>
              </w:rPr>
              <w:t>前項第2款</w:t>
            </w:r>
            <w:r w:rsidR="00111E96" w:rsidRPr="00886F7F">
              <w:rPr>
                <w:rFonts w:ascii="標楷體" w:eastAsia="標楷體" w:hAnsi="標楷體" w:cs="細明體" w:hint="eastAsia"/>
                <w:color w:val="000000"/>
                <w:kern w:val="0"/>
                <w:szCs w:val="24"/>
                <w:u w:val="single"/>
              </w:rPr>
              <w:t>規定</w:t>
            </w:r>
            <w:r w:rsidRPr="00886F7F">
              <w:rPr>
                <w:rFonts w:ascii="標楷體" w:eastAsia="標楷體" w:hAnsi="標楷體" w:cs="細明體" w:hint="eastAsia"/>
                <w:color w:val="000000"/>
                <w:szCs w:val="24"/>
              </w:rPr>
              <w:t>。</w:t>
            </w:r>
          </w:p>
        </w:tc>
        <w:tc>
          <w:tcPr>
            <w:tcW w:w="1315" w:type="dxa"/>
          </w:tcPr>
          <w:p w:rsidR="000549F5" w:rsidRPr="00886F7F" w:rsidRDefault="000549F5" w:rsidP="001230E8">
            <w:pPr>
              <w:spacing w:line="400" w:lineRule="atLeast"/>
              <w:rPr>
                <w:rFonts w:ascii="標楷體" w:eastAsia="標楷體" w:hAnsi="標楷體"/>
                <w:color w:val="000000"/>
                <w:szCs w:val="24"/>
              </w:rPr>
            </w:pPr>
          </w:p>
        </w:tc>
        <w:tc>
          <w:tcPr>
            <w:tcW w:w="1562" w:type="dxa"/>
          </w:tcPr>
          <w:p w:rsidR="000549F5" w:rsidRPr="00886F7F" w:rsidRDefault="000549F5" w:rsidP="001230E8">
            <w:pPr>
              <w:spacing w:line="400" w:lineRule="atLeast"/>
              <w:rPr>
                <w:rFonts w:ascii="標楷體" w:eastAsia="標楷體" w:hAnsi="標楷體"/>
                <w:color w:val="000000"/>
                <w:szCs w:val="24"/>
              </w:rPr>
            </w:pPr>
          </w:p>
        </w:tc>
      </w:tr>
      <w:tr w:rsidR="000549F5" w:rsidRPr="00886F7F" w:rsidTr="00BC0DB3">
        <w:tc>
          <w:tcPr>
            <w:tcW w:w="296" w:type="dxa"/>
          </w:tcPr>
          <w:p w:rsidR="000549F5" w:rsidRPr="00886F7F" w:rsidRDefault="000549F5" w:rsidP="001230E8">
            <w:pPr>
              <w:spacing w:line="400" w:lineRule="atLeast"/>
              <w:rPr>
                <w:rFonts w:ascii="標楷體" w:eastAsia="標楷體" w:hAnsi="標楷體"/>
                <w:color w:val="000000"/>
                <w:szCs w:val="24"/>
                <w:u w:val="single"/>
              </w:rPr>
            </w:pPr>
            <w:r w:rsidRPr="00886F7F">
              <w:rPr>
                <w:rFonts w:ascii="標楷體" w:eastAsia="標楷體" w:hAnsi="標楷體" w:hint="eastAsia"/>
                <w:color w:val="000000"/>
                <w:szCs w:val="24"/>
                <w:u w:val="single"/>
              </w:rPr>
              <w:lastRenderedPageBreak/>
              <w:t>發行處理</w:t>
            </w:r>
          </w:p>
          <w:p w:rsidR="000549F5" w:rsidRPr="00886F7F" w:rsidRDefault="000549F5" w:rsidP="001230E8">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準則第</w:t>
            </w:r>
          </w:p>
          <w:p w:rsidR="000549F5" w:rsidRPr="00886F7F" w:rsidRDefault="000549F5" w:rsidP="001230E8">
            <w:pPr>
              <w:spacing w:line="400" w:lineRule="atLeast"/>
              <w:rPr>
                <w:rFonts w:ascii="標楷體" w:eastAsia="標楷體" w:hAnsi="標楷體"/>
                <w:dstrike/>
                <w:color w:val="000000"/>
                <w:szCs w:val="24"/>
              </w:rPr>
            </w:pPr>
            <w:r w:rsidRPr="00886F7F">
              <w:rPr>
                <w:rFonts w:ascii="標楷體" w:eastAsia="標楷體" w:hAnsi="標楷體" w:hint="eastAsia"/>
                <w:color w:val="000000"/>
                <w:szCs w:val="24"/>
                <w:u w:val="single"/>
              </w:rPr>
              <w:t>七</w:t>
            </w:r>
            <w:r w:rsidRPr="00886F7F">
              <w:rPr>
                <w:rFonts w:ascii="標楷體" w:eastAsia="標楷體" w:hAnsi="標楷體" w:hint="eastAsia"/>
                <w:color w:val="000000"/>
                <w:szCs w:val="24"/>
              </w:rPr>
              <w:t>條</w:t>
            </w:r>
          </w:p>
        </w:tc>
        <w:tc>
          <w:tcPr>
            <w:tcW w:w="5189" w:type="dxa"/>
          </w:tcPr>
          <w:p w:rsidR="000549F5" w:rsidRPr="00886F7F" w:rsidRDefault="000549F5" w:rsidP="001230E8">
            <w:p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發行人申請</w:t>
            </w:r>
            <w:r w:rsidRPr="00886F7F">
              <w:rPr>
                <w:rFonts w:ascii="標楷體" w:eastAsia="標楷體" w:hAnsi="標楷體" w:hint="eastAsia"/>
                <w:color w:val="000000"/>
                <w:szCs w:val="24"/>
                <w:u w:val="single"/>
              </w:rPr>
              <w:t>發行</w:t>
            </w:r>
            <w:r w:rsidRPr="00886F7F">
              <w:rPr>
                <w:rFonts w:ascii="標楷體" w:eastAsia="標楷體" w:hAnsi="標楷體" w:hint="eastAsia"/>
                <w:color w:val="000000"/>
                <w:szCs w:val="24"/>
              </w:rPr>
              <w:t>認購（售）權證</w:t>
            </w:r>
            <w:r w:rsidRPr="00886F7F">
              <w:rPr>
                <w:rFonts w:ascii="標楷體" w:eastAsia="標楷體" w:hAnsi="標楷體" w:hint="eastAsia"/>
                <w:color w:val="000000"/>
                <w:szCs w:val="24"/>
                <w:u w:val="single"/>
              </w:rPr>
              <w:t>之</w:t>
            </w:r>
            <w:r w:rsidRPr="00886F7F">
              <w:rPr>
                <w:rFonts w:ascii="標楷體" w:eastAsia="標楷體" w:hAnsi="標楷體" w:hint="eastAsia"/>
                <w:color w:val="000000"/>
                <w:szCs w:val="24"/>
              </w:rPr>
              <w:t>資格認可，有下列情形之一，</w:t>
            </w:r>
            <w:r w:rsidRPr="00C06DB6">
              <w:rPr>
                <w:rFonts w:ascii="標楷體" w:eastAsia="標楷體" w:hAnsi="標楷體" w:hint="eastAsia"/>
                <w:color w:val="000000"/>
                <w:szCs w:val="24"/>
                <w:u w:val="single"/>
              </w:rPr>
              <w:t>證券交易所</w:t>
            </w:r>
            <w:r w:rsidRPr="00886F7F">
              <w:rPr>
                <w:rFonts w:ascii="標楷體" w:eastAsia="標楷體" w:hAnsi="標楷體" w:hint="eastAsia"/>
                <w:color w:val="000000"/>
                <w:szCs w:val="24"/>
              </w:rPr>
              <w:t>得不予同意</w:t>
            </w:r>
            <w:r w:rsidRPr="00886F7F">
              <w:rPr>
                <w:rFonts w:ascii="標楷體" w:eastAsia="標楷體" w:hAnsi="標楷體" w:cs="細明體" w:hint="eastAsia"/>
                <w:kern w:val="0"/>
                <w:szCs w:val="24"/>
                <w:u w:val="single"/>
              </w:rPr>
              <w:t>其申請</w:t>
            </w:r>
            <w:r w:rsidRPr="00886F7F">
              <w:rPr>
                <w:rFonts w:ascii="標楷體" w:eastAsia="標楷體" w:hAnsi="標楷體" w:hint="eastAsia"/>
                <w:color w:val="000000"/>
                <w:szCs w:val="24"/>
              </w:rPr>
              <w:t>：</w:t>
            </w:r>
          </w:p>
          <w:p w:rsidR="000549F5" w:rsidRPr="00886F7F" w:rsidRDefault="000549F5" w:rsidP="001230E8">
            <w:pPr>
              <w:pStyle w:val="2"/>
              <w:spacing w:line="400" w:lineRule="atLeast"/>
              <w:ind w:left="480" w:hangingChars="200" w:hanging="480"/>
              <w:rPr>
                <w:rFonts w:hAnsi="標楷體"/>
                <w:b w:val="0"/>
                <w:sz w:val="24"/>
                <w:szCs w:val="24"/>
                <w:u w:val="none"/>
              </w:rPr>
            </w:pPr>
            <w:r w:rsidRPr="00886F7F">
              <w:rPr>
                <w:rFonts w:hAnsi="標楷體" w:hint="eastAsia"/>
                <w:b w:val="0"/>
                <w:sz w:val="24"/>
                <w:szCs w:val="24"/>
                <w:u w:val="none"/>
              </w:rPr>
              <w:t>一、申請書件不完備，經</w:t>
            </w:r>
            <w:r w:rsidRPr="00C06DB6">
              <w:rPr>
                <w:rFonts w:hAnsi="標楷體" w:hint="eastAsia"/>
                <w:b w:val="0"/>
                <w:color w:val="000000"/>
                <w:sz w:val="24"/>
                <w:szCs w:val="24"/>
              </w:rPr>
              <w:t>證券交易所</w:t>
            </w:r>
            <w:r w:rsidRPr="00886F7F">
              <w:rPr>
                <w:rFonts w:hAnsi="標楷體" w:hint="eastAsia"/>
                <w:b w:val="0"/>
                <w:sz w:val="24"/>
                <w:szCs w:val="24"/>
                <w:u w:val="none"/>
              </w:rPr>
              <w:t>限期補正，逾期不能完成補正者。</w:t>
            </w:r>
          </w:p>
          <w:p w:rsidR="000549F5" w:rsidRPr="00886F7F" w:rsidRDefault="000549F5" w:rsidP="001230E8">
            <w:pPr>
              <w:spacing w:line="400" w:lineRule="atLeast"/>
              <w:ind w:left="480" w:hangingChars="200" w:hanging="480"/>
              <w:jc w:val="both"/>
              <w:rPr>
                <w:rFonts w:ascii="標楷體" w:eastAsia="標楷體" w:hAnsi="標楷體"/>
                <w:color w:val="000000"/>
                <w:szCs w:val="24"/>
              </w:rPr>
            </w:pPr>
            <w:r w:rsidRPr="00886F7F">
              <w:rPr>
                <w:rFonts w:ascii="標楷體" w:eastAsia="標楷體" w:hAnsi="標楷體" w:hint="eastAsia"/>
                <w:color w:val="000000"/>
                <w:szCs w:val="24"/>
              </w:rPr>
              <w:t>二、申請事項有違反法令或虛偽隱匿情事者。</w:t>
            </w:r>
          </w:p>
          <w:p w:rsidR="000549F5" w:rsidRPr="00886F7F" w:rsidRDefault="000549F5" w:rsidP="001230E8">
            <w:pPr>
              <w:pStyle w:val="2"/>
              <w:spacing w:line="400" w:lineRule="atLeast"/>
              <w:ind w:left="480" w:hangingChars="200" w:hanging="480"/>
              <w:rPr>
                <w:rFonts w:hAnsi="標楷體"/>
                <w:b w:val="0"/>
                <w:sz w:val="24"/>
                <w:szCs w:val="24"/>
                <w:u w:val="none"/>
              </w:rPr>
            </w:pPr>
            <w:r w:rsidRPr="00886F7F">
              <w:rPr>
                <w:rFonts w:hAnsi="標楷體" w:hint="eastAsia"/>
                <w:b w:val="0"/>
                <w:sz w:val="24"/>
                <w:szCs w:val="24"/>
                <w:u w:val="none"/>
              </w:rPr>
              <w:t>三、重大喪失債信情事，尚未了結或了結後尚未逾四年者。</w:t>
            </w:r>
          </w:p>
          <w:p w:rsidR="000549F5" w:rsidRPr="00886F7F" w:rsidRDefault="000549F5" w:rsidP="001230E8">
            <w:pPr>
              <w:spacing w:line="400" w:lineRule="atLeast"/>
              <w:ind w:left="480" w:hangingChars="200" w:hanging="480"/>
              <w:jc w:val="both"/>
              <w:rPr>
                <w:rFonts w:ascii="標楷體" w:eastAsia="標楷體" w:hAnsi="標楷體"/>
                <w:color w:val="000000"/>
                <w:szCs w:val="24"/>
              </w:rPr>
            </w:pPr>
            <w:r w:rsidRPr="00886F7F">
              <w:rPr>
                <w:rFonts w:ascii="標楷體" w:eastAsia="標楷體" w:hAnsi="標楷體" w:hint="eastAsia"/>
                <w:color w:val="000000"/>
                <w:szCs w:val="24"/>
                <w:u w:val="single"/>
              </w:rPr>
              <w:t>四</w:t>
            </w:r>
            <w:r w:rsidRPr="00886F7F">
              <w:rPr>
                <w:rFonts w:ascii="標楷體" w:eastAsia="標楷體" w:hAnsi="標楷體" w:hint="eastAsia"/>
                <w:color w:val="000000"/>
                <w:szCs w:val="24"/>
              </w:rPr>
              <w:t>、無適當之風險管理措施者。</w:t>
            </w:r>
          </w:p>
          <w:p w:rsidR="000549F5" w:rsidRPr="00886F7F" w:rsidRDefault="000549F5" w:rsidP="001230E8">
            <w:pPr>
              <w:spacing w:line="400" w:lineRule="atLeast"/>
              <w:ind w:left="480" w:hangingChars="200" w:hanging="480"/>
              <w:jc w:val="both"/>
              <w:rPr>
                <w:rFonts w:ascii="標楷體" w:eastAsia="標楷體" w:hAnsi="標楷體"/>
                <w:color w:val="000000"/>
                <w:szCs w:val="24"/>
              </w:rPr>
            </w:pPr>
            <w:r w:rsidRPr="00886F7F">
              <w:rPr>
                <w:rFonts w:ascii="標楷體" w:eastAsia="標楷體" w:hAnsi="標楷體" w:hint="eastAsia"/>
                <w:color w:val="000000"/>
                <w:szCs w:val="24"/>
                <w:u w:val="single"/>
              </w:rPr>
              <w:t>五</w:t>
            </w:r>
            <w:r w:rsidRPr="00886F7F">
              <w:rPr>
                <w:rFonts w:ascii="標楷體" w:eastAsia="標楷體" w:hAnsi="標楷體" w:hint="eastAsia"/>
                <w:color w:val="000000"/>
                <w:szCs w:val="24"/>
              </w:rPr>
              <w:t>、曾發行認購（售）權證而有無法履約之情事者。</w:t>
            </w:r>
          </w:p>
          <w:p w:rsidR="000549F5" w:rsidRPr="00886F7F" w:rsidRDefault="000549F5" w:rsidP="001230E8">
            <w:pPr>
              <w:pStyle w:val="2"/>
              <w:spacing w:line="400" w:lineRule="atLeast"/>
              <w:ind w:left="480" w:hangingChars="200" w:hanging="480"/>
              <w:rPr>
                <w:rFonts w:hAnsi="標楷體"/>
                <w:b w:val="0"/>
                <w:sz w:val="24"/>
                <w:szCs w:val="24"/>
              </w:rPr>
            </w:pPr>
            <w:r w:rsidRPr="00886F7F">
              <w:rPr>
                <w:rFonts w:hAnsi="標楷體" w:hint="eastAsia"/>
                <w:b w:val="0"/>
                <w:sz w:val="24"/>
                <w:szCs w:val="24"/>
              </w:rPr>
              <w:t>六</w:t>
            </w:r>
            <w:r w:rsidRPr="00886F7F">
              <w:rPr>
                <w:rFonts w:hAnsi="標楷體" w:hint="eastAsia"/>
                <w:b w:val="0"/>
                <w:sz w:val="24"/>
                <w:szCs w:val="24"/>
                <w:u w:val="none"/>
              </w:rPr>
              <w:t>、最近</w:t>
            </w:r>
            <w:proofErr w:type="gramStart"/>
            <w:r w:rsidRPr="00886F7F">
              <w:rPr>
                <w:rFonts w:hAnsi="標楷體" w:hint="eastAsia"/>
                <w:b w:val="0"/>
                <w:sz w:val="24"/>
                <w:szCs w:val="24"/>
                <w:u w:val="none"/>
              </w:rPr>
              <w:t>一</w:t>
            </w:r>
            <w:proofErr w:type="gramEnd"/>
            <w:r w:rsidRPr="00886F7F">
              <w:rPr>
                <w:rFonts w:hAnsi="標楷體" w:hint="eastAsia"/>
                <w:b w:val="0"/>
                <w:sz w:val="24"/>
                <w:szCs w:val="24"/>
                <w:u w:val="none"/>
              </w:rPr>
              <w:t>年內未能依</w:t>
            </w:r>
            <w:r w:rsidRPr="00C06DB6">
              <w:rPr>
                <w:rFonts w:hAnsi="標楷體" w:hint="eastAsia"/>
                <w:b w:val="0"/>
                <w:color w:val="000000"/>
                <w:sz w:val="24"/>
                <w:szCs w:val="24"/>
              </w:rPr>
              <w:t>證券交易所</w:t>
            </w:r>
            <w:r w:rsidRPr="00886F7F">
              <w:rPr>
                <w:rFonts w:hAnsi="標楷體" w:hint="eastAsia"/>
                <w:b w:val="0"/>
                <w:sz w:val="24"/>
                <w:szCs w:val="24"/>
                <w:u w:val="none"/>
              </w:rPr>
              <w:t>認購（售）權證相關規定辦理，且無法於限期內改善者。</w:t>
            </w:r>
          </w:p>
          <w:p w:rsidR="000549F5" w:rsidRPr="00886F7F" w:rsidRDefault="000549F5" w:rsidP="001230E8">
            <w:pPr>
              <w:spacing w:line="400" w:lineRule="atLeast"/>
              <w:ind w:left="480" w:hangingChars="200" w:hanging="480"/>
              <w:jc w:val="both"/>
              <w:rPr>
                <w:rFonts w:ascii="標楷體" w:eastAsia="標楷體" w:hAnsi="標楷體"/>
                <w:color w:val="000000"/>
                <w:szCs w:val="24"/>
              </w:rPr>
            </w:pPr>
            <w:r w:rsidRPr="00886F7F">
              <w:rPr>
                <w:rFonts w:ascii="標楷體" w:eastAsia="標楷體" w:hAnsi="標楷體" w:hint="eastAsia"/>
                <w:color w:val="000000"/>
                <w:szCs w:val="24"/>
                <w:u w:val="single"/>
              </w:rPr>
              <w:t>七</w:t>
            </w:r>
            <w:r w:rsidRPr="00886F7F">
              <w:rPr>
                <w:rFonts w:ascii="標楷體" w:eastAsia="標楷體" w:hAnsi="標楷體" w:hint="eastAsia"/>
                <w:color w:val="000000"/>
                <w:szCs w:val="24"/>
              </w:rPr>
              <w:t>、未依一般公認會計原則編製財務報告或其內部控制制度未能有效</w:t>
            </w:r>
            <w:r w:rsidRPr="00886F7F">
              <w:rPr>
                <w:rFonts w:ascii="標楷體" w:eastAsia="標楷體" w:hAnsi="標楷體" w:cs="細明體" w:hint="eastAsia"/>
                <w:color w:val="000000"/>
                <w:kern w:val="0"/>
                <w:szCs w:val="24"/>
                <w:u w:val="single"/>
              </w:rPr>
              <w:t>執行</w:t>
            </w:r>
            <w:r w:rsidRPr="00886F7F">
              <w:rPr>
                <w:rFonts w:ascii="標楷體" w:eastAsia="標楷體" w:hAnsi="標楷體" w:hint="eastAsia"/>
                <w:color w:val="000000"/>
                <w:szCs w:val="24"/>
              </w:rPr>
              <w:t>者。</w:t>
            </w:r>
          </w:p>
          <w:p w:rsidR="000549F5" w:rsidRPr="00886F7F" w:rsidRDefault="000549F5" w:rsidP="001230E8">
            <w:pPr>
              <w:spacing w:line="400" w:lineRule="atLeast"/>
              <w:ind w:left="480" w:hangingChars="200" w:hanging="480"/>
              <w:jc w:val="both"/>
              <w:rPr>
                <w:rFonts w:ascii="標楷體" w:eastAsia="標楷體" w:hAnsi="標楷體"/>
                <w:color w:val="000000"/>
                <w:szCs w:val="24"/>
              </w:rPr>
            </w:pPr>
            <w:r w:rsidRPr="00886F7F">
              <w:rPr>
                <w:rFonts w:ascii="標楷體" w:eastAsia="標楷體" w:hAnsi="標楷體" w:hint="eastAsia"/>
                <w:color w:val="000000"/>
                <w:szCs w:val="24"/>
                <w:u w:val="single"/>
              </w:rPr>
              <w:t>八</w:t>
            </w:r>
            <w:r w:rsidRPr="00886F7F">
              <w:rPr>
                <w:rFonts w:ascii="標楷體" w:eastAsia="標楷體" w:hAnsi="標楷體" w:hint="eastAsia"/>
                <w:color w:val="000000"/>
                <w:szCs w:val="24"/>
              </w:rPr>
              <w:t>、違反發行處理準則第六條規定，或其申報事</w:t>
            </w:r>
            <w:r w:rsidRPr="00886F7F">
              <w:rPr>
                <w:rFonts w:ascii="標楷體" w:eastAsia="標楷體" w:hAnsi="標楷體" w:hint="eastAsia"/>
                <w:color w:val="000000"/>
                <w:szCs w:val="24"/>
              </w:rPr>
              <w:lastRenderedPageBreak/>
              <w:t>項經評估對其財務狀況有重大影響之虞者。</w:t>
            </w:r>
          </w:p>
          <w:p w:rsidR="000549F5" w:rsidRPr="00886F7F" w:rsidRDefault="000549F5" w:rsidP="001230E8">
            <w:pPr>
              <w:spacing w:line="400" w:lineRule="atLeast"/>
              <w:ind w:left="480" w:hangingChars="200" w:hanging="480"/>
              <w:jc w:val="both"/>
              <w:rPr>
                <w:rFonts w:ascii="標楷體" w:eastAsia="標楷體" w:hAnsi="標楷體"/>
                <w:color w:val="000000"/>
                <w:szCs w:val="24"/>
              </w:rPr>
            </w:pPr>
            <w:r w:rsidRPr="00886F7F">
              <w:rPr>
                <w:rFonts w:ascii="標楷體" w:eastAsia="標楷體" w:hAnsi="標楷體" w:hint="eastAsia"/>
                <w:color w:val="000000"/>
                <w:szCs w:val="24"/>
                <w:u w:val="single"/>
              </w:rPr>
              <w:t>九</w:t>
            </w:r>
            <w:r w:rsidRPr="00886F7F">
              <w:rPr>
                <w:rFonts w:ascii="標楷體" w:eastAsia="標楷體" w:hAnsi="標楷體" w:hint="eastAsia"/>
                <w:color w:val="000000"/>
                <w:szCs w:val="24"/>
              </w:rPr>
              <w:t>、有足以影響公司財務業務之重大權益糾紛或違規情事，尚未解決或改善者。</w:t>
            </w:r>
          </w:p>
          <w:p w:rsidR="001230E8" w:rsidRPr="00886F7F" w:rsidRDefault="000549F5" w:rsidP="001230E8">
            <w:pPr>
              <w:spacing w:line="400" w:lineRule="atLeast"/>
              <w:ind w:left="480" w:hangingChars="200" w:hanging="480"/>
              <w:jc w:val="both"/>
              <w:rPr>
                <w:rFonts w:ascii="標楷體" w:eastAsia="標楷體" w:hAnsi="標楷體"/>
                <w:strike/>
                <w:dstrike/>
                <w:color w:val="000000"/>
                <w:szCs w:val="24"/>
                <w:highlight w:val="yellow"/>
                <w:u w:val="single"/>
              </w:rPr>
            </w:pPr>
            <w:r w:rsidRPr="00886F7F">
              <w:rPr>
                <w:rFonts w:ascii="標楷體" w:eastAsia="標楷體" w:hAnsi="標楷體" w:hint="eastAsia"/>
                <w:color w:val="000000"/>
                <w:szCs w:val="24"/>
                <w:u w:val="single"/>
              </w:rPr>
              <w:t>十</w:t>
            </w:r>
            <w:r w:rsidRPr="00886F7F">
              <w:rPr>
                <w:rFonts w:ascii="標楷體" w:eastAsia="標楷體" w:hAnsi="標楷體" w:hint="eastAsia"/>
                <w:color w:val="000000"/>
                <w:szCs w:val="24"/>
              </w:rPr>
              <w:t>、有事實證明其財務或業務有重大異常情事者。</w:t>
            </w:r>
          </w:p>
        </w:tc>
        <w:tc>
          <w:tcPr>
            <w:tcW w:w="1315" w:type="dxa"/>
          </w:tcPr>
          <w:p w:rsidR="000549F5" w:rsidRPr="00886F7F" w:rsidRDefault="000549F5" w:rsidP="001230E8">
            <w:pPr>
              <w:spacing w:line="400" w:lineRule="atLeast"/>
              <w:rPr>
                <w:rFonts w:ascii="標楷體" w:eastAsia="標楷體" w:hAnsi="標楷體"/>
                <w:color w:val="000000"/>
                <w:szCs w:val="24"/>
              </w:rPr>
            </w:pPr>
          </w:p>
        </w:tc>
        <w:tc>
          <w:tcPr>
            <w:tcW w:w="1562" w:type="dxa"/>
          </w:tcPr>
          <w:p w:rsidR="000549F5" w:rsidRPr="00886F7F" w:rsidRDefault="000549F5" w:rsidP="001230E8">
            <w:pPr>
              <w:spacing w:line="400" w:lineRule="atLeast"/>
              <w:rPr>
                <w:rFonts w:ascii="標楷體" w:eastAsia="標楷體" w:hAnsi="標楷體"/>
                <w:color w:val="000000"/>
                <w:szCs w:val="24"/>
              </w:rPr>
            </w:pPr>
          </w:p>
        </w:tc>
      </w:tr>
    </w:tbl>
    <w:p w:rsidR="0063623C" w:rsidRPr="000549F5" w:rsidRDefault="000549F5" w:rsidP="001230E8">
      <w:pPr>
        <w:spacing w:line="400" w:lineRule="atLeast"/>
      </w:pPr>
      <w:r w:rsidRPr="00886F7F">
        <w:rPr>
          <w:rFonts w:ascii="標楷體" w:eastAsia="標楷體" w:hAnsi="標楷體" w:hint="eastAsia"/>
          <w:color w:val="000000"/>
          <w:szCs w:val="24"/>
        </w:rPr>
        <w:lastRenderedPageBreak/>
        <w:t>備註：發行人填報之欄位應由發行人註明所附文件之索引及說明</w:t>
      </w:r>
    </w:p>
    <w:sectPr w:rsidR="0063623C" w:rsidRPr="000549F5" w:rsidSect="001230E8">
      <w:pgSz w:w="11906" w:h="16838"/>
      <w:pgMar w:top="1361" w:right="1803" w:bottom="1361" w:left="180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641" w:rsidRDefault="003D5641" w:rsidP="006466A1">
      <w:r>
        <w:separator/>
      </w:r>
    </w:p>
  </w:endnote>
  <w:endnote w:type="continuationSeparator" w:id="0">
    <w:p w:rsidR="003D5641" w:rsidRDefault="003D5641" w:rsidP="006466A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641" w:rsidRDefault="003D5641" w:rsidP="006466A1">
      <w:r>
        <w:separator/>
      </w:r>
    </w:p>
  </w:footnote>
  <w:footnote w:type="continuationSeparator" w:id="0">
    <w:p w:rsidR="003D5641" w:rsidRDefault="003D5641" w:rsidP="00646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C76"/>
    <w:multiLevelType w:val="singleLevel"/>
    <w:tmpl w:val="541AD562"/>
    <w:lvl w:ilvl="0">
      <w:start w:val="2"/>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1">
    <w:nsid w:val="489F3981"/>
    <w:multiLevelType w:val="singleLevel"/>
    <w:tmpl w:val="38628C84"/>
    <w:lvl w:ilvl="0">
      <w:start w:val="1"/>
      <w:numFmt w:val="decimal"/>
      <w:lvlText w:val="%1."/>
      <w:legacy w:legacy="1" w:legacySpace="0" w:legacyIndent="240"/>
      <w:lvlJc w:val="left"/>
      <w:pPr>
        <w:ind w:left="720" w:hanging="240"/>
      </w:pPr>
      <w:rPr>
        <w:rFonts w:ascii="標楷體" w:eastAsia="標楷體" w:hint="eastAsia"/>
        <w:b w:val="0"/>
        <w:i w:val="0"/>
        <w:color w:val="000000"/>
        <w:sz w:val="24"/>
        <w:u w:val="single"/>
      </w:rPr>
    </w:lvl>
  </w:abstractNum>
  <w:abstractNum w:abstractNumId="2">
    <w:nsid w:val="59BD6304"/>
    <w:multiLevelType w:val="singleLevel"/>
    <w:tmpl w:val="85F80500"/>
    <w:lvl w:ilvl="0">
      <w:start w:val="1"/>
      <w:numFmt w:val="decimal"/>
      <w:lvlText w:val="%1."/>
      <w:legacy w:legacy="1" w:legacySpace="0" w:legacyIndent="240"/>
      <w:lvlJc w:val="left"/>
      <w:pPr>
        <w:ind w:left="720" w:hanging="240"/>
      </w:pPr>
      <w:rPr>
        <w:rFonts w:ascii="標楷體" w:eastAsia="標楷體" w:hint="eastAsia"/>
        <w:b w:val="0"/>
        <w:i w:val="0"/>
        <w:color w:val="000000"/>
        <w:sz w:val="24"/>
        <w:u w:val="none"/>
      </w:rPr>
    </w:lvl>
  </w:abstractNum>
  <w:num w:numId="1">
    <w:abstractNumId w:val="0"/>
    <w:lvlOverride w:ilvl="0">
      <w:lvl w:ilvl="0">
        <w:start w:val="4"/>
        <w:numFmt w:val="taiwaneseCountingThousand"/>
        <w:lvlText w:val="%1、"/>
        <w:legacy w:legacy="1" w:legacySpace="0" w:legacyIndent="480"/>
        <w:lvlJc w:val="left"/>
        <w:pPr>
          <w:ind w:left="484" w:hanging="480"/>
        </w:pPr>
        <w:rPr>
          <w:rFonts w:ascii="標楷體" w:eastAsia="標楷體" w:hint="eastAsia"/>
          <w:b w:val="0"/>
          <w:i w:val="0"/>
          <w:sz w:val="24"/>
          <w:u w:val="none"/>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9F5"/>
    <w:rsid w:val="000549F5"/>
    <w:rsid w:val="00111E96"/>
    <w:rsid w:val="001230E8"/>
    <w:rsid w:val="00141FA5"/>
    <w:rsid w:val="00355CF2"/>
    <w:rsid w:val="003D5641"/>
    <w:rsid w:val="003E0909"/>
    <w:rsid w:val="0063623C"/>
    <w:rsid w:val="006466A1"/>
    <w:rsid w:val="00A51ABF"/>
    <w:rsid w:val="00BB3CB1"/>
    <w:rsid w:val="00EA39C7"/>
    <w:rsid w:val="00FA079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9F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0549F5"/>
    <w:pPr>
      <w:ind w:firstLine="482"/>
    </w:pPr>
    <w:rPr>
      <w:rFonts w:ascii="標楷體" w:eastAsia="標楷體"/>
      <w:b/>
      <w:sz w:val="28"/>
      <w:u w:val="single"/>
    </w:rPr>
  </w:style>
  <w:style w:type="character" w:customStyle="1" w:styleId="20">
    <w:name w:val="本文縮排 2 字元"/>
    <w:basedOn w:val="a0"/>
    <w:link w:val="2"/>
    <w:semiHidden/>
    <w:rsid w:val="000549F5"/>
    <w:rPr>
      <w:rFonts w:ascii="標楷體" w:eastAsia="標楷體" w:hAnsi="Times New Roman" w:cs="Times New Roman"/>
      <w:b/>
      <w:sz w:val="28"/>
      <w:szCs w:val="20"/>
      <w:u w:val="single"/>
    </w:rPr>
  </w:style>
  <w:style w:type="paragraph" w:styleId="a3">
    <w:name w:val="header"/>
    <w:basedOn w:val="a"/>
    <w:link w:val="a4"/>
    <w:uiPriority w:val="99"/>
    <w:semiHidden/>
    <w:unhideWhenUsed/>
    <w:rsid w:val="006466A1"/>
    <w:pPr>
      <w:tabs>
        <w:tab w:val="center" w:pos="4153"/>
        <w:tab w:val="right" w:pos="8306"/>
      </w:tabs>
      <w:snapToGrid w:val="0"/>
    </w:pPr>
    <w:rPr>
      <w:sz w:val="20"/>
    </w:rPr>
  </w:style>
  <w:style w:type="character" w:customStyle="1" w:styleId="a4">
    <w:name w:val="頁首 字元"/>
    <w:basedOn w:val="a0"/>
    <w:link w:val="a3"/>
    <w:uiPriority w:val="99"/>
    <w:semiHidden/>
    <w:rsid w:val="006466A1"/>
    <w:rPr>
      <w:rFonts w:ascii="Times New Roman" w:eastAsia="新細明體" w:hAnsi="Times New Roman" w:cs="Times New Roman"/>
      <w:sz w:val="20"/>
      <w:szCs w:val="20"/>
    </w:rPr>
  </w:style>
  <w:style w:type="paragraph" w:styleId="a5">
    <w:name w:val="footer"/>
    <w:basedOn w:val="a"/>
    <w:link w:val="a6"/>
    <w:uiPriority w:val="99"/>
    <w:semiHidden/>
    <w:unhideWhenUsed/>
    <w:rsid w:val="006466A1"/>
    <w:pPr>
      <w:tabs>
        <w:tab w:val="center" w:pos="4153"/>
        <w:tab w:val="right" w:pos="8306"/>
      </w:tabs>
      <w:snapToGrid w:val="0"/>
    </w:pPr>
    <w:rPr>
      <w:sz w:val="20"/>
    </w:rPr>
  </w:style>
  <w:style w:type="character" w:customStyle="1" w:styleId="a6">
    <w:name w:val="頁尾 字元"/>
    <w:basedOn w:val="a0"/>
    <w:link w:val="a5"/>
    <w:uiPriority w:val="99"/>
    <w:semiHidden/>
    <w:rsid w:val="006466A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6</cp:revision>
  <dcterms:created xsi:type="dcterms:W3CDTF">2016-08-22T06:42:00Z</dcterms:created>
  <dcterms:modified xsi:type="dcterms:W3CDTF">2016-08-23T02:19:00Z</dcterms:modified>
</cp:coreProperties>
</file>