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E74" w:rsidRPr="00D569AA" w:rsidRDefault="00A26E74" w:rsidP="00A26E74">
      <w:pPr>
        <w:rPr>
          <w:rFonts w:ascii="標楷體" w:eastAsia="標楷體" w:hAnsi="標楷體"/>
          <w:color w:val="000000"/>
          <w:sz w:val="28"/>
          <w:szCs w:val="28"/>
        </w:rPr>
      </w:pPr>
      <w:bookmarkStart w:id="0" w:name="_Toc506199850"/>
      <w:bookmarkStart w:id="1" w:name="_GoBack"/>
      <w:bookmarkEnd w:id="1"/>
      <w:r w:rsidRPr="00D569AA">
        <w:rPr>
          <w:rFonts w:ascii="標楷體" w:eastAsia="標楷體" w:hAnsi="標楷體"/>
          <w:color w:val="000000"/>
          <w:sz w:val="28"/>
          <w:szCs w:val="28"/>
        </w:rPr>
        <w:t>附表三、認購（售）權證發行人風險管理制度及預定之風險沖銷策略檢查表</w:t>
      </w:r>
      <w:bookmarkEnd w:id="0"/>
    </w:p>
    <w:p w:rsidR="00A26E74" w:rsidRPr="00D569AA" w:rsidRDefault="00A26E74" w:rsidP="00A26E74">
      <w:pPr>
        <w:spacing w:line="520" w:lineRule="exact"/>
        <w:jc w:val="both"/>
        <w:rPr>
          <w:rFonts w:ascii="標楷體" w:eastAsia="標楷體" w:hAnsi="標楷體"/>
          <w:color w:val="000000"/>
          <w:sz w:val="28"/>
          <w:szCs w:val="28"/>
        </w:rPr>
      </w:pPr>
      <w:r w:rsidRPr="00D569AA">
        <w:rPr>
          <w:rFonts w:ascii="標楷體" w:eastAsia="標楷體" w:hAnsi="標楷體"/>
          <w:color w:val="000000"/>
          <w:sz w:val="28"/>
          <w:szCs w:val="28"/>
        </w:rPr>
        <w:t>申請機構名稱：</w:t>
      </w:r>
    </w:p>
    <w:p w:rsidR="00A26E74" w:rsidRPr="00D569AA" w:rsidRDefault="00A26E74" w:rsidP="00A26E74">
      <w:pPr>
        <w:spacing w:afterLines="50" w:after="180" w:line="520" w:lineRule="exact"/>
        <w:jc w:val="both"/>
        <w:rPr>
          <w:rFonts w:ascii="標楷體" w:eastAsia="標楷體" w:hAnsi="標楷體"/>
          <w:color w:val="000000"/>
          <w:sz w:val="28"/>
          <w:szCs w:val="28"/>
        </w:rPr>
      </w:pPr>
      <w:r w:rsidRPr="00D569AA">
        <w:rPr>
          <w:rFonts w:ascii="標楷體" w:eastAsia="標楷體" w:hAnsi="標楷體"/>
          <w:color w:val="000000"/>
          <w:sz w:val="28"/>
          <w:szCs w:val="28"/>
        </w:rPr>
        <w:t xml:space="preserve">承辦人：    </w:t>
      </w:r>
      <w:r w:rsidRPr="00D569AA">
        <w:rPr>
          <w:rFonts w:ascii="標楷體" w:eastAsia="標楷體" w:hAnsi="標楷體" w:hint="eastAsia"/>
          <w:color w:val="000000"/>
          <w:sz w:val="28"/>
          <w:szCs w:val="28"/>
        </w:rPr>
        <w:t xml:space="preserve">         </w:t>
      </w:r>
      <w:r w:rsidRPr="00D569AA">
        <w:rPr>
          <w:rFonts w:ascii="標楷體" w:eastAsia="標楷體" w:hAnsi="標楷體"/>
          <w:color w:val="000000"/>
          <w:sz w:val="28"/>
          <w:szCs w:val="28"/>
        </w:rPr>
        <w:t xml:space="preserve">                     填表日期：</w:t>
      </w:r>
    </w:p>
    <w:tbl>
      <w:tblPr>
        <w:tblW w:w="9351" w:type="dxa"/>
        <w:tblCellMar>
          <w:left w:w="10" w:type="dxa"/>
          <w:right w:w="10" w:type="dxa"/>
        </w:tblCellMar>
        <w:tblLook w:val="04A0" w:firstRow="1" w:lastRow="0" w:firstColumn="1" w:lastColumn="0" w:noHBand="0" w:noVBand="1"/>
      </w:tblPr>
      <w:tblGrid>
        <w:gridCol w:w="5968"/>
        <w:gridCol w:w="1579"/>
        <w:gridCol w:w="1804"/>
      </w:tblGrid>
      <w:tr w:rsidR="00A26E74" w:rsidTr="00CC4CA5">
        <w:tc>
          <w:tcPr>
            <w:tcW w:w="59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26E74" w:rsidRDefault="00A26E74" w:rsidP="00CC4CA5">
            <w:pPr>
              <w:spacing w:afterLines="50" w:after="180"/>
              <w:jc w:val="center"/>
              <w:rPr>
                <w:rFonts w:ascii="標楷體" w:eastAsia="標楷體" w:hAnsi="標楷體"/>
                <w:color w:val="000000"/>
                <w:szCs w:val="24"/>
              </w:rPr>
            </w:pPr>
            <w:r>
              <w:rPr>
                <w:rFonts w:ascii="標楷體" w:eastAsia="標楷體" w:hAnsi="標楷體"/>
                <w:color w:val="000000"/>
                <w:szCs w:val="24"/>
              </w:rPr>
              <w:t>檢查項目</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26E74" w:rsidRDefault="00A26E74" w:rsidP="00CC4CA5">
            <w:pPr>
              <w:spacing w:afterLines="50" w:after="180"/>
              <w:rPr>
                <w:rFonts w:ascii="標楷體" w:eastAsia="標楷體" w:hAnsi="標楷體"/>
                <w:color w:val="000000"/>
                <w:szCs w:val="24"/>
              </w:rPr>
            </w:pPr>
            <w:r>
              <w:rPr>
                <w:rFonts w:ascii="標楷體" w:eastAsia="標楷體" w:hAnsi="標楷體"/>
                <w:color w:val="000000"/>
                <w:szCs w:val="24"/>
              </w:rPr>
              <w:t>發行人填報</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26E74" w:rsidRDefault="00A26E74" w:rsidP="00CC4CA5">
            <w:pPr>
              <w:spacing w:afterLines="50" w:after="180"/>
            </w:pPr>
            <w:r>
              <w:rPr>
                <w:rFonts w:ascii="標楷體" w:eastAsia="標楷體" w:hAnsi="標楷體"/>
                <w:color w:val="000000"/>
                <w:spacing w:val="-20"/>
                <w:szCs w:val="24"/>
              </w:rPr>
              <w:t>交易所審查意見</w:t>
            </w:r>
          </w:p>
        </w:tc>
      </w:tr>
      <w:tr w:rsidR="00A26E74" w:rsidTr="00CC4CA5">
        <w:tc>
          <w:tcPr>
            <w:tcW w:w="59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26E74" w:rsidRDefault="00A26E74" w:rsidP="00CC4CA5">
            <w:pPr>
              <w:autoSpaceDE w:val="0"/>
              <w:spacing w:line="400" w:lineRule="atLeast"/>
              <w:jc w:val="both"/>
              <w:rPr>
                <w:rFonts w:ascii="標楷體" w:eastAsia="標楷體" w:hAnsi="標楷體"/>
                <w:color w:val="000000"/>
                <w:szCs w:val="24"/>
              </w:rPr>
            </w:pPr>
            <w:r>
              <w:rPr>
                <w:rFonts w:ascii="標楷體" w:eastAsia="標楷體" w:hAnsi="標楷體"/>
                <w:color w:val="000000"/>
                <w:szCs w:val="24"/>
              </w:rPr>
              <w:t>一、風險管理</w:t>
            </w:r>
          </w:p>
          <w:p w:rsidR="00A26E74" w:rsidRDefault="00A26E74" w:rsidP="00A26E74">
            <w:pPr>
              <w:numPr>
                <w:ilvl w:val="0"/>
                <w:numId w:val="1"/>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定價模式</w:t>
            </w:r>
          </w:p>
          <w:p w:rsidR="00A26E74" w:rsidRDefault="00A26E74" w:rsidP="00A26E74">
            <w:pPr>
              <w:numPr>
                <w:ilvl w:val="0"/>
                <w:numId w:val="2"/>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是否有學理依據（如Black＆Scholes或Cox,Ross＆Rubinstein之選擇權定價模式）</w:t>
            </w:r>
          </w:p>
          <w:p w:rsidR="00A26E74" w:rsidRDefault="00A26E74" w:rsidP="00A26E74">
            <w:pPr>
              <w:numPr>
                <w:ilvl w:val="0"/>
                <w:numId w:val="2"/>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若非採上述公式，應說明其中認購（售）權證履約價格或</w:t>
            </w:r>
            <w:r w:rsidRPr="00A76BD8">
              <w:rPr>
                <w:rFonts w:ascii="標楷體" w:eastAsia="標楷體" w:hAnsi="標楷體" w:hint="eastAsia"/>
                <w:color w:val="FF0000"/>
                <w:szCs w:val="24"/>
                <w:u w:val="single"/>
              </w:rPr>
              <w:t>點</w:t>
            </w:r>
            <w:r>
              <w:rPr>
                <w:rFonts w:ascii="標楷體" w:eastAsia="標楷體" w:hAnsi="標楷體"/>
                <w:color w:val="000000"/>
                <w:szCs w:val="24"/>
              </w:rPr>
              <w:t>數、</w:t>
            </w:r>
            <w:r w:rsidRPr="007825BC">
              <w:rPr>
                <w:rFonts w:ascii="標楷體" w:eastAsia="標楷體" w:hAnsi="標楷體"/>
                <w:color w:val="000000"/>
                <w:szCs w:val="24"/>
              </w:rPr>
              <w:t>標的</w:t>
            </w:r>
            <w:r>
              <w:rPr>
                <w:rFonts w:ascii="標楷體" w:eastAsia="標楷體" w:hAnsi="標楷體"/>
                <w:color w:val="000000"/>
                <w:szCs w:val="24"/>
              </w:rPr>
              <w:t>價格或</w:t>
            </w:r>
            <w:r w:rsidRPr="00A76BD8">
              <w:rPr>
                <w:rFonts w:ascii="標楷體" w:eastAsia="標楷體" w:hAnsi="標楷體" w:hint="eastAsia"/>
                <w:color w:val="FF0000"/>
                <w:szCs w:val="24"/>
                <w:u w:val="single"/>
              </w:rPr>
              <w:t>點</w:t>
            </w:r>
            <w:r>
              <w:rPr>
                <w:rFonts w:ascii="標楷體" w:eastAsia="標楷體" w:hAnsi="標楷體"/>
                <w:color w:val="000000"/>
                <w:szCs w:val="24"/>
              </w:rPr>
              <w:t>數之預期變動率、無風險利率、標的價格或</w:t>
            </w:r>
            <w:r w:rsidRPr="00A76BD8">
              <w:rPr>
                <w:rFonts w:ascii="標楷體" w:eastAsia="標楷體" w:hAnsi="標楷體" w:hint="eastAsia"/>
                <w:color w:val="FF0000"/>
                <w:szCs w:val="24"/>
                <w:u w:val="single"/>
              </w:rPr>
              <w:t>點</w:t>
            </w:r>
            <w:r>
              <w:rPr>
                <w:rFonts w:ascii="標楷體" w:eastAsia="標楷體" w:hAnsi="標楷體"/>
                <w:color w:val="000000"/>
                <w:szCs w:val="24"/>
              </w:rPr>
              <w:t>數、存續期間、標的證券週轉率、標的證券股本及市值等參數制訂之依據</w:t>
            </w:r>
          </w:p>
          <w:p w:rsidR="00A26E74" w:rsidRDefault="00A26E74" w:rsidP="00A26E74">
            <w:pPr>
              <w:numPr>
                <w:ilvl w:val="0"/>
                <w:numId w:val="2"/>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是否可合理評估重設型認購（售）權證或其他類型衍生性商品之價格</w:t>
            </w:r>
          </w:p>
          <w:p w:rsidR="00A26E74" w:rsidRDefault="00A26E74" w:rsidP="00A26E74">
            <w:pPr>
              <w:numPr>
                <w:ilvl w:val="0"/>
                <w:numId w:val="3"/>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電腦系統</w:t>
            </w:r>
          </w:p>
          <w:p w:rsidR="00A26E74" w:rsidRDefault="00A26E74" w:rsidP="00A26E74">
            <w:pPr>
              <w:numPr>
                <w:ilvl w:val="0"/>
                <w:numId w:val="4"/>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是否能即時提供沖銷比率</w:t>
            </w:r>
          </w:p>
          <w:p w:rsidR="00A26E74" w:rsidRDefault="00A26E74" w:rsidP="00A26E74">
            <w:pPr>
              <w:numPr>
                <w:ilvl w:val="0"/>
                <w:numId w:val="4"/>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是否能即時提供累積部位</w:t>
            </w:r>
          </w:p>
          <w:p w:rsidR="00A26E74" w:rsidRDefault="00A26E74" w:rsidP="00A26E74">
            <w:pPr>
              <w:numPr>
                <w:ilvl w:val="0"/>
                <w:numId w:val="4"/>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是否能即時提供損益分析</w:t>
            </w:r>
          </w:p>
          <w:p w:rsidR="00A26E74" w:rsidRDefault="00A26E74" w:rsidP="00A26E74">
            <w:pPr>
              <w:numPr>
                <w:ilvl w:val="0"/>
                <w:numId w:val="4"/>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是否能即時提供標的各種設想波動程度之涉險金額</w:t>
            </w:r>
          </w:p>
          <w:p w:rsidR="00A26E74" w:rsidRDefault="00A26E74" w:rsidP="00A26E74">
            <w:pPr>
              <w:numPr>
                <w:ilvl w:val="0"/>
                <w:numId w:val="5"/>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避險操作之適當人員</w:t>
            </w:r>
          </w:p>
          <w:p w:rsidR="00A26E74" w:rsidRDefault="00A26E74" w:rsidP="00A26E74">
            <w:pPr>
              <w:numPr>
                <w:ilvl w:val="0"/>
                <w:numId w:val="6"/>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避險操作之人員是否具有證券金融相關大專科系學歷或從事相關工作</w:t>
            </w:r>
          </w:p>
          <w:p w:rsidR="00A26E74" w:rsidRDefault="00A26E74" w:rsidP="00A26E74">
            <w:pPr>
              <w:numPr>
                <w:ilvl w:val="0"/>
                <w:numId w:val="6"/>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是否具有數量分析能力</w:t>
            </w:r>
          </w:p>
          <w:p w:rsidR="00A26E74" w:rsidRDefault="00A26E74" w:rsidP="00A26E74">
            <w:pPr>
              <w:numPr>
                <w:ilvl w:val="0"/>
                <w:numId w:val="6"/>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是否具有電腦操作能力</w:t>
            </w:r>
          </w:p>
          <w:p w:rsidR="00A26E74" w:rsidRDefault="00A26E74" w:rsidP="00A26E74">
            <w:pPr>
              <w:numPr>
                <w:ilvl w:val="0"/>
                <w:numId w:val="6"/>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是否具有買賣證券或衍生性商品之經驗</w:t>
            </w:r>
          </w:p>
          <w:p w:rsidR="00A26E74" w:rsidRDefault="00A26E74" w:rsidP="00A26E74">
            <w:pPr>
              <w:numPr>
                <w:ilvl w:val="0"/>
                <w:numId w:val="6"/>
              </w:numPr>
              <w:suppressAutoHyphens/>
              <w:autoSpaceDE w:val="0"/>
              <w:autoSpaceDN w:val="0"/>
              <w:spacing w:line="400" w:lineRule="atLeast"/>
              <w:jc w:val="both"/>
              <w:textAlignment w:val="baseline"/>
            </w:pPr>
            <w:r>
              <w:rPr>
                <w:rFonts w:ascii="標楷體" w:eastAsia="標楷體" w:hAnsi="標楷體"/>
                <w:color w:val="000000"/>
                <w:szCs w:val="24"/>
              </w:rPr>
              <w:t>避險操作人員是否具有證券商自行買賣業務業務人員資格（發行人委託外國機構擔任風險管理機構或</w:t>
            </w:r>
            <w:r w:rsidRPr="007825BC">
              <w:rPr>
                <w:rFonts w:ascii="標楷體" w:eastAsia="標楷體" w:hAnsi="標楷體"/>
                <w:color w:val="000000"/>
                <w:szCs w:val="24"/>
              </w:rPr>
              <w:t>外國</w:t>
            </w:r>
            <w:r>
              <w:rPr>
                <w:rFonts w:ascii="標楷體" w:eastAsia="標楷體" w:hAnsi="標楷體"/>
                <w:color w:val="000000"/>
                <w:szCs w:val="24"/>
              </w:rPr>
              <w:t>發行人，本項不適用）</w:t>
            </w:r>
          </w:p>
          <w:p w:rsidR="00A26E74" w:rsidRDefault="00A26E74" w:rsidP="00A26E74">
            <w:pPr>
              <w:numPr>
                <w:ilvl w:val="0"/>
                <w:numId w:val="7"/>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系統整合</w:t>
            </w:r>
          </w:p>
          <w:p w:rsidR="00A26E74" w:rsidRDefault="00A26E74" w:rsidP="00A26E74">
            <w:pPr>
              <w:numPr>
                <w:ilvl w:val="0"/>
                <w:numId w:val="8"/>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是否與其他商品管理系統整合</w:t>
            </w:r>
          </w:p>
          <w:p w:rsidR="00A26E74" w:rsidRDefault="00A26E74" w:rsidP="00A26E74">
            <w:pPr>
              <w:numPr>
                <w:ilvl w:val="0"/>
                <w:numId w:val="8"/>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是否與會計系統整合</w:t>
            </w:r>
          </w:p>
          <w:p w:rsidR="00A26E74" w:rsidRDefault="00A26E74" w:rsidP="00CC4CA5">
            <w:pPr>
              <w:spacing w:line="400" w:lineRule="atLeast"/>
              <w:ind w:firstLine="480"/>
              <w:rPr>
                <w:rFonts w:ascii="標楷體" w:eastAsia="標楷體" w:hAnsi="標楷體"/>
                <w:color w:val="000000"/>
                <w:szCs w:val="24"/>
              </w:rPr>
            </w:pPr>
            <w:r>
              <w:rPr>
                <w:rFonts w:ascii="標楷體" w:eastAsia="標楷體" w:hAnsi="標楷體"/>
                <w:color w:val="000000"/>
                <w:szCs w:val="24"/>
              </w:rPr>
              <w:lastRenderedPageBreak/>
              <w:t>3.管理階層是否能及時得知風險狀況及涉險金額</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26E74" w:rsidRDefault="00A26E74" w:rsidP="00CC4CA5">
            <w:pPr>
              <w:spacing w:line="400" w:lineRule="atLeast"/>
              <w:rPr>
                <w:rFonts w:ascii="標楷體" w:eastAsia="標楷體" w:hAnsi="標楷體"/>
                <w:color w:val="000000"/>
                <w:szCs w:val="24"/>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26E74" w:rsidRDefault="00A26E74" w:rsidP="00CC4CA5">
            <w:pPr>
              <w:spacing w:line="400" w:lineRule="atLeast"/>
              <w:rPr>
                <w:rFonts w:ascii="標楷體" w:eastAsia="標楷體" w:hAnsi="標楷體"/>
                <w:color w:val="000000"/>
                <w:spacing w:val="-20"/>
                <w:szCs w:val="24"/>
              </w:rPr>
            </w:pPr>
          </w:p>
        </w:tc>
      </w:tr>
      <w:tr w:rsidR="00A26E74" w:rsidTr="00CC4CA5">
        <w:tc>
          <w:tcPr>
            <w:tcW w:w="59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26E74" w:rsidRDefault="00A26E74" w:rsidP="00CC4CA5">
            <w:pPr>
              <w:autoSpaceDE w:val="0"/>
              <w:spacing w:line="400" w:lineRule="atLeast"/>
              <w:jc w:val="both"/>
              <w:rPr>
                <w:rFonts w:ascii="標楷體" w:eastAsia="標楷體" w:hAnsi="標楷體"/>
                <w:color w:val="000000"/>
                <w:szCs w:val="24"/>
              </w:rPr>
            </w:pPr>
            <w:r>
              <w:rPr>
                <w:rFonts w:ascii="標楷體" w:eastAsia="標楷體" w:hAnsi="標楷體"/>
                <w:color w:val="000000"/>
                <w:szCs w:val="24"/>
              </w:rPr>
              <w:t>二、組織結構</w:t>
            </w:r>
          </w:p>
          <w:p w:rsidR="00A26E74" w:rsidRDefault="00A26E74" w:rsidP="00A26E74">
            <w:pPr>
              <w:numPr>
                <w:ilvl w:val="0"/>
                <w:numId w:val="9"/>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前台作業與後台作業</w:t>
            </w:r>
          </w:p>
          <w:p w:rsidR="00A26E74" w:rsidRDefault="00A26E74" w:rsidP="00A26E74">
            <w:pPr>
              <w:numPr>
                <w:ilvl w:val="0"/>
                <w:numId w:val="10"/>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是否有各自獨立之人員</w:t>
            </w:r>
          </w:p>
          <w:p w:rsidR="00A26E74" w:rsidRDefault="00A26E74" w:rsidP="00A26E74">
            <w:pPr>
              <w:numPr>
                <w:ilvl w:val="0"/>
                <w:numId w:val="10"/>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是否有各自獨立之辦公處所</w:t>
            </w:r>
          </w:p>
          <w:p w:rsidR="00A26E74" w:rsidRDefault="00A26E74" w:rsidP="00A26E74">
            <w:pPr>
              <w:numPr>
                <w:ilvl w:val="0"/>
                <w:numId w:val="10"/>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部門間是否定期開會或有其他溝通管道</w:t>
            </w:r>
          </w:p>
          <w:p w:rsidR="00A26E74" w:rsidRDefault="00A26E74" w:rsidP="00A26E74">
            <w:pPr>
              <w:numPr>
                <w:ilvl w:val="0"/>
                <w:numId w:val="11"/>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風險管理之決策程序</w:t>
            </w:r>
          </w:p>
          <w:p w:rsidR="00A26E74" w:rsidRDefault="00A26E74" w:rsidP="00A26E74">
            <w:pPr>
              <w:numPr>
                <w:ilvl w:val="0"/>
                <w:numId w:val="12"/>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是否定有證券或衍生性商品之操作規範</w:t>
            </w:r>
          </w:p>
          <w:p w:rsidR="00A26E74" w:rsidRDefault="00A26E74" w:rsidP="00A26E74">
            <w:pPr>
              <w:numPr>
                <w:ilvl w:val="0"/>
                <w:numId w:val="12"/>
              </w:numPr>
              <w:suppressAutoHyphens/>
              <w:autoSpaceDE w:val="0"/>
              <w:autoSpaceDN w:val="0"/>
              <w:spacing w:line="400" w:lineRule="atLeast"/>
              <w:jc w:val="both"/>
              <w:textAlignment w:val="baseline"/>
            </w:pPr>
            <w:r>
              <w:rPr>
                <w:rFonts w:ascii="標楷體" w:eastAsia="標楷體" w:hAnsi="標楷體"/>
                <w:color w:val="000000"/>
                <w:szCs w:val="24"/>
              </w:rPr>
              <w:t>避險操作人員是否設有操作上限，</w:t>
            </w:r>
            <w:r w:rsidRPr="007825BC">
              <w:rPr>
                <w:rFonts w:ascii="標楷體" w:eastAsia="標楷體" w:hAnsi="標楷體"/>
                <w:color w:val="000000"/>
                <w:szCs w:val="24"/>
              </w:rPr>
              <w:t>及</w:t>
            </w:r>
            <w:r>
              <w:rPr>
                <w:rFonts w:ascii="標楷體" w:eastAsia="標楷體" w:hAnsi="標楷體"/>
                <w:color w:val="000000"/>
                <w:szCs w:val="24"/>
              </w:rPr>
              <w:t>其風險管理決策程序中最高層主管是否設有管理上限。</w:t>
            </w:r>
          </w:p>
          <w:p w:rsidR="00A26E74" w:rsidRDefault="00A26E74" w:rsidP="00A26E74">
            <w:pPr>
              <w:numPr>
                <w:ilvl w:val="0"/>
                <w:numId w:val="12"/>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風險管理人員是否逐級呈報及主管人員對避險操作人員是否能予以監督指揮。</w:t>
            </w:r>
          </w:p>
          <w:p w:rsidR="00A26E74" w:rsidRDefault="00A26E74" w:rsidP="00A26E74">
            <w:pPr>
              <w:numPr>
                <w:ilvl w:val="0"/>
                <w:numId w:val="12"/>
              </w:numPr>
              <w:suppressAutoHyphens/>
              <w:autoSpaceDN w:val="0"/>
              <w:spacing w:line="400" w:lineRule="atLeast"/>
              <w:textAlignment w:val="baseline"/>
            </w:pPr>
            <w:r>
              <w:rPr>
                <w:rFonts w:ascii="標楷體" w:eastAsia="標楷體" w:hAnsi="標楷體"/>
                <w:color w:val="000000"/>
                <w:szCs w:val="24"/>
              </w:rPr>
              <w:t>風險管理人員是否具有證券商業務人員資格（發行人委託外國機構擔任風險管理機構或</w:t>
            </w:r>
            <w:r w:rsidRPr="007825BC">
              <w:rPr>
                <w:rFonts w:ascii="標楷體" w:eastAsia="標楷體" w:hAnsi="標楷體"/>
                <w:color w:val="000000"/>
                <w:szCs w:val="24"/>
              </w:rPr>
              <w:t>外國</w:t>
            </w:r>
            <w:r>
              <w:rPr>
                <w:rFonts w:ascii="標楷體" w:eastAsia="標楷體" w:hAnsi="標楷體"/>
                <w:color w:val="000000"/>
                <w:szCs w:val="24"/>
              </w:rPr>
              <w:t>發行人，本項不適用）</w:t>
            </w:r>
          </w:p>
          <w:p w:rsidR="00A26E74" w:rsidRDefault="00A26E74" w:rsidP="00A26E74">
            <w:pPr>
              <w:numPr>
                <w:ilvl w:val="0"/>
                <w:numId w:val="13"/>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管理資訊系統</w:t>
            </w:r>
          </w:p>
          <w:p w:rsidR="00A26E74" w:rsidRDefault="00A26E74" w:rsidP="00A26E74">
            <w:pPr>
              <w:numPr>
                <w:ilvl w:val="0"/>
                <w:numId w:val="14"/>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是否有指定單位集中管理各類風險</w:t>
            </w:r>
          </w:p>
          <w:p w:rsidR="00A26E74" w:rsidRDefault="00A26E74" w:rsidP="00A26E74">
            <w:pPr>
              <w:numPr>
                <w:ilvl w:val="0"/>
                <w:numId w:val="14"/>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管理人員是否可即時監控避險操作人員之操作及涉險金額</w:t>
            </w:r>
          </w:p>
          <w:p w:rsidR="00A26E74" w:rsidRDefault="00A26E74" w:rsidP="00A26E74">
            <w:pPr>
              <w:numPr>
                <w:ilvl w:val="0"/>
                <w:numId w:val="14"/>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財務管理人員是否能及時得知損益分析資訊</w:t>
            </w:r>
          </w:p>
          <w:p w:rsidR="00A26E74" w:rsidRDefault="00A26E74" w:rsidP="00A26E74">
            <w:pPr>
              <w:numPr>
                <w:ilvl w:val="0"/>
                <w:numId w:val="15"/>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避險操作之內部控制與內部稽核</w:t>
            </w:r>
          </w:p>
          <w:p w:rsidR="00A26E74" w:rsidRDefault="00A26E74" w:rsidP="00A26E74">
            <w:pPr>
              <w:numPr>
                <w:ilvl w:val="0"/>
                <w:numId w:val="16"/>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是否訂有內部控制及內部稽核制度</w:t>
            </w:r>
          </w:p>
          <w:p w:rsidR="00A26E74" w:rsidRDefault="00A26E74" w:rsidP="00A26E74">
            <w:pPr>
              <w:numPr>
                <w:ilvl w:val="0"/>
                <w:numId w:val="16"/>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是否定期執行內部查核</w:t>
            </w:r>
          </w:p>
          <w:p w:rsidR="00A26E74" w:rsidRDefault="00A26E74" w:rsidP="00CC4CA5">
            <w:pPr>
              <w:spacing w:line="400" w:lineRule="atLeast"/>
              <w:ind w:left="480"/>
              <w:rPr>
                <w:rFonts w:ascii="標楷體" w:eastAsia="標楷體" w:hAnsi="標楷體"/>
                <w:color w:val="000000"/>
                <w:szCs w:val="24"/>
              </w:rPr>
            </w:pPr>
            <w:r>
              <w:rPr>
                <w:rFonts w:ascii="標楷體" w:eastAsia="標楷體" w:hAnsi="標楷體"/>
                <w:color w:val="000000"/>
                <w:szCs w:val="24"/>
              </w:rPr>
              <w:t>3.查核人員與避險操作人員是否分屬不同之部門</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26E74" w:rsidRDefault="00A26E74" w:rsidP="00CC4CA5">
            <w:pPr>
              <w:spacing w:line="400" w:lineRule="atLeast"/>
              <w:rPr>
                <w:rFonts w:ascii="標楷體" w:eastAsia="標楷體" w:hAnsi="標楷體"/>
                <w:color w:val="000000"/>
                <w:szCs w:val="24"/>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26E74" w:rsidRDefault="00A26E74" w:rsidP="00CC4CA5">
            <w:pPr>
              <w:spacing w:line="400" w:lineRule="atLeast"/>
              <w:rPr>
                <w:rFonts w:ascii="標楷體" w:eastAsia="標楷體" w:hAnsi="標楷體"/>
                <w:color w:val="000000"/>
                <w:szCs w:val="24"/>
              </w:rPr>
            </w:pPr>
          </w:p>
        </w:tc>
      </w:tr>
      <w:tr w:rsidR="00A26E74" w:rsidTr="00CC4CA5">
        <w:tc>
          <w:tcPr>
            <w:tcW w:w="59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26E74" w:rsidRDefault="00A26E74" w:rsidP="00A26E74">
            <w:pPr>
              <w:numPr>
                <w:ilvl w:val="0"/>
                <w:numId w:val="17"/>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財務資訊</w:t>
            </w:r>
          </w:p>
          <w:p w:rsidR="00A26E74" w:rsidRDefault="00A26E74" w:rsidP="00A26E74">
            <w:pPr>
              <w:numPr>
                <w:ilvl w:val="0"/>
                <w:numId w:val="18"/>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從事證券及衍生性商品操作之部位是否訂有上限</w:t>
            </w:r>
          </w:p>
          <w:p w:rsidR="00A26E74" w:rsidRDefault="00A26E74" w:rsidP="00A26E74">
            <w:pPr>
              <w:numPr>
                <w:ilvl w:val="0"/>
                <w:numId w:val="18"/>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從事證券及衍生性商品操作之部位是否符合相關法令規定</w:t>
            </w:r>
          </w:p>
          <w:p w:rsidR="00A26E74" w:rsidRDefault="00A26E74" w:rsidP="00A26E74">
            <w:pPr>
              <w:numPr>
                <w:ilvl w:val="0"/>
                <w:numId w:val="18"/>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因避險操作所產生之損益及涉險金額在會計上之表達方式</w:t>
            </w:r>
          </w:p>
          <w:p w:rsidR="00A26E74" w:rsidRDefault="00B86B27" w:rsidP="00B86B27">
            <w:pPr>
              <w:numPr>
                <w:ilvl w:val="0"/>
                <w:numId w:val="18"/>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hint="eastAsia"/>
                <w:color w:val="000000"/>
                <w:szCs w:val="24"/>
              </w:rPr>
              <w:t>（</w:t>
            </w:r>
            <w:r w:rsidR="00A26E74">
              <w:rPr>
                <w:rFonts w:ascii="標楷體" w:eastAsia="標楷體" w:hAnsi="標楷體"/>
                <w:color w:val="000000"/>
                <w:szCs w:val="24"/>
              </w:rPr>
              <w:t>上項會計處理方式是否符合一般會計處理原則</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26E74" w:rsidRDefault="00A26E74" w:rsidP="00CC4CA5">
            <w:pPr>
              <w:spacing w:line="400" w:lineRule="atLeast"/>
              <w:rPr>
                <w:rFonts w:ascii="標楷體" w:eastAsia="標楷體" w:hAnsi="標楷體"/>
                <w:color w:val="000000"/>
                <w:szCs w:val="24"/>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26E74" w:rsidRDefault="00A26E74" w:rsidP="00CC4CA5">
            <w:pPr>
              <w:spacing w:line="400" w:lineRule="atLeast"/>
              <w:rPr>
                <w:rFonts w:ascii="標楷體" w:eastAsia="標楷體" w:hAnsi="標楷體"/>
                <w:color w:val="000000"/>
                <w:szCs w:val="24"/>
              </w:rPr>
            </w:pPr>
          </w:p>
        </w:tc>
      </w:tr>
      <w:tr w:rsidR="00A26E74" w:rsidTr="00CC4CA5">
        <w:tc>
          <w:tcPr>
            <w:tcW w:w="59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26E74" w:rsidRDefault="00A26E74" w:rsidP="00A26E74">
            <w:pPr>
              <w:numPr>
                <w:ilvl w:val="0"/>
                <w:numId w:val="19"/>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如係委託其他機構從事避險操作</w:t>
            </w:r>
          </w:p>
          <w:p w:rsidR="00A26E74" w:rsidRDefault="00A26E74" w:rsidP="00CC4CA5">
            <w:pPr>
              <w:pStyle w:val="2"/>
              <w:spacing w:line="400" w:lineRule="atLeast"/>
              <w:rPr>
                <w:rFonts w:ascii="標楷體" w:eastAsia="標楷體" w:hAnsi="標楷體"/>
                <w:szCs w:val="24"/>
              </w:rPr>
            </w:pPr>
            <w:r>
              <w:rPr>
                <w:rFonts w:ascii="標楷體" w:eastAsia="標楷體" w:hAnsi="標楷體"/>
                <w:szCs w:val="24"/>
              </w:rPr>
              <w:t>發行人如未符合前述規範而擬委由其他機構從事避險操作者，應依下列事項提出說明</w:t>
            </w:r>
          </w:p>
          <w:p w:rsidR="00A26E74" w:rsidRDefault="00A26E74" w:rsidP="00B86B27">
            <w:pPr>
              <w:numPr>
                <w:ilvl w:val="0"/>
                <w:numId w:val="20"/>
              </w:numPr>
              <w:suppressAutoHyphens/>
              <w:autoSpaceDE w:val="0"/>
              <w:autoSpaceDN w:val="0"/>
              <w:spacing w:line="400" w:lineRule="atLeast"/>
              <w:ind w:left="737" w:hanging="737"/>
              <w:jc w:val="both"/>
              <w:textAlignment w:val="baseline"/>
              <w:rPr>
                <w:rFonts w:ascii="標楷體" w:eastAsia="標楷體" w:hAnsi="標楷體"/>
                <w:color w:val="000000"/>
                <w:szCs w:val="24"/>
              </w:rPr>
            </w:pPr>
            <w:r>
              <w:rPr>
                <w:rFonts w:ascii="標楷體" w:eastAsia="標楷體" w:hAnsi="標楷體"/>
                <w:color w:val="000000"/>
                <w:szCs w:val="24"/>
              </w:rPr>
              <w:lastRenderedPageBreak/>
              <w:t>擬委託之機構名稱及所營事業</w:t>
            </w:r>
          </w:p>
          <w:p w:rsidR="00A26E74" w:rsidRDefault="00A26E74" w:rsidP="00B86B27">
            <w:pPr>
              <w:numPr>
                <w:ilvl w:val="0"/>
                <w:numId w:val="20"/>
              </w:numPr>
              <w:suppressAutoHyphens/>
              <w:autoSpaceDE w:val="0"/>
              <w:autoSpaceDN w:val="0"/>
              <w:spacing w:line="400" w:lineRule="atLeast"/>
              <w:ind w:left="737" w:hanging="737"/>
              <w:jc w:val="both"/>
              <w:textAlignment w:val="baseline"/>
              <w:rPr>
                <w:rFonts w:ascii="標楷體" w:eastAsia="標楷體" w:hAnsi="標楷體"/>
                <w:color w:val="000000"/>
                <w:szCs w:val="24"/>
              </w:rPr>
            </w:pPr>
            <w:r>
              <w:rPr>
                <w:rFonts w:ascii="標楷體" w:eastAsia="標楷體" w:hAnsi="標楷體"/>
                <w:color w:val="000000"/>
                <w:szCs w:val="24"/>
              </w:rPr>
              <w:t>擬委託機構之避險操作經驗</w:t>
            </w:r>
          </w:p>
          <w:p w:rsidR="00A26E74" w:rsidRDefault="00A26E74" w:rsidP="00B86B27">
            <w:pPr>
              <w:numPr>
                <w:ilvl w:val="0"/>
                <w:numId w:val="20"/>
              </w:numPr>
              <w:suppressAutoHyphens/>
              <w:autoSpaceDE w:val="0"/>
              <w:autoSpaceDN w:val="0"/>
              <w:spacing w:line="400" w:lineRule="atLeast"/>
              <w:ind w:left="737" w:hanging="737"/>
              <w:jc w:val="both"/>
              <w:textAlignment w:val="baseline"/>
              <w:rPr>
                <w:rFonts w:ascii="標楷體" w:eastAsia="標楷體" w:hAnsi="標楷體"/>
                <w:color w:val="000000"/>
                <w:szCs w:val="24"/>
              </w:rPr>
            </w:pPr>
            <w:r>
              <w:rPr>
                <w:rFonts w:ascii="標楷體" w:eastAsia="標楷體" w:hAnsi="標楷體"/>
                <w:color w:val="000000"/>
                <w:szCs w:val="24"/>
              </w:rPr>
              <w:t>是否評估其信用風險或履約能力</w:t>
            </w:r>
          </w:p>
          <w:p w:rsidR="00A26E74" w:rsidRDefault="00A26E74" w:rsidP="00A26E74">
            <w:pPr>
              <w:numPr>
                <w:ilvl w:val="0"/>
                <w:numId w:val="21"/>
              </w:numPr>
              <w:suppressAutoHyphens/>
              <w:autoSpaceDE w:val="0"/>
              <w:autoSpaceDN w:val="0"/>
              <w:spacing w:line="400" w:lineRule="atLeast"/>
              <w:jc w:val="both"/>
              <w:textAlignment w:val="baseline"/>
            </w:pPr>
            <w:r w:rsidRPr="007825BC">
              <w:rPr>
                <w:rFonts w:ascii="標楷體" w:eastAsia="標楷體" w:hAnsi="標楷體"/>
                <w:color w:val="000000"/>
                <w:szCs w:val="24"/>
              </w:rPr>
              <w:t>最近期之財務報告淨值</w:t>
            </w:r>
            <w:r>
              <w:rPr>
                <w:rFonts w:ascii="標楷體" w:eastAsia="標楷體" w:hAnsi="標楷體"/>
                <w:color w:val="000000"/>
                <w:szCs w:val="24"/>
              </w:rPr>
              <w:t>是否達新台幣十億元</w:t>
            </w:r>
          </w:p>
          <w:p w:rsidR="00A26E74" w:rsidRDefault="00A26E74" w:rsidP="00A26E74">
            <w:pPr>
              <w:numPr>
                <w:ilvl w:val="0"/>
                <w:numId w:val="21"/>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其信用評等是否達主管機關所訂發行人之標準</w:t>
            </w:r>
          </w:p>
          <w:p w:rsidR="00A26E74" w:rsidRDefault="00A26E74" w:rsidP="00B86B27">
            <w:pPr>
              <w:numPr>
                <w:ilvl w:val="0"/>
                <w:numId w:val="20"/>
              </w:numPr>
              <w:suppressAutoHyphens/>
              <w:autoSpaceDE w:val="0"/>
              <w:autoSpaceDN w:val="0"/>
              <w:spacing w:line="400" w:lineRule="atLeast"/>
              <w:ind w:left="737" w:hanging="737"/>
              <w:jc w:val="both"/>
              <w:textAlignment w:val="baseline"/>
              <w:rPr>
                <w:rFonts w:ascii="標楷體" w:eastAsia="標楷體" w:hAnsi="標楷體"/>
                <w:color w:val="000000"/>
                <w:szCs w:val="24"/>
              </w:rPr>
            </w:pPr>
            <w:r>
              <w:rPr>
                <w:rFonts w:ascii="標楷體" w:eastAsia="標楷體" w:hAnsi="標楷體"/>
                <w:color w:val="000000"/>
                <w:szCs w:val="24"/>
              </w:rPr>
              <w:t>依前一至三項評估其風險管理制度，是否符合評估要項之要求</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26E74" w:rsidRDefault="00A26E74" w:rsidP="00CC4CA5">
            <w:pPr>
              <w:spacing w:line="400" w:lineRule="atLeast"/>
              <w:rPr>
                <w:rFonts w:ascii="標楷體" w:eastAsia="標楷體" w:hAnsi="標楷體"/>
                <w:color w:val="000000"/>
                <w:szCs w:val="24"/>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26E74" w:rsidRDefault="00A26E74" w:rsidP="00CC4CA5">
            <w:pPr>
              <w:spacing w:line="400" w:lineRule="atLeast"/>
              <w:rPr>
                <w:rFonts w:ascii="標楷體" w:eastAsia="標楷體" w:hAnsi="標楷體"/>
                <w:color w:val="000000"/>
                <w:szCs w:val="24"/>
              </w:rPr>
            </w:pPr>
          </w:p>
        </w:tc>
      </w:tr>
      <w:tr w:rsidR="00A26E74" w:rsidTr="00CC4CA5">
        <w:tc>
          <w:tcPr>
            <w:tcW w:w="59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26E74" w:rsidRDefault="00A26E74" w:rsidP="00A26E74">
            <w:pPr>
              <w:numPr>
                <w:ilvl w:val="0"/>
                <w:numId w:val="19"/>
              </w:numPr>
              <w:suppressAutoHyphens/>
              <w:autoSpaceDE w:val="0"/>
              <w:autoSpaceDN w:val="0"/>
              <w:spacing w:line="400" w:lineRule="atLeast"/>
              <w:jc w:val="both"/>
              <w:textAlignment w:val="baseline"/>
              <w:rPr>
                <w:rFonts w:ascii="標楷體" w:eastAsia="標楷體" w:hAnsi="標楷體"/>
                <w:color w:val="000000"/>
                <w:szCs w:val="24"/>
              </w:rPr>
            </w:pPr>
            <w:r>
              <w:rPr>
                <w:rFonts w:ascii="標楷體" w:eastAsia="標楷體" w:hAnsi="標楷體"/>
                <w:color w:val="000000"/>
                <w:szCs w:val="24"/>
              </w:rPr>
              <w:t>預定之風險沖銷策略說明</w:t>
            </w:r>
          </w:p>
          <w:p w:rsidR="00A26E74" w:rsidRDefault="00A26E74" w:rsidP="00CC4CA5">
            <w:pPr>
              <w:autoSpaceDE w:val="0"/>
              <w:spacing w:line="400" w:lineRule="atLeast"/>
              <w:ind w:left="360" w:hanging="360"/>
              <w:jc w:val="both"/>
            </w:pPr>
            <w:r>
              <w:rPr>
                <w:rFonts w:ascii="標楷體" w:eastAsia="標楷體" w:hAnsi="標楷體" w:cs="細明體"/>
                <w:color w:val="000000"/>
                <w:kern w:val="0"/>
                <w:szCs w:val="24"/>
              </w:rPr>
              <w:t>六、依「證券商風險管理評鑑制度作業要點」規定經評鑑是否最近一年為第五等級或最近二年為第四等級者</w:t>
            </w: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26E74" w:rsidRDefault="00A26E74" w:rsidP="00CC4CA5">
            <w:pPr>
              <w:spacing w:line="400" w:lineRule="atLeast"/>
              <w:rPr>
                <w:rFonts w:ascii="標楷體" w:eastAsia="標楷體" w:hAnsi="標楷體"/>
                <w:color w:val="000000"/>
                <w:szCs w:val="24"/>
              </w:rPr>
            </w:pPr>
          </w:p>
          <w:p w:rsidR="00A26E74" w:rsidRDefault="00A26E74" w:rsidP="00CC4CA5">
            <w:pPr>
              <w:spacing w:line="400" w:lineRule="atLeast"/>
              <w:rPr>
                <w:rFonts w:ascii="標楷體" w:eastAsia="標楷體" w:hAnsi="標楷體"/>
                <w:color w:val="000000"/>
                <w:szCs w:val="24"/>
              </w:rPr>
            </w:pPr>
          </w:p>
          <w:p w:rsidR="00A26E74" w:rsidRDefault="00A26E74" w:rsidP="00CC4CA5">
            <w:pPr>
              <w:spacing w:line="400" w:lineRule="atLeast"/>
              <w:rPr>
                <w:rFonts w:ascii="標楷體" w:eastAsia="標楷體" w:hAnsi="標楷體"/>
                <w:color w:val="000000"/>
                <w:szCs w:val="24"/>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26E74" w:rsidRDefault="00A26E74" w:rsidP="00CC4CA5">
            <w:pPr>
              <w:spacing w:line="400" w:lineRule="atLeast"/>
              <w:rPr>
                <w:rFonts w:ascii="標楷體" w:eastAsia="標楷體" w:hAnsi="標楷體"/>
                <w:color w:val="000000"/>
                <w:szCs w:val="24"/>
              </w:rPr>
            </w:pPr>
          </w:p>
        </w:tc>
      </w:tr>
    </w:tbl>
    <w:p w:rsidR="00A26E74" w:rsidRDefault="00A26E74" w:rsidP="00A26E74">
      <w:pPr>
        <w:spacing w:line="400" w:lineRule="atLeast"/>
      </w:pPr>
      <w:r>
        <w:rPr>
          <w:rFonts w:ascii="標楷體" w:eastAsia="標楷體" w:hAnsi="標楷體"/>
          <w:color w:val="000000"/>
          <w:szCs w:val="24"/>
        </w:rPr>
        <w:t>備註：發行人填報之欄位應由發行人註明所附文件之索引及說明</w:t>
      </w:r>
    </w:p>
    <w:p w:rsidR="00BB1DD6" w:rsidRPr="00A26E74" w:rsidRDefault="00BB1DD6"/>
    <w:sectPr w:rsidR="00BB1DD6" w:rsidRPr="00A26E74" w:rsidSect="00A26E7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B26" w:rsidRDefault="00B73B26" w:rsidP="00A26E74">
      <w:r>
        <w:separator/>
      </w:r>
    </w:p>
  </w:endnote>
  <w:endnote w:type="continuationSeparator" w:id="0">
    <w:p w:rsidR="00B73B26" w:rsidRDefault="00B73B26" w:rsidP="00A2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B26" w:rsidRDefault="00B73B26" w:rsidP="00A26E74">
      <w:r>
        <w:separator/>
      </w:r>
    </w:p>
  </w:footnote>
  <w:footnote w:type="continuationSeparator" w:id="0">
    <w:p w:rsidR="00B73B26" w:rsidRDefault="00B73B26" w:rsidP="00A26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481D"/>
    <w:multiLevelType w:val="multilevel"/>
    <w:tmpl w:val="85B64084"/>
    <w:lvl w:ilvl="0">
      <w:start w:val="1"/>
      <w:numFmt w:val="decimal"/>
      <w:lvlText w:val="%1."/>
      <w:lvlJc w:val="left"/>
      <w:pPr>
        <w:ind w:left="720" w:hanging="24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BB10305"/>
    <w:multiLevelType w:val="multilevel"/>
    <w:tmpl w:val="F2788528"/>
    <w:lvl w:ilvl="0">
      <w:start w:val="2"/>
      <w:numFmt w:val="taiwaneseCountingThousand"/>
      <w:lvlText w:val="（%1）"/>
      <w:lvlJc w:val="left"/>
      <w:pPr>
        <w:ind w:left="720" w:hanging="72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06905D6"/>
    <w:multiLevelType w:val="multilevel"/>
    <w:tmpl w:val="3188BA56"/>
    <w:lvl w:ilvl="0">
      <w:start w:val="1"/>
      <w:numFmt w:val="taiwaneseCountingThousand"/>
      <w:lvlText w:val="（%1）"/>
      <w:lvlJc w:val="left"/>
      <w:pPr>
        <w:ind w:left="735" w:hanging="735"/>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22C1B03"/>
    <w:multiLevelType w:val="multilevel"/>
    <w:tmpl w:val="0232B210"/>
    <w:lvl w:ilvl="0">
      <w:start w:val="3"/>
      <w:numFmt w:val="taiwaneseCountingThousand"/>
      <w:lvlText w:val="（%1）"/>
      <w:lvlJc w:val="left"/>
      <w:pPr>
        <w:ind w:left="735" w:hanging="735"/>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28DE744E"/>
    <w:multiLevelType w:val="multilevel"/>
    <w:tmpl w:val="57362B34"/>
    <w:lvl w:ilvl="0">
      <w:start w:val="1"/>
      <w:numFmt w:val="decimal"/>
      <w:lvlText w:val="%1."/>
      <w:lvlJc w:val="left"/>
      <w:pPr>
        <w:ind w:left="720" w:hanging="24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2CBF48AF"/>
    <w:multiLevelType w:val="multilevel"/>
    <w:tmpl w:val="6ABAE910"/>
    <w:lvl w:ilvl="0">
      <w:start w:val="1"/>
      <w:numFmt w:val="decimal"/>
      <w:lvlText w:val="%1."/>
      <w:lvlJc w:val="left"/>
      <w:pPr>
        <w:ind w:left="720" w:hanging="24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0E33FC3"/>
    <w:multiLevelType w:val="multilevel"/>
    <w:tmpl w:val="9B8E3B28"/>
    <w:lvl w:ilvl="0">
      <w:start w:val="4"/>
      <w:numFmt w:val="taiwaneseCountingThousand"/>
      <w:lvlText w:val="%1、"/>
      <w:lvlJc w:val="left"/>
      <w:pPr>
        <w:ind w:left="495" w:hanging="495"/>
      </w:pPr>
      <w:rPr>
        <w:rFonts w:ascii="標楷體" w:eastAsia="標楷體" w:hAnsi="標楷體"/>
        <w:b w:val="0"/>
        <w:i w:val="0"/>
        <w:color w:val="00000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1EE41C8"/>
    <w:multiLevelType w:val="multilevel"/>
    <w:tmpl w:val="964A19EE"/>
    <w:lvl w:ilvl="0">
      <w:start w:val="1"/>
      <w:numFmt w:val="decimal"/>
      <w:lvlText w:val="%1."/>
      <w:lvlJc w:val="left"/>
      <w:pPr>
        <w:ind w:left="720" w:hanging="24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6965B94"/>
    <w:multiLevelType w:val="multilevel"/>
    <w:tmpl w:val="107A8E58"/>
    <w:lvl w:ilvl="0">
      <w:start w:val="1"/>
      <w:numFmt w:val="decimal"/>
      <w:lvlText w:val="%1."/>
      <w:lvlJc w:val="left"/>
      <w:pPr>
        <w:ind w:left="720" w:hanging="24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407B7F52"/>
    <w:multiLevelType w:val="multilevel"/>
    <w:tmpl w:val="9A48255C"/>
    <w:lvl w:ilvl="0">
      <w:start w:val="1"/>
      <w:numFmt w:val="taiwaneseCountingThousand"/>
      <w:lvlText w:val="（%1）"/>
      <w:lvlJc w:val="left"/>
      <w:pPr>
        <w:ind w:left="735" w:hanging="735"/>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4AED34C5"/>
    <w:multiLevelType w:val="multilevel"/>
    <w:tmpl w:val="398AAC44"/>
    <w:lvl w:ilvl="0">
      <w:start w:val="1"/>
      <w:numFmt w:val="decimal"/>
      <w:lvlText w:val="%1."/>
      <w:lvlJc w:val="left"/>
      <w:pPr>
        <w:ind w:left="720" w:hanging="24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D8E0105"/>
    <w:multiLevelType w:val="multilevel"/>
    <w:tmpl w:val="78F238CA"/>
    <w:lvl w:ilvl="0">
      <w:start w:val="1"/>
      <w:numFmt w:val="taiwaneseCountingThousand"/>
      <w:lvlText w:val="（%1）"/>
      <w:lvlJc w:val="left"/>
      <w:pPr>
        <w:ind w:left="570" w:hanging="57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2C173AE"/>
    <w:multiLevelType w:val="multilevel"/>
    <w:tmpl w:val="3AF644D2"/>
    <w:lvl w:ilvl="0">
      <w:start w:val="3"/>
      <w:numFmt w:val="taiwaneseCountingThousand"/>
      <w:lvlText w:val="%1、"/>
      <w:lvlJc w:val="left"/>
      <w:pPr>
        <w:ind w:left="480" w:hanging="48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89813DD"/>
    <w:multiLevelType w:val="multilevel"/>
    <w:tmpl w:val="7BEEEBFC"/>
    <w:lvl w:ilvl="0">
      <w:start w:val="1"/>
      <w:numFmt w:val="decimal"/>
      <w:lvlText w:val="%1."/>
      <w:lvlJc w:val="left"/>
      <w:pPr>
        <w:ind w:left="720" w:hanging="24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DD61545"/>
    <w:multiLevelType w:val="multilevel"/>
    <w:tmpl w:val="48A8C610"/>
    <w:lvl w:ilvl="0">
      <w:start w:val="1"/>
      <w:numFmt w:val="decimal"/>
      <w:lvlText w:val="%1."/>
      <w:lvlJc w:val="left"/>
      <w:pPr>
        <w:ind w:left="810" w:hanging="24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694E2E8E"/>
    <w:multiLevelType w:val="multilevel"/>
    <w:tmpl w:val="53ECF3D2"/>
    <w:lvl w:ilvl="0">
      <w:start w:val="3"/>
      <w:numFmt w:val="taiwaneseCountingThousand"/>
      <w:lvlText w:val="（%1）"/>
      <w:lvlJc w:val="left"/>
      <w:pPr>
        <w:ind w:left="720" w:hanging="72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6D23381F"/>
    <w:multiLevelType w:val="multilevel"/>
    <w:tmpl w:val="86AE6AC6"/>
    <w:lvl w:ilvl="0">
      <w:start w:val="4"/>
      <w:numFmt w:val="taiwaneseCountingThousand"/>
      <w:lvlText w:val="（%1）"/>
      <w:lvlJc w:val="left"/>
      <w:pPr>
        <w:ind w:left="735" w:hanging="735"/>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71E93B30"/>
    <w:multiLevelType w:val="multilevel"/>
    <w:tmpl w:val="BD5617B8"/>
    <w:lvl w:ilvl="0">
      <w:start w:val="1"/>
      <w:numFmt w:val="taiwaneseCountingThousand"/>
      <w:lvlText w:val="（%1）"/>
      <w:lvlJc w:val="left"/>
      <w:pPr>
        <w:ind w:left="735" w:hanging="735"/>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4617342"/>
    <w:multiLevelType w:val="multilevel"/>
    <w:tmpl w:val="E22AF986"/>
    <w:lvl w:ilvl="0">
      <w:start w:val="2"/>
      <w:numFmt w:val="taiwaneseCountingThousand"/>
      <w:lvlText w:val="（%1）"/>
      <w:lvlJc w:val="left"/>
      <w:pPr>
        <w:ind w:left="735" w:hanging="735"/>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4EC4667"/>
    <w:multiLevelType w:val="multilevel"/>
    <w:tmpl w:val="37F4FC28"/>
    <w:lvl w:ilvl="0">
      <w:start w:val="4"/>
      <w:numFmt w:val="taiwaneseCountingThousand"/>
      <w:lvlText w:val="（%1）"/>
      <w:lvlJc w:val="left"/>
      <w:pPr>
        <w:ind w:left="720" w:hanging="72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782E4768"/>
    <w:multiLevelType w:val="multilevel"/>
    <w:tmpl w:val="235E2318"/>
    <w:lvl w:ilvl="0">
      <w:start w:val="1"/>
      <w:numFmt w:val="decimal"/>
      <w:lvlText w:val="%1."/>
      <w:lvlJc w:val="left"/>
      <w:pPr>
        <w:ind w:left="720" w:hanging="240"/>
      </w:pPr>
      <w:rPr>
        <w:rFonts w:ascii="標楷體" w:eastAsia="標楷體" w:hAnsi="標楷體"/>
        <w:b w:val="0"/>
        <w:i w:val="0"/>
        <w:sz w:val="24"/>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2"/>
  </w:num>
  <w:num w:numId="2">
    <w:abstractNumId w:val="10"/>
  </w:num>
  <w:num w:numId="3">
    <w:abstractNumId w:val="1"/>
  </w:num>
  <w:num w:numId="4">
    <w:abstractNumId w:val="4"/>
  </w:num>
  <w:num w:numId="5">
    <w:abstractNumId w:val="3"/>
  </w:num>
  <w:num w:numId="6">
    <w:abstractNumId w:val="13"/>
  </w:num>
  <w:num w:numId="7">
    <w:abstractNumId w:val="19"/>
  </w:num>
  <w:num w:numId="8">
    <w:abstractNumId w:val="7"/>
  </w:num>
  <w:num w:numId="9">
    <w:abstractNumId w:val="17"/>
  </w:num>
  <w:num w:numId="10">
    <w:abstractNumId w:val="20"/>
  </w:num>
  <w:num w:numId="11">
    <w:abstractNumId w:val="18"/>
  </w:num>
  <w:num w:numId="12">
    <w:abstractNumId w:val="8"/>
  </w:num>
  <w:num w:numId="13">
    <w:abstractNumId w:val="15"/>
  </w:num>
  <w:num w:numId="14">
    <w:abstractNumId w:val="5"/>
  </w:num>
  <w:num w:numId="15">
    <w:abstractNumId w:val="16"/>
  </w:num>
  <w:num w:numId="16">
    <w:abstractNumId w:val="0"/>
  </w:num>
  <w:num w:numId="17">
    <w:abstractNumId w:val="12"/>
  </w:num>
  <w:num w:numId="18">
    <w:abstractNumId w:val="9"/>
  </w:num>
  <w:num w:numId="19">
    <w:abstractNumId w:val="6"/>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E74"/>
    <w:rsid w:val="007648E9"/>
    <w:rsid w:val="00A26E74"/>
    <w:rsid w:val="00B73B26"/>
    <w:rsid w:val="00B86B27"/>
    <w:rsid w:val="00BB1D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C26AE"/>
  <w15:chartTrackingRefBased/>
  <w15:docId w15:val="{9A8C07D9-3E80-4F21-A2BE-62C9516E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E74"/>
    <w:pPr>
      <w:widowControl w:val="0"/>
    </w:pPr>
  </w:style>
  <w:style w:type="paragraph" w:styleId="1">
    <w:name w:val="heading 1"/>
    <w:basedOn w:val="a"/>
    <w:next w:val="a"/>
    <w:link w:val="10"/>
    <w:uiPriority w:val="9"/>
    <w:qFormat/>
    <w:rsid w:val="00A26E74"/>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26E74"/>
    <w:rPr>
      <w:rFonts w:asciiTheme="majorHAnsi" w:eastAsiaTheme="majorEastAsia" w:hAnsiTheme="majorHAnsi" w:cstheme="majorBidi"/>
      <w:b/>
      <w:bCs/>
      <w:kern w:val="52"/>
      <w:sz w:val="52"/>
      <w:szCs w:val="52"/>
    </w:rPr>
  </w:style>
  <w:style w:type="paragraph" w:styleId="2">
    <w:name w:val="Body Text Indent 2"/>
    <w:basedOn w:val="a"/>
    <w:link w:val="20"/>
    <w:uiPriority w:val="99"/>
    <w:semiHidden/>
    <w:unhideWhenUsed/>
    <w:rsid w:val="00A26E74"/>
    <w:pPr>
      <w:spacing w:after="120" w:line="480" w:lineRule="auto"/>
      <w:ind w:leftChars="200" w:left="480"/>
    </w:pPr>
  </w:style>
  <w:style w:type="character" w:customStyle="1" w:styleId="20">
    <w:name w:val="本文縮排 2 字元"/>
    <w:basedOn w:val="a0"/>
    <w:link w:val="2"/>
    <w:uiPriority w:val="99"/>
    <w:semiHidden/>
    <w:rsid w:val="00A26E74"/>
  </w:style>
  <w:style w:type="paragraph" w:styleId="a3">
    <w:name w:val="header"/>
    <w:basedOn w:val="a"/>
    <w:link w:val="a4"/>
    <w:uiPriority w:val="99"/>
    <w:unhideWhenUsed/>
    <w:rsid w:val="00A26E74"/>
    <w:pPr>
      <w:tabs>
        <w:tab w:val="center" w:pos="4153"/>
        <w:tab w:val="right" w:pos="8306"/>
      </w:tabs>
      <w:snapToGrid w:val="0"/>
    </w:pPr>
    <w:rPr>
      <w:sz w:val="20"/>
      <w:szCs w:val="20"/>
    </w:rPr>
  </w:style>
  <w:style w:type="character" w:customStyle="1" w:styleId="a4">
    <w:name w:val="頁首 字元"/>
    <w:basedOn w:val="a0"/>
    <w:link w:val="a3"/>
    <w:uiPriority w:val="99"/>
    <w:rsid w:val="00A26E74"/>
    <w:rPr>
      <w:sz w:val="20"/>
      <w:szCs w:val="20"/>
    </w:rPr>
  </w:style>
  <w:style w:type="paragraph" w:styleId="a5">
    <w:name w:val="footer"/>
    <w:basedOn w:val="a"/>
    <w:link w:val="a6"/>
    <w:uiPriority w:val="99"/>
    <w:unhideWhenUsed/>
    <w:rsid w:val="00A26E74"/>
    <w:pPr>
      <w:tabs>
        <w:tab w:val="center" w:pos="4153"/>
        <w:tab w:val="right" w:pos="8306"/>
      </w:tabs>
      <w:snapToGrid w:val="0"/>
    </w:pPr>
    <w:rPr>
      <w:sz w:val="20"/>
      <w:szCs w:val="20"/>
    </w:rPr>
  </w:style>
  <w:style w:type="character" w:customStyle="1" w:styleId="a6">
    <w:name w:val="頁尾 字元"/>
    <w:basedOn w:val="a0"/>
    <w:link w:val="a5"/>
    <w:uiPriority w:val="99"/>
    <w:rsid w:val="00A26E7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0774</dc:creator>
  <cp:keywords/>
  <dc:description/>
  <cp:lastModifiedBy>陳偉瑜</cp:lastModifiedBy>
  <cp:revision>2</cp:revision>
  <dcterms:created xsi:type="dcterms:W3CDTF">2018-02-21T03:15:00Z</dcterms:created>
  <dcterms:modified xsi:type="dcterms:W3CDTF">2018-02-23T01:09:00Z</dcterms:modified>
</cp:coreProperties>
</file>