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7B" w:rsidRPr="00886F7F" w:rsidRDefault="0036407B" w:rsidP="0036407B">
      <w:pPr>
        <w:spacing w:line="360" w:lineRule="exact"/>
        <w:rPr>
          <w:rFonts w:ascii="標楷體" w:eastAsia="標楷體" w:hAnsi="標楷體"/>
          <w:color w:val="000000"/>
          <w:szCs w:val="24"/>
        </w:rPr>
      </w:pPr>
      <w:r w:rsidRPr="00886F7F">
        <w:rPr>
          <w:rFonts w:ascii="標楷體" w:eastAsia="標楷體" w:hAnsi="標楷體" w:hint="eastAsia"/>
          <w:color w:val="000000"/>
          <w:szCs w:val="24"/>
        </w:rPr>
        <w:t>附表一、發行認購（售）權證資格認可申請書附件檢查表</w:t>
      </w:r>
    </w:p>
    <w:p w:rsidR="0036407B" w:rsidRPr="00886F7F" w:rsidRDefault="0036407B" w:rsidP="0036407B">
      <w:p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rPr>
        <w:t>申請機構名稱：</w:t>
      </w:r>
    </w:p>
    <w:p w:rsidR="0036407B" w:rsidRPr="00886F7F" w:rsidRDefault="0036407B" w:rsidP="0036407B">
      <w:p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rPr>
        <w:t>上市申請書收文日期：</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年</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月</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日，收文字號：第</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號</w:t>
      </w:r>
    </w:p>
    <w:p w:rsidR="0036407B" w:rsidRPr="00886F7F" w:rsidRDefault="0036407B" w:rsidP="0036407B">
      <w:p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rPr>
        <w:t>承辦人：</w:t>
      </w:r>
      <w:r w:rsidRPr="00886F7F">
        <w:rPr>
          <w:rFonts w:ascii="標楷體" w:eastAsia="標楷體" w:hAnsi="標楷體"/>
          <w:color w:val="000000"/>
          <w:szCs w:val="24"/>
        </w:rPr>
        <w:t xml:space="preserve">                                </w:t>
      </w:r>
      <w:r w:rsidRPr="00886F7F">
        <w:rPr>
          <w:rFonts w:ascii="標楷體" w:eastAsia="標楷體" w:hAnsi="標楷體" w:hint="eastAsia"/>
          <w:color w:val="000000"/>
          <w:szCs w:val="24"/>
        </w:rPr>
        <w:t>填表日期：</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8"/>
        <w:gridCol w:w="7740"/>
      </w:tblGrid>
      <w:tr w:rsidR="0036407B" w:rsidRPr="00886F7F" w:rsidTr="00BC0DB3">
        <w:tc>
          <w:tcPr>
            <w:tcW w:w="1468" w:type="dxa"/>
          </w:tcPr>
          <w:p w:rsidR="0036407B" w:rsidRPr="00886F7F" w:rsidRDefault="0036407B" w:rsidP="00BC0DB3">
            <w:pPr>
              <w:spacing w:line="360" w:lineRule="exact"/>
              <w:rPr>
                <w:rFonts w:ascii="標楷體" w:eastAsia="標楷體" w:hAnsi="標楷體"/>
                <w:color w:val="000000"/>
                <w:szCs w:val="24"/>
              </w:rPr>
            </w:pPr>
            <w:r w:rsidRPr="00886F7F">
              <w:rPr>
                <w:rFonts w:ascii="標楷體" w:eastAsia="標楷體" w:hAnsi="標楷體" w:hint="eastAsia"/>
                <w:color w:val="000000"/>
                <w:szCs w:val="24"/>
              </w:rPr>
              <w:t>檢送紀錄</w:t>
            </w:r>
            <w:r w:rsidRPr="00886F7F">
              <w:rPr>
                <w:rFonts w:ascii="標楷體" w:eastAsia="標楷體" w:hAnsi="標楷體"/>
                <w:color w:val="000000"/>
                <w:szCs w:val="24"/>
              </w:rPr>
              <w:t>(</w:t>
            </w:r>
            <w:proofErr w:type="gramStart"/>
            <w:r w:rsidRPr="00886F7F">
              <w:rPr>
                <w:rFonts w:ascii="標楷體" w:eastAsia="標楷體" w:hAnsi="標楷體" w:hint="eastAsia"/>
                <w:color w:val="000000"/>
                <w:szCs w:val="24"/>
              </w:rPr>
              <w:t>註</w:t>
            </w:r>
            <w:proofErr w:type="gramEnd"/>
            <w:r w:rsidRPr="00886F7F">
              <w:rPr>
                <w:rFonts w:ascii="標楷體" w:eastAsia="標楷體" w:hAnsi="標楷體"/>
                <w:color w:val="000000"/>
                <w:szCs w:val="24"/>
              </w:rPr>
              <w:t>)</w:t>
            </w:r>
          </w:p>
        </w:tc>
        <w:tc>
          <w:tcPr>
            <w:tcW w:w="7740" w:type="dxa"/>
          </w:tcPr>
          <w:p w:rsidR="0036407B" w:rsidRPr="00886F7F" w:rsidRDefault="0036407B" w:rsidP="00BC0DB3">
            <w:pPr>
              <w:spacing w:line="360" w:lineRule="exact"/>
              <w:rPr>
                <w:rFonts w:ascii="標楷體" w:eastAsia="標楷體" w:hAnsi="標楷體"/>
                <w:color w:val="000000"/>
                <w:szCs w:val="24"/>
              </w:rPr>
            </w:pPr>
            <w:r w:rsidRPr="00886F7F">
              <w:rPr>
                <w:rFonts w:ascii="標楷體" w:eastAsia="標楷體" w:hAnsi="標楷體" w:hint="eastAsia"/>
                <w:color w:val="000000"/>
                <w:szCs w:val="24"/>
              </w:rPr>
              <w:t>附件名稱</w:t>
            </w:r>
          </w:p>
        </w:tc>
      </w:tr>
      <w:tr w:rsidR="0036407B" w:rsidRPr="00886F7F" w:rsidTr="00BC0DB3">
        <w:tc>
          <w:tcPr>
            <w:tcW w:w="1468" w:type="dxa"/>
          </w:tcPr>
          <w:p w:rsidR="0036407B" w:rsidRPr="00886F7F" w:rsidRDefault="0036407B" w:rsidP="00BC0DB3">
            <w:pPr>
              <w:spacing w:line="360" w:lineRule="exact"/>
              <w:rPr>
                <w:rFonts w:ascii="標楷體" w:eastAsia="標楷體" w:hAnsi="標楷體"/>
                <w:color w:val="000000"/>
                <w:szCs w:val="24"/>
              </w:rPr>
            </w:pPr>
          </w:p>
        </w:tc>
        <w:tc>
          <w:tcPr>
            <w:tcW w:w="7740" w:type="dxa"/>
          </w:tcPr>
          <w:p w:rsidR="0036407B" w:rsidRPr="00886F7F" w:rsidRDefault="0036407B" w:rsidP="00BC0DB3">
            <w:pPr>
              <w:numPr>
                <w:ilvl w:val="0"/>
                <w:numId w:val="1"/>
              </w:num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rPr>
              <w:t>發行人無</w:t>
            </w:r>
            <w:r w:rsidRPr="00886F7F">
              <w:rPr>
                <w:rFonts w:ascii="標楷體" w:eastAsia="標楷體" w:hAnsi="標楷體" w:hint="eastAsia"/>
                <w:szCs w:val="24"/>
              </w:rPr>
              <w:t>發行處理準則</w:t>
            </w:r>
            <w:r w:rsidRPr="00886F7F">
              <w:rPr>
                <w:rFonts w:ascii="標楷體" w:eastAsia="標楷體" w:hAnsi="標楷體" w:hint="eastAsia"/>
                <w:color w:val="000000"/>
                <w:szCs w:val="24"/>
              </w:rPr>
              <w:t>第七條所訂情事之聲明書及證明文件。</w:t>
            </w:r>
          </w:p>
          <w:p w:rsidR="0036407B" w:rsidRPr="00886F7F" w:rsidRDefault="0036407B" w:rsidP="00BC0DB3">
            <w:pPr>
              <w:pStyle w:val="a3"/>
              <w:adjustRightInd w:val="0"/>
              <w:spacing w:line="360" w:lineRule="exact"/>
              <w:ind w:leftChars="150" w:left="480" w:hangingChars="50" w:hanging="120"/>
              <w:textAlignment w:val="baseline"/>
              <w:rPr>
                <w:rFonts w:hAnsi="標楷體"/>
                <w:color w:val="000000"/>
                <w:kern w:val="0"/>
                <w:sz w:val="24"/>
                <w:szCs w:val="24"/>
              </w:rPr>
            </w:pPr>
            <w:r w:rsidRPr="00886F7F">
              <w:rPr>
                <w:rFonts w:hAnsi="標楷體" w:hint="eastAsia"/>
                <w:color w:val="000000"/>
                <w:kern w:val="0"/>
                <w:sz w:val="24"/>
                <w:szCs w:val="24"/>
              </w:rPr>
              <w:t>（其應檢送證明文件者計第三款之國內無退票紀錄證明，其餘各款則應檢送聲明書）。</w:t>
            </w:r>
          </w:p>
          <w:p w:rsidR="0036407B" w:rsidRPr="00886F7F" w:rsidRDefault="0036407B" w:rsidP="00BC0DB3">
            <w:pPr>
              <w:numPr>
                <w:ilvl w:val="0"/>
                <w:numId w:val="1"/>
              </w:num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rPr>
              <w:t>發行人最近</w:t>
            </w:r>
            <w:proofErr w:type="gramStart"/>
            <w:r w:rsidRPr="00886F7F">
              <w:rPr>
                <w:rFonts w:ascii="標楷體" w:eastAsia="標楷體" w:hAnsi="標楷體" w:hint="eastAsia"/>
                <w:color w:val="000000"/>
                <w:szCs w:val="24"/>
              </w:rPr>
              <w:t>二</w:t>
            </w:r>
            <w:proofErr w:type="gramEnd"/>
            <w:r w:rsidRPr="00886F7F">
              <w:rPr>
                <w:rFonts w:ascii="標楷體" w:eastAsia="標楷體" w:hAnsi="標楷體" w:hint="eastAsia"/>
                <w:color w:val="000000"/>
                <w:szCs w:val="24"/>
              </w:rPr>
              <w:t>年度經會計師查核</w:t>
            </w:r>
            <w:r w:rsidRPr="00886F7F">
              <w:rPr>
                <w:rFonts w:ascii="標楷體" w:eastAsia="標楷體" w:hAnsi="標楷體" w:hint="eastAsia"/>
                <w:color w:val="000000"/>
                <w:szCs w:val="24"/>
                <w:u w:val="single"/>
              </w:rPr>
              <w:t>簽證</w:t>
            </w:r>
            <w:r w:rsidRPr="00886F7F">
              <w:rPr>
                <w:rFonts w:ascii="標楷體" w:eastAsia="標楷體" w:hAnsi="標楷體" w:hint="eastAsia"/>
                <w:color w:val="000000"/>
                <w:szCs w:val="24"/>
              </w:rPr>
              <w:t>之財務報告</w:t>
            </w:r>
            <w:proofErr w:type="gramStart"/>
            <w:r w:rsidRPr="00886F7F">
              <w:rPr>
                <w:rFonts w:ascii="標楷體" w:eastAsia="標楷體" w:hAnsi="標楷體" w:hint="eastAsia"/>
                <w:color w:val="000000"/>
                <w:szCs w:val="24"/>
              </w:rPr>
              <w:t>﹐</w:t>
            </w:r>
            <w:proofErr w:type="gramEnd"/>
            <w:r w:rsidRPr="00886F7F">
              <w:rPr>
                <w:rFonts w:ascii="標楷體" w:eastAsia="標楷體" w:hAnsi="標楷體" w:hint="eastAsia"/>
                <w:color w:val="000000"/>
                <w:szCs w:val="24"/>
              </w:rPr>
              <w:t>申請日期逾年度六個月者</w:t>
            </w:r>
            <w:proofErr w:type="gramStart"/>
            <w:r w:rsidRPr="00886F7F">
              <w:rPr>
                <w:rFonts w:ascii="標楷體" w:eastAsia="標楷體" w:hAnsi="標楷體" w:hint="eastAsia"/>
                <w:color w:val="000000"/>
                <w:szCs w:val="24"/>
              </w:rPr>
              <w:t>﹐</w:t>
            </w:r>
            <w:proofErr w:type="gramEnd"/>
            <w:r w:rsidRPr="00886F7F">
              <w:rPr>
                <w:rFonts w:ascii="標楷體" w:eastAsia="標楷體" w:hAnsi="標楷體" w:hint="eastAsia"/>
                <w:color w:val="000000"/>
                <w:szCs w:val="24"/>
              </w:rPr>
              <w:t>應加送經會計師查核簽證或核閱之上半年度財務報告</w:t>
            </w:r>
            <w:r w:rsidRPr="00886F7F">
              <w:rPr>
                <w:rFonts w:ascii="標楷體" w:eastAsia="標楷體" w:hAnsi="標楷體"/>
                <w:color w:val="000000"/>
                <w:szCs w:val="24"/>
              </w:rPr>
              <w:t>(</w:t>
            </w:r>
            <w:r w:rsidRPr="00886F7F">
              <w:rPr>
                <w:rFonts w:ascii="標楷體" w:eastAsia="標楷體" w:hAnsi="標楷體" w:hint="eastAsia"/>
                <w:color w:val="000000"/>
                <w:szCs w:val="24"/>
              </w:rPr>
              <w:t>外國機構得依所屬國法令規定之格式編製，並應由中華民國會計師就中華民國與外國機構所屬國所適用會計原則之差異及其對財務報告之影響表示意見</w:t>
            </w:r>
            <w:proofErr w:type="gramStart"/>
            <w:r w:rsidRPr="00886F7F">
              <w:rPr>
                <w:rFonts w:ascii="標楷體" w:eastAsia="標楷體" w:hAnsi="標楷體" w:hint="eastAsia"/>
                <w:color w:val="000000"/>
                <w:szCs w:val="24"/>
              </w:rPr>
              <w:t>）</w:t>
            </w:r>
            <w:proofErr w:type="gramEnd"/>
            <w:r w:rsidRPr="00886F7F">
              <w:rPr>
                <w:rFonts w:ascii="標楷體" w:eastAsia="標楷體" w:hAnsi="標楷體" w:hint="eastAsia"/>
                <w:color w:val="000000"/>
                <w:szCs w:val="24"/>
              </w:rPr>
              <w:t>。</w:t>
            </w:r>
          </w:p>
          <w:p w:rsidR="0036407B" w:rsidRPr="00886F7F" w:rsidRDefault="0036407B" w:rsidP="00BC0DB3">
            <w:pPr>
              <w:numPr>
                <w:ilvl w:val="0"/>
                <w:numId w:val="1"/>
              </w:num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rPr>
              <w:t>本國</w:t>
            </w:r>
            <w:r w:rsidRPr="00886F7F">
              <w:rPr>
                <w:rFonts w:ascii="標楷體" w:eastAsia="標楷體" w:hAnsi="標楷體" w:hint="eastAsia"/>
                <w:color w:val="000000"/>
                <w:szCs w:val="24"/>
                <w:u w:val="single"/>
              </w:rPr>
              <w:t>或外國</w:t>
            </w:r>
            <w:r w:rsidRPr="00886F7F">
              <w:rPr>
                <w:rFonts w:ascii="標楷體" w:eastAsia="標楷體" w:hAnsi="標楷體" w:hint="eastAsia"/>
                <w:color w:val="000000"/>
                <w:szCs w:val="24"/>
              </w:rPr>
              <w:t>發行人符合</w:t>
            </w:r>
            <w:r w:rsidRPr="00886F7F">
              <w:rPr>
                <w:rFonts w:ascii="標楷體" w:eastAsia="標楷體" w:hAnsi="標楷體" w:hint="eastAsia"/>
                <w:szCs w:val="24"/>
              </w:rPr>
              <w:t>發行處理準則</w:t>
            </w:r>
            <w:r w:rsidRPr="00886F7F">
              <w:rPr>
                <w:rFonts w:ascii="標楷體" w:eastAsia="標楷體" w:hAnsi="標楷體" w:hint="eastAsia"/>
                <w:color w:val="000000"/>
                <w:szCs w:val="24"/>
              </w:rPr>
              <w:t>第五條第二項</w:t>
            </w:r>
            <w:r w:rsidRPr="00886F7F">
              <w:rPr>
                <w:rFonts w:ascii="標楷體" w:eastAsia="標楷體" w:hAnsi="標楷體" w:hint="eastAsia"/>
                <w:color w:val="000000"/>
                <w:szCs w:val="24"/>
                <w:u w:val="single"/>
              </w:rPr>
              <w:t>或第三項</w:t>
            </w:r>
            <w:r w:rsidRPr="00886F7F">
              <w:rPr>
                <w:rFonts w:ascii="標楷體" w:eastAsia="標楷體" w:hAnsi="標楷體" w:hint="eastAsia"/>
                <w:color w:val="000000"/>
                <w:szCs w:val="24"/>
              </w:rPr>
              <w:t>規定之聲明書及證明文件。</w:t>
            </w:r>
          </w:p>
          <w:p w:rsidR="0036407B" w:rsidRPr="00886F7F" w:rsidRDefault="0036407B" w:rsidP="00BC0DB3">
            <w:pPr>
              <w:spacing w:line="360" w:lineRule="exact"/>
              <w:ind w:left="480" w:hangingChars="200" w:hanging="480"/>
              <w:jc w:val="both"/>
              <w:rPr>
                <w:rFonts w:ascii="標楷體" w:eastAsia="標楷體" w:hAnsi="標楷體"/>
                <w:color w:val="000000"/>
                <w:szCs w:val="24"/>
              </w:rPr>
            </w:pPr>
            <w:r w:rsidRPr="00886F7F">
              <w:rPr>
                <w:rFonts w:ascii="標楷體" w:eastAsia="標楷體" w:hAnsi="標楷體" w:hint="eastAsia"/>
                <w:color w:val="000000"/>
                <w:szCs w:val="24"/>
                <w:u w:val="single"/>
              </w:rPr>
              <w:t>四</w:t>
            </w:r>
            <w:r w:rsidRPr="00886F7F">
              <w:rPr>
                <w:rFonts w:ascii="標楷體" w:eastAsia="標楷體" w:hAnsi="標楷體" w:hint="eastAsia"/>
                <w:color w:val="000000"/>
                <w:szCs w:val="24"/>
              </w:rPr>
              <w:t>、發行人檢送之最近期財務報表時點為止，其衍生性商品之部位、現值、價格評估方式。</w:t>
            </w:r>
          </w:p>
          <w:p w:rsidR="0036407B" w:rsidRPr="00886F7F" w:rsidRDefault="0036407B" w:rsidP="00BC0DB3">
            <w:p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u w:val="single"/>
              </w:rPr>
              <w:t>五</w:t>
            </w:r>
            <w:r w:rsidRPr="00886F7F">
              <w:rPr>
                <w:rFonts w:ascii="標楷體" w:eastAsia="標楷體" w:hAnsi="標楷體" w:hint="eastAsia"/>
                <w:color w:val="000000"/>
                <w:szCs w:val="24"/>
              </w:rPr>
              <w:t>、風險管理制度及預定之風險沖銷策略。</w:t>
            </w:r>
          </w:p>
          <w:p w:rsidR="0036407B" w:rsidRPr="00886F7F" w:rsidRDefault="0036407B" w:rsidP="00BC0DB3">
            <w:p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u w:val="single"/>
              </w:rPr>
              <w:t>六</w:t>
            </w:r>
            <w:r w:rsidRPr="00886F7F">
              <w:rPr>
                <w:rFonts w:ascii="標楷體" w:eastAsia="標楷體" w:hAnsi="標楷體" w:hint="eastAsia"/>
                <w:color w:val="000000"/>
                <w:szCs w:val="24"/>
              </w:rPr>
              <w:t>、律師出具之法律意見書。</w:t>
            </w:r>
          </w:p>
          <w:p w:rsidR="0036407B" w:rsidRPr="00886F7F" w:rsidRDefault="0036407B" w:rsidP="00BC0DB3">
            <w:pPr>
              <w:pStyle w:val="2"/>
              <w:spacing w:line="360" w:lineRule="exact"/>
              <w:ind w:left="480" w:hangingChars="200" w:hanging="480"/>
              <w:jc w:val="both"/>
              <w:rPr>
                <w:rFonts w:hAnsi="標楷體"/>
                <w:b w:val="0"/>
                <w:sz w:val="24"/>
                <w:szCs w:val="24"/>
              </w:rPr>
            </w:pPr>
            <w:r w:rsidRPr="00886F7F">
              <w:rPr>
                <w:rFonts w:hAnsi="標楷體" w:hint="eastAsia"/>
                <w:b w:val="0"/>
                <w:sz w:val="24"/>
                <w:szCs w:val="24"/>
              </w:rPr>
              <w:t>七</w:t>
            </w:r>
            <w:r w:rsidRPr="00886F7F">
              <w:rPr>
                <w:rFonts w:hAnsi="標楷體" w:hint="eastAsia"/>
                <w:b w:val="0"/>
                <w:sz w:val="24"/>
                <w:szCs w:val="24"/>
                <w:u w:val="none"/>
              </w:rPr>
              <w:t>、發行人屬外國機構者，董事會同意函或履約保證切結書及在中華民國境內指定訴訟、行政爭</w:t>
            </w:r>
            <w:proofErr w:type="gramStart"/>
            <w:r w:rsidRPr="00886F7F">
              <w:rPr>
                <w:rFonts w:hAnsi="標楷體" w:hint="eastAsia"/>
                <w:b w:val="0"/>
                <w:sz w:val="24"/>
                <w:szCs w:val="24"/>
                <w:u w:val="none"/>
              </w:rPr>
              <w:t>訟</w:t>
            </w:r>
            <w:proofErr w:type="gramEnd"/>
            <w:r w:rsidRPr="00886F7F">
              <w:rPr>
                <w:rFonts w:hAnsi="標楷體" w:hint="eastAsia"/>
                <w:b w:val="0"/>
                <w:sz w:val="24"/>
                <w:szCs w:val="24"/>
                <w:u w:val="none"/>
              </w:rPr>
              <w:t>或非</w:t>
            </w:r>
            <w:proofErr w:type="gramStart"/>
            <w:r w:rsidRPr="00886F7F">
              <w:rPr>
                <w:rFonts w:hAnsi="標楷體" w:hint="eastAsia"/>
                <w:b w:val="0"/>
                <w:sz w:val="24"/>
                <w:szCs w:val="24"/>
                <w:u w:val="none"/>
              </w:rPr>
              <w:t>訟</w:t>
            </w:r>
            <w:proofErr w:type="gramEnd"/>
            <w:r w:rsidRPr="00886F7F">
              <w:rPr>
                <w:rFonts w:hAnsi="標楷體" w:hint="eastAsia"/>
                <w:b w:val="0"/>
                <w:sz w:val="24"/>
                <w:szCs w:val="24"/>
                <w:u w:val="none"/>
              </w:rPr>
              <w:t>代理人證明文件。</w:t>
            </w:r>
          </w:p>
          <w:p w:rsidR="0036407B" w:rsidRPr="00886F7F" w:rsidRDefault="0036407B" w:rsidP="00BC0DB3">
            <w:pPr>
              <w:pStyle w:val="2"/>
              <w:spacing w:line="360" w:lineRule="exact"/>
              <w:ind w:left="480" w:hangingChars="200" w:hanging="480"/>
              <w:jc w:val="both"/>
              <w:rPr>
                <w:rFonts w:hAnsi="標楷體"/>
                <w:b w:val="0"/>
                <w:sz w:val="24"/>
                <w:szCs w:val="24"/>
              </w:rPr>
            </w:pPr>
            <w:r w:rsidRPr="00886F7F">
              <w:rPr>
                <w:rFonts w:hAnsi="標楷體" w:hint="eastAsia"/>
                <w:b w:val="0"/>
                <w:sz w:val="24"/>
                <w:szCs w:val="24"/>
              </w:rPr>
              <w:t>八</w:t>
            </w:r>
            <w:r w:rsidRPr="00886F7F">
              <w:rPr>
                <w:rFonts w:hAnsi="標楷體" w:hint="eastAsia"/>
                <w:b w:val="0"/>
                <w:sz w:val="24"/>
                <w:szCs w:val="24"/>
                <w:u w:val="none"/>
              </w:rPr>
              <w:t>、外國</w:t>
            </w:r>
            <w:r w:rsidRPr="00886F7F">
              <w:rPr>
                <w:rFonts w:hAnsi="標楷體" w:hint="eastAsia"/>
                <w:b w:val="0"/>
                <w:sz w:val="24"/>
                <w:szCs w:val="24"/>
              </w:rPr>
              <w:t>機構</w:t>
            </w:r>
            <w:r w:rsidRPr="00886F7F">
              <w:rPr>
                <w:rFonts w:hAnsi="標楷體" w:hint="eastAsia"/>
                <w:b w:val="0"/>
                <w:sz w:val="24"/>
                <w:szCs w:val="24"/>
                <w:u w:val="none"/>
              </w:rPr>
              <w:t>係透過直接或間接持股百分之百之子公司在中華民國境內設立分支機構者，與該中華民國境內分</w:t>
            </w:r>
            <w:r w:rsidRPr="00886F7F">
              <w:rPr>
                <w:rFonts w:hAnsi="標楷體" w:hint="eastAsia"/>
                <w:b w:val="0"/>
                <w:sz w:val="24"/>
                <w:szCs w:val="24"/>
              </w:rPr>
              <w:t>公司</w:t>
            </w:r>
            <w:r w:rsidRPr="00886F7F">
              <w:rPr>
                <w:rFonts w:hAnsi="標楷體" w:hint="eastAsia"/>
                <w:b w:val="0"/>
                <w:sz w:val="24"/>
                <w:szCs w:val="24"/>
                <w:u w:val="none"/>
              </w:rPr>
              <w:t>所簽訂之代理契約約定事項。</w:t>
            </w:r>
          </w:p>
          <w:p w:rsidR="0036407B" w:rsidRPr="00886F7F" w:rsidRDefault="0036407B" w:rsidP="00BC0DB3">
            <w:pPr>
              <w:pStyle w:val="2"/>
              <w:spacing w:line="360" w:lineRule="exact"/>
              <w:ind w:left="480" w:hangingChars="200" w:hanging="480"/>
              <w:jc w:val="both"/>
              <w:rPr>
                <w:rFonts w:hAnsi="標楷體"/>
                <w:sz w:val="24"/>
                <w:szCs w:val="24"/>
              </w:rPr>
            </w:pPr>
            <w:r w:rsidRPr="00886F7F">
              <w:rPr>
                <w:rFonts w:hAnsi="標楷體" w:hint="eastAsia"/>
                <w:b w:val="0"/>
                <w:sz w:val="24"/>
                <w:szCs w:val="24"/>
              </w:rPr>
              <w:t>九</w:t>
            </w:r>
            <w:r w:rsidRPr="00886F7F">
              <w:rPr>
                <w:rFonts w:hAnsi="標楷體" w:hint="eastAsia"/>
                <w:b w:val="0"/>
                <w:sz w:val="24"/>
                <w:szCs w:val="24"/>
                <w:u w:val="none"/>
              </w:rPr>
              <w:t>、外匯業務主管機關之同意函（發行人委託外國機構擔任</w:t>
            </w:r>
            <w:r w:rsidRPr="00886F7F">
              <w:rPr>
                <w:rFonts w:hAnsi="標楷體" w:hint="eastAsia"/>
                <w:b w:val="0"/>
                <w:sz w:val="24"/>
                <w:szCs w:val="24"/>
              </w:rPr>
              <w:t>風險管理</w:t>
            </w:r>
            <w:r w:rsidRPr="00886F7F">
              <w:rPr>
                <w:rFonts w:hAnsi="標楷體" w:hint="eastAsia"/>
                <w:b w:val="0"/>
                <w:sz w:val="24"/>
                <w:szCs w:val="24"/>
                <w:u w:val="none"/>
              </w:rPr>
              <w:t>機構或</w:t>
            </w:r>
            <w:r w:rsidRPr="00886F7F">
              <w:rPr>
                <w:rFonts w:hAnsi="標楷體" w:hint="eastAsia"/>
                <w:b w:val="0"/>
                <w:sz w:val="24"/>
                <w:szCs w:val="24"/>
              </w:rPr>
              <w:t>外國</w:t>
            </w:r>
            <w:r w:rsidRPr="00886F7F">
              <w:rPr>
                <w:rFonts w:hAnsi="標楷體" w:hint="eastAsia"/>
                <w:b w:val="0"/>
                <w:sz w:val="24"/>
                <w:szCs w:val="24"/>
                <w:u w:val="none"/>
              </w:rPr>
              <w:t>發行人適用）。</w:t>
            </w:r>
          </w:p>
          <w:p w:rsidR="0036407B" w:rsidRPr="00886F7F" w:rsidRDefault="0036407B" w:rsidP="00BC0DB3">
            <w:pPr>
              <w:pStyle w:val="3"/>
              <w:spacing w:line="360" w:lineRule="exact"/>
              <w:jc w:val="both"/>
              <w:rPr>
                <w:rFonts w:ascii="標楷體" w:eastAsia="標楷體" w:hAnsi="標楷體"/>
                <w:szCs w:val="24"/>
              </w:rPr>
            </w:pPr>
            <w:r w:rsidRPr="00886F7F">
              <w:rPr>
                <w:rFonts w:ascii="標楷體" w:eastAsia="標楷體" w:hAnsi="標楷體" w:hint="eastAsia"/>
                <w:szCs w:val="24"/>
                <w:u w:val="single"/>
              </w:rPr>
              <w:t>十</w:t>
            </w:r>
            <w:r w:rsidRPr="00886F7F">
              <w:rPr>
                <w:rFonts w:ascii="標楷體" w:eastAsia="標楷體" w:hAnsi="標楷體" w:hint="eastAsia"/>
                <w:szCs w:val="24"/>
              </w:rPr>
              <w:t>、公司變更登記後之證明文件或目的事業主管機關許可證照影本。</w:t>
            </w:r>
          </w:p>
          <w:p w:rsidR="0036407B" w:rsidRPr="00886F7F" w:rsidRDefault="0036407B" w:rsidP="00BC0DB3">
            <w:pPr>
              <w:spacing w:line="360" w:lineRule="exact"/>
              <w:jc w:val="both"/>
              <w:rPr>
                <w:rFonts w:ascii="標楷體" w:eastAsia="標楷體" w:hAnsi="標楷體"/>
                <w:color w:val="000000"/>
                <w:szCs w:val="24"/>
              </w:rPr>
            </w:pPr>
            <w:r w:rsidRPr="00886F7F">
              <w:rPr>
                <w:rFonts w:ascii="標楷體" w:eastAsia="標楷體" w:hAnsi="標楷體" w:hint="eastAsia"/>
                <w:color w:val="000000"/>
                <w:szCs w:val="24"/>
                <w:u w:val="single"/>
              </w:rPr>
              <w:t>十一</w:t>
            </w:r>
            <w:r w:rsidRPr="00886F7F">
              <w:rPr>
                <w:rFonts w:ascii="標楷體" w:eastAsia="標楷體" w:hAnsi="標楷體" w:hint="eastAsia"/>
                <w:color w:val="000000"/>
                <w:szCs w:val="24"/>
              </w:rPr>
              <w:t>、其他經主管機關及</w:t>
            </w:r>
            <w:r w:rsidRPr="00CB058F">
              <w:rPr>
                <w:rFonts w:ascii="標楷體" w:eastAsia="標楷體" w:hAnsi="標楷體" w:hint="eastAsia"/>
                <w:color w:val="000000"/>
                <w:szCs w:val="24"/>
                <w:u w:val="single"/>
              </w:rPr>
              <w:t>證券</w:t>
            </w:r>
            <w:r w:rsidRPr="00886F7F">
              <w:rPr>
                <w:rFonts w:ascii="標楷體" w:eastAsia="標楷體" w:hAnsi="標楷體" w:hint="eastAsia"/>
                <w:color w:val="000000"/>
                <w:szCs w:val="24"/>
              </w:rPr>
              <w:t>交易所規定之文件。</w:t>
            </w:r>
          </w:p>
        </w:tc>
      </w:tr>
    </w:tbl>
    <w:p w:rsidR="0063623C" w:rsidRDefault="0036407B" w:rsidP="0036407B">
      <w:pPr>
        <w:spacing w:line="360" w:lineRule="exact"/>
      </w:pPr>
      <w:r w:rsidRPr="00886F7F">
        <w:rPr>
          <w:rFonts w:ascii="標楷體" w:eastAsia="標楷體" w:hAnsi="標楷體" w:hint="eastAsia"/>
          <w:color w:val="000000"/>
          <w:szCs w:val="24"/>
        </w:rPr>
        <w:t>備註：發行人填報之欄位應由發行人註明所附文件之索引及說明</w:t>
      </w:r>
    </w:p>
    <w:sectPr w:rsidR="0063623C" w:rsidSect="0063623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0F2" w:rsidRDefault="00A600F2" w:rsidP="0036407B">
      <w:r>
        <w:separator/>
      </w:r>
    </w:p>
  </w:endnote>
  <w:endnote w:type="continuationSeparator" w:id="0">
    <w:p w:rsidR="00A600F2" w:rsidRDefault="00A600F2" w:rsidP="0036407B">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0F2" w:rsidRDefault="00A600F2" w:rsidP="0036407B">
      <w:r>
        <w:separator/>
      </w:r>
    </w:p>
  </w:footnote>
  <w:footnote w:type="continuationSeparator" w:id="0">
    <w:p w:rsidR="00A600F2" w:rsidRDefault="00A600F2" w:rsidP="00364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511845"/>
    <w:multiLevelType w:val="singleLevel"/>
    <w:tmpl w:val="C7E2E00A"/>
    <w:lvl w:ilvl="0">
      <w:start w:val="1"/>
      <w:numFmt w:val="taiwaneseCountingThousand"/>
      <w:lvlText w:val="%1、"/>
      <w:legacy w:legacy="1" w:legacySpace="0" w:legacyIndent="567"/>
      <w:lvlJc w:val="left"/>
      <w:pPr>
        <w:ind w:left="567" w:hanging="567"/>
      </w:pPr>
    </w:lvl>
  </w:abstractNum>
  <w:num w:numId="1">
    <w:abstractNumId w:val="0"/>
    <w:lvlOverride w:ilvl="0">
      <w:lvl w:ilvl="0">
        <w:start w:val="5"/>
        <w:numFmt w:val="taiwaneseCountingThousand"/>
        <w:lvlText w:val="%1、"/>
        <w:legacy w:legacy="1" w:legacySpace="0" w:legacyIndent="480"/>
        <w:lvlJc w:val="left"/>
        <w:pPr>
          <w:ind w:left="480" w:hanging="480"/>
        </w:pPr>
        <w:rPr>
          <w:rFonts w:ascii="標楷體" w:eastAsia="標楷體" w:hint="eastAsia"/>
          <w:b w:val="0"/>
          <w:i w:val="0"/>
          <w:sz w:val="24"/>
          <w:u w:val="none"/>
          <w:lang w:val="en-US"/>
        </w:rPr>
      </w:lvl>
    </w:lvlOverride>
  </w:num>
  <w:num w:numId="2">
    <w:abstractNumId w:val="0"/>
    <w:lvlOverride w:ilvl="0">
      <w:lvl w:ilvl="0">
        <w:start w:val="5"/>
        <w:numFmt w:val="taiwaneseCountingThousand"/>
        <w:lvlText w:val="%1、"/>
        <w:legacy w:legacy="1" w:legacySpace="0" w:legacyIndent="480"/>
        <w:lvlJc w:val="left"/>
        <w:pPr>
          <w:ind w:left="480" w:hanging="480"/>
        </w:pPr>
        <w:rPr>
          <w:rFonts w:ascii="標楷體" w:eastAsia="標楷體" w:hint="eastAsia"/>
          <w:b w:val="0"/>
          <w:i w:val="0"/>
          <w:dstrike/>
          <w:sz w:val="24"/>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407B"/>
    <w:rsid w:val="000A3982"/>
    <w:rsid w:val="00124821"/>
    <w:rsid w:val="0036407B"/>
    <w:rsid w:val="0063623C"/>
    <w:rsid w:val="007B32CD"/>
    <w:rsid w:val="00A600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07B"/>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36407B"/>
    <w:pPr>
      <w:ind w:left="648" w:hanging="648"/>
    </w:pPr>
    <w:rPr>
      <w:rFonts w:ascii="標楷體" w:eastAsia="標楷體"/>
      <w:sz w:val="28"/>
    </w:rPr>
  </w:style>
  <w:style w:type="character" w:customStyle="1" w:styleId="a4">
    <w:name w:val="本文縮排 字元"/>
    <w:basedOn w:val="a0"/>
    <w:link w:val="a3"/>
    <w:semiHidden/>
    <w:rsid w:val="0036407B"/>
    <w:rPr>
      <w:rFonts w:ascii="標楷體" w:eastAsia="標楷體" w:hAnsi="Times New Roman" w:cs="Times New Roman"/>
      <w:sz w:val="28"/>
      <w:szCs w:val="20"/>
    </w:rPr>
  </w:style>
  <w:style w:type="paragraph" w:styleId="2">
    <w:name w:val="Body Text Indent 2"/>
    <w:basedOn w:val="a"/>
    <w:link w:val="20"/>
    <w:semiHidden/>
    <w:rsid w:val="0036407B"/>
    <w:pPr>
      <w:ind w:firstLine="482"/>
    </w:pPr>
    <w:rPr>
      <w:rFonts w:ascii="標楷體" w:eastAsia="標楷體"/>
      <w:b/>
      <w:sz w:val="28"/>
      <w:u w:val="single"/>
    </w:rPr>
  </w:style>
  <w:style w:type="character" w:customStyle="1" w:styleId="20">
    <w:name w:val="本文縮排 2 字元"/>
    <w:basedOn w:val="a0"/>
    <w:link w:val="2"/>
    <w:semiHidden/>
    <w:rsid w:val="0036407B"/>
    <w:rPr>
      <w:rFonts w:ascii="標楷體" w:eastAsia="標楷體" w:hAnsi="Times New Roman" w:cs="Times New Roman"/>
      <w:b/>
      <w:sz w:val="28"/>
      <w:szCs w:val="20"/>
      <w:u w:val="single"/>
    </w:rPr>
  </w:style>
  <w:style w:type="paragraph" w:styleId="3">
    <w:name w:val="Body Text Indent 3"/>
    <w:basedOn w:val="a"/>
    <w:link w:val="30"/>
    <w:semiHidden/>
    <w:rsid w:val="0036407B"/>
    <w:pPr>
      <w:ind w:left="528" w:hanging="528"/>
    </w:pPr>
    <w:rPr>
      <w:rFonts w:ascii="新細明體"/>
    </w:rPr>
  </w:style>
  <w:style w:type="character" w:customStyle="1" w:styleId="30">
    <w:name w:val="本文縮排 3 字元"/>
    <w:basedOn w:val="a0"/>
    <w:link w:val="3"/>
    <w:semiHidden/>
    <w:rsid w:val="0036407B"/>
    <w:rPr>
      <w:rFonts w:ascii="新細明體" w:eastAsia="新細明體" w:hAnsi="Times New Roman" w:cs="Times New Roman"/>
      <w:szCs w:val="20"/>
    </w:rPr>
  </w:style>
  <w:style w:type="paragraph" w:styleId="a5">
    <w:name w:val="header"/>
    <w:basedOn w:val="a"/>
    <w:link w:val="a6"/>
    <w:uiPriority w:val="99"/>
    <w:semiHidden/>
    <w:unhideWhenUsed/>
    <w:rsid w:val="0036407B"/>
    <w:pPr>
      <w:tabs>
        <w:tab w:val="center" w:pos="4153"/>
        <w:tab w:val="right" w:pos="8306"/>
      </w:tabs>
      <w:snapToGrid w:val="0"/>
    </w:pPr>
    <w:rPr>
      <w:sz w:val="20"/>
    </w:rPr>
  </w:style>
  <w:style w:type="character" w:customStyle="1" w:styleId="a6">
    <w:name w:val="頁首 字元"/>
    <w:basedOn w:val="a0"/>
    <w:link w:val="a5"/>
    <w:uiPriority w:val="99"/>
    <w:semiHidden/>
    <w:rsid w:val="0036407B"/>
    <w:rPr>
      <w:rFonts w:ascii="Times New Roman" w:eastAsia="新細明體" w:hAnsi="Times New Roman" w:cs="Times New Roman"/>
      <w:sz w:val="20"/>
      <w:szCs w:val="20"/>
    </w:rPr>
  </w:style>
  <w:style w:type="paragraph" w:styleId="a7">
    <w:name w:val="footer"/>
    <w:basedOn w:val="a"/>
    <w:link w:val="a8"/>
    <w:uiPriority w:val="99"/>
    <w:semiHidden/>
    <w:unhideWhenUsed/>
    <w:rsid w:val="0036407B"/>
    <w:pPr>
      <w:tabs>
        <w:tab w:val="center" w:pos="4153"/>
        <w:tab w:val="right" w:pos="8306"/>
      </w:tabs>
      <w:snapToGrid w:val="0"/>
    </w:pPr>
    <w:rPr>
      <w:sz w:val="20"/>
    </w:rPr>
  </w:style>
  <w:style w:type="character" w:customStyle="1" w:styleId="a8">
    <w:name w:val="頁尾 字元"/>
    <w:basedOn w:val="a0"/>
    <w:link w:val="a7"/>
    <w:uiPriority w:val="99"/>
    <w:semiHidden/>
    <w:rsid w:val="0036407B"/>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2</cp:revision>
  <dcterms:created xsi:type="dcterms:W3CDTF">2016-08-22T05:55:00Z</dcterms:created>
  <dcterms:modified xsi:type="dcterms:W3CDTF">2016-08-22T07:05:00Z</dcterms:modified>
</cp:coreProperties>
</file>