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5A" w:rsidRPr="00DA52C9" w:rsidRDefault="0032565D">
      <w:pPr>
        <w:jc w:val="both"/>
        <w:rPr>
          <w:rFonts w:ascii="標楷體" w:eastAsia="標楷體" w:hAnsi="標楷體"/>
          <w:b/>
          <w:color w:val="000000" w:themeColor="text1"/>
          <w:sz w:val="32"/>
        </w:rPr>
      </w:pPr>
      <w:r w:rsidRPr="00DA52C9">
        <w:rPr>
          <w:rFonts w:ascii="標楷體" w:eastAsia="標楷體" w:hAnsi="標楷體" w:hint="eastAsia"/>
          <w:b/>
          <w:color w:val="000000" w:themeColor="text1"/>
          <w:sz w:val="32"/>
        </w:rPr>
        <w:t>臺灣證券交易所</w:t>
      </w:r>
      <w:r w:rsidR="00E0134F" w:rsidRPr="00DA52C9">
        <w:rPr>
          <w:rFonts w:ascii="標楷體" w:eastAsia="標楷體" w:hAnsi="標楷體" w:hint="eastAsia"/>
          <w:b/>
          <w:color w:val="000000" w:themeColor="text1"/>
          <w:sz w:val="32"/>
        </w:rPr>
        <w:t>有價證券借貸辦法</w:t>
      </w:r>
      <w:r w:rsidR="004C48E1" w:rsidRPr="00DA52C9">
        <w:rPr>
          <w:rFonts w:ascii="標楷體" w:eastAsia="標楷體" w:hAnsi="標楷體" w:hint="eastAsia"/>
          <w:b/>
          <w:color w:val="000000" w:themeColor="text1"/>
          <w:sz w:val="32"/>
        </w:rPr>
        <w:t>部分條文</w:t>
      </w:r>
      <w:r w:rsidR="00E0134F" w:rsidRPr="00DA52C9">
        <w:rPr>
          <w:rFonts w:ascii="標楷體" w:eastAsia="標楷體" w:hAnsi="標楷體" w:hint="eastAsia"/>
          <w:b/>
          <w:color w:val="000000" w:themeColor="text1"/>
          <w:sz w:val="32"/>
        </w:rPr>
        <w:t>修正對照表</w:t>
      </w:r>
    </w:p>
    <w:tbl>
      <w:tblPr>
        <w:tblStyle w:val="a3"/>
        <w:tblW w:w="0" w:type="auto"/>
        <w:tblLook w:val="04A0"/>
      </w:tblPr>
      <w:tblGrid>
        <w:gridCol w:w="2788"/>
        <w:gridCol w:w="2787"/>
        <w:gridCol w:w="2788"/>
      </w:tblGrid>
      <w:tr w:rsidR="00E0134F" w:rsidRPr="00DA52C9" w:rsidTr="00CA3C91">
        <w:tc>
          <w:tcPr>
            <w:tcW w:w="2788" w:type="dxa"/>
          </w:tcPr>
          <w:p w:rsidR="004D705A" w:rsidRPr="00DA52C9" w:rsidRDefault="00E0134F">
            <w:pPr>
              <w:jc w:val="both"/>
              <w:rPr>
                <w:rFonts w:ascii="標楷體" w:eastAsia="標楷體" w:hAnsi="標楷體"/>
                <w:color w:val="000000" w:themeColor="text1"/>
              </w:rPr>
            </w:pPr>
            <w:r w:rsidRPr="00DA52C9">
              <w:rPr>
                <w:rFonts w:ascii="標楷體" w:eastAsia="標楷體" w:hAnsi="標楷體" w:hint="eastAsia"/>
                <w:color w:val="000000" w:themeColor="text1"/>
              </w:rPr>
              <w:t>修正條文</w:t>
            </w:r>
          </w:p>
        </w:tc>
        <w:tc>
          <w:tcPr>
            <w:tcW w:w="2787" w:type="dxa"/>
          </w:tcPr>
          <w:p w:rsidR="004D705A" w:rsidRPr="00DA52C9" w:rsidRDefault="00E0134F">
            <w:pPr>
              <w:jc w:val="both"/>
              <w:rPr>
                <w:rFonts w:ascii="標楷體" w:eastAsia="標楷體" w:hAnsi="標楷體"/>
                <w:color w:val="000000" w:themeColor="text1"/>
              </w:rPr>
            </w:pPr>
            <w:r w:rsidRPr="00DA52C9">
              <w:rPr>
                <w:rFonts w:ascii="標楷體" w:eastAsia="標楷體" w:hAnsi="標楷體" w:hint="eastAsia"/>
                <w:color w:val="000000" w:themeColor="text1"/>
              </w:rPr>
              <w:t>現行條文</w:t>
            </w:r>
          </w:p>
        </w:tc>
        <w:tc>
          <w:tcPr>
            <w:tcW w:w="2788" w:type="dxa"/>
          </w:tcPr>
          <w:p w:rsidR="004D705A" w:rsidRPr="00DA52C9" w:rsidRDefault="00E0134F">
            <w:pPr>
              <w:jc w:val="both"/>
              <w:rPr>
                <w:rFonts w:ascii="標楷體" w:eastAsia="標楷體" w:hAnsi="標楷體"/>
                <w:color w:val="000000" w:themeColor="text1"/>
              </w:rPr>
            </w:pPr>
            <w:r w:rsidRPr="00DA52C9">
              <w:rPr>
                <w:rFonts w:ascii="標楷體" w:eastAsia="標楷體" w:hAnsi="標楷體" w:hint="eastAsia"/>
                <w:color w:val="000000" w:themeColor="text1"/>
              </w:rPr>
              <w:t>說明</w:t>
            </w:r>
          </w:p>
        </w:tc>
      </w:tr>
      <w:tr w:rsidR="008F1BBF" w:rsidRPr="00DA52C9" w:rsidTr="00CA3C91">
        <w:tc>
          <w:tcPr>
            <w:tcW w:w="2788" w:type="dxa"/>
          </w:tcPr>
          <w:p w:rsidR="008F1BBF" w:rsidRPr="00DA52C9" w:rsidRDefault="008F1BBF" w:rsidP="00D011B8">
            <w:pPr>
              <w:autoSpaceDE w:val="0"/>
              <w:autoSpaceDN w:val="0"/>
              <w:jc w:val="both"/>
              <w:rPr>
                <w:rFonts w:ascii="標楷體" w:eastAsia="標楷體" w:hAnsi="標楷體" w:cs="標楷體"/>
                <w:color w:val="000000" w:themeColor="text1"/>
                <w:lang w:val="zh-TW"/>
              </w:rPr>
            </w:pPr>
            <w:r w:rsidRPr="00DA52C9">
              <w:rPr>
                <w:rFonts w:ascii="標楷體" w:eastAsia="標楷體" w:hAnsi="標楷體" w:cs="標楷體" w:hint="eastAsia"/>
                <w:color w:val="000000" w:themeColor="text1"/>
                <w:lang w:val="zh-TW"/>
              </w:rPr>
              <w:t>第九條</w:t>
            </w:r>
          </w:p>
          <w:p w:rsidR="004D705A" w:rsidRPr="00DA52C9" w:rsidRDefault="008F1BBF" w:rsidP="00D011B8">
            <w:pPr>
              <w:kinsoku w:val="0"/>
              <w:ind w:firstLineChars="236" w:firstLine="566"/>
              <w:jc w:val="both"/>
              <w:rPr>
                <w:rFonts w:ascii="標楷體" w:eastAsia="標楷體" w:hAnsi="標楷體" w:cs="標楷體"/>
                <w:color w:val="000000" w:themeColor="text1"/>
                <w:lang w:val="zh-TW"/>
              </w:rPr>
            </w:pPr>
            <w:r w:rsidRPr="00DA52C9">
              <w:rPr>
                <w:rFonts w:ascii="標楷體" w:eastAsia="標楷體" w:hAnsi="標楷體" w:cs="標楷體" w:hint="eastAsia"/>
                <w:color w:val="000000" w:themeColor="text1"/>
                <w:lang w:val="zh-TW"/>
              </w:rPr>
              <w:t>借貸交易人與證券商間、借貸交易人與本公司</w:t>
            </w:r>
            <w:r w:rsidR="00BC3B26" w:rsidRPr="00BC3B26">
              <w:rPr>
                <w:rFonts w:ascii="標楷體" w:eastAsia="標楷體" w:hAnsi="標楷體" w:cs="標楷體" w:hint="eastAsia"/>
                <w:u w:val="single"/>
                <w:lang w:val="zh-TW"/>
              </w:rPr>
              <w:t>間</w:t>
            </w:r>
            <w:r w:rsidRPr="00DA52C9">
              <w:rPr>
                <w:rFonts w:ascii="標楷體" w:eastAsia="標楷體" w:hAnsi="標楷體" w:cs="標楷體" w:hint="eastAsia"/>
                <w:color w:val="000000" w:themeColor="text1"/>
                <w:lang w:val="zh-TW"/>
              </w:rPr>
              <w:t>、證券商與本公司間，就有價證券借貸交易相關權利義務，</w:t>
            </w:r>
            <w:r w:rsidR="00CE2ED6" w:rsidRPr="00CE2ED6">
              <w:rPr>
                <w:rFonts w:ascii="標楷體" w:eastAsia="標楷體" w:hAnsi="標楷體" w:cs="標楷體" w:hint="eastAsia"/>
                <w:color w:val="000000" w:themeColor="text1"/>
                <w:lang w:val="zh-TW"/>
              </w:rPr>
              <w:t>應以</w:t>
            </w:r>
            <w:r w:rsidRPr="00DA52C9">
              <w:rPr>
                <w:rFonts w:ascii="標楷體" w:eastAsia="標楷體" w:hAnsi="標楷體" w:cs="標楷體" w:hint="eastAsia"/>
                <w:color w:val="000000" w:themeColor="text1"/>
                <w:lang w:val="zh-TW"/>
              </w:rPr>
              <w:t>本借貸辦法及相關章則</w:t>
            </w:r>
            <w:r w:rsidR="00BC3B26" w:rsidRPr="00BC3B26">
              <w:rPr>
                <w:rFonts w:ascii="標楷體" w:eastAsia="標楷體" w:hAnsi="標楷體" w:cs="標楷體" w:hint="eastAsia"/>
                <w:u w:val="single"/>
                <w:lang w:val="zh-TW"/>
              </w:rPr>
              <w:t>與</w:t>
            </w:r>
            <w:r w:rsidRPr="00DA52C9">
              <w:rPr>
                <w:rFonts w:ascii="標楷體" w:eastAsia="標楷體" w:hAnsi="標楷體" w:cs="標楷體" w:hint="eastAsia"/>
                <w:color w:val="000000" w:themeColor="text1"/>
                <w:lang w:val="zh-TW"/>
              </w:rPr>
              <w:t>通函，</w:t>
            </w:r>
            <w:r w:rsidR="00BC3B26" w:rsidRPr="00BC3B26">
              <w:rPr>
                <w:rFonts w:ascii="標楷體" w:eastAsia="標楷體" w:hAnsi="標楷體" w:cs="標楷體" w:hint="eastAsia"/>
                <w:u w:val="single"/>
                <w:lang w:val="zh-TW"/>
              </w:rPr>
              <w:t>以及</w:t>
            </w:r>
            <w:r w:rsidRPr="00DA52C9">
              <w:rPr>
                <w:rFonts w:ascii="標楷體" w:eastAsia="標楷體" w:hAnsi="標楷體" w:cs="標楷體" w:hint="eastAsia"/>
                <w:color w:val="000000" w:themeColor="text1"/>
                <w:lang w:val="zh-TW"/>
              </w:rPr>
              <w:t>「有價證券借貸交易總契約」、「有價證券借貸交易委託書」等相關契約文件作為規範依據。</w:t>
            </w:r>
          </w:p>
          <w:p w:rsidR="00111D63" w:rsidRPr="005F594B" w:rsidRDefault="00BC3B26">
            <w:pPr>
              <w:kinsoku w:val="0"/>
              <w:ind w:firstLineChars="236" w:firstLine="566"/>
              <w:jc w:val="both"/>
              <w:rPr>
                <w:rFonts w:ascii="標楷體" w:eastAsia="標楷體" w:hAnsi="標楷體" w:cs="標楷體"/>
                <w:u w:val="single"/>
                <w:lang w:val="zh-TW"/>
              </w:rPr>
            </w:pPr>
            <w:r w:rsidRPr="00BC3B26">
              <w:rPr>
                <w:rFonts w:ascii="標楷體" w:eastAsia="標楷體" w:hAnsi="標楷體" w:cs="標楷體" w:hint="eastAsia"/>
                <w:u w:val="single"/>
                <w:lang w:val="zh-TW"/>
              </w:rPr>
              <w:t>借貸交易人參與有價證券借貸交易，應遵循目的事業主管機關及證券主管機關法令規定。</w:t>
            </w:r>
          </w:p>
          <w:p w:rsidR="00111D63" w:rsidRDefault="00111D63">
            <w:pPr>
              <w:kinsoku w:val="0"/>
              <w:ind w:firstLineChars="236" w:firstLine="472"/>
              <w:jc w:val="both"/>
              <w:rPr>
                <w:rFonts w:ascii="標楷體" w:eastAsia="標楷體" w:hAnsi="標楷體" w:cs="標楷體"/>
                <w:color w:val="000000" w:themeColor="text1"/>
                <w:sz w:val="20"/>
                <w:szCs w:val="20"/>
                <w:lang w:val="zh-TW"/>
              </w:rPr>
            </w:pPr>
          </w:p>
        </w:tc>
        <w:tc>
          <w:tcPr>
            <w:tcW w:w="2787" w:type="dxa"/>
          </w:tcPr>
          <w:p w:rsidR="008F1BBF" w:rsidRPr="00DA52C9" w:rsidRDefault="008F1BBF" w:rsidP="00D011B8">
            <w:pPr>
              <w:autoSpaceDE w:val="0"/>
              <w:autoSpaceDN w:val="0"/>
              <w:jc w:val="both"/>
              <w:rPr>
                <w:rFonts w:ascii="標楷體" w:eastAsia="標楷體" w:hAnsi="標楷體" w:cs="標楷體"/>
                <w:color w:val="000000" w:themeColor="text1"/>
                <w:lang w:val="zh-TW"/>
              </w:rPr>
            </w:pPr>
            <w:r w:rsidRPr="00DA52C9">
              <w:rPr>
                <w:rFonts w:ascii="標楷體" w:eastAsia="標楷體" w:hAnsi="標楷體" w:cs="標楷體" w:hint="eastAsia"/>
                <w:color w:val="000000" w:themeColor="text1"/>
                <w:lang w:val="zh-TW"/>
              </w:rPr>
              <w:t>第九條</w:t>
            </w:r>
          </w:p>
          <w:p w:rsidR="00DA1FEA" w:rsidRPr="00DA52C9" w:rsidRDefault="008F1BBF" w:rsidP="00DA1FEA">
            <w:pPr>
              <w:autoSpaceDE w:val="0"/>
              <w:autoSpaceDN w:val="0"/>
              <w:ind w:firstLineChars="255" w:firstLine="612"/>
              <w:jc w:val="both"/>
              <w:rPr>
                <w:rFonts w:ascii="標楷體" w:eastAsia="標楷體" w:hAnsi="標楷體" w:cs="標楷體"/>
                <w:color w:val="000000" w:themeColor="text1"/>
                <w:lang w:val="zh-TW"/>
              </w:rPr>
            </w:pPr>
            <w:r w:rsidRPr="00DA52C9">
              <w:rPr>
                <w:rFonts w:ascii="標楷體" w:eastAsia="標楷體" w:hAnsi="標楷體" w:cs="標楷體" w:hint="eastAsia"/>
                <w:color w:val="000000" w:themeColor="text1"/>
                <w:lang w:val="zh-TW"/>
              </w:rPr>
              <w:t>借貸交易人與證券商間、借貸交易人與本公司、證券商與本公司間，就有價證券借貸交易相關權利義務，應以</w:t>
            </w:r>
            <w:r w:rsidR="00CE2ED6" w:rsidRPr="00CE2ED6">
              <w:rPr>
                <w:rFonts w:ascii="標楷體" w:eastAsia="標楷體" w:hAnsi="標楷體" w:cs="標楷體" w:hint="eastAsia"/>
                <w:color w:val="000000" w:themeColor="text1"/>
                <w:u w:val="single"/>
                <w:lang w:val="zh-TW"/>
              </w:rPr>
              <w:t>主管機關有關證券借貸之函令、</w:t>
            </w:r>
            <w:r w:rsidRPr="00DA52C9">
              <w:rPr>
                <w:rFonts w:ascii="標楷體" w:eastAsia="標楷體" w:hAnsi="標楷體" w:cs="標楷體" w:hint="eastAsia"/>
                <w:color w:val="000000" w:themeColor="text1"/>
                <w:lang w:val="zh-TW"/>
              </w:rPr>
              <w:t>本借貸辦法及相關章則、通函，與「有價證券借貸交易總契約」、「有價證券借貸交易委託書」等相關契約文件作為規範依據。</w:t>
            </w:r>
          </w:p>
        </w:tc>
        <w:tc>
          <w:tcPr>
            <w:tcW w:w="2788" w:type="dxa"/>
          </w:tcPr>
          <w:p w:rsidR="00111D63" w:rsidRDefault="008F1BBF">
            <w:pPr>
              <w:jc w:val="both"/>
              <w:rPr>
                <w:rFonts w:ascii="標楷體" w:eastAsia="標楷體" w:hAnsi="標楷體"/>
                <w:color w:val="000000" w:themeColor="text1"/>
              </w:rPr>
            </w:pPr>
            <w:r w:rsidRPr="00DA52C9">
              <w:rPr>
                <w:rFonts w:ascii="標楷體" w:eastAsia="標楷體" w:hAnsi="標楷體" w:hint="eastAsia"/>
                <w:color w:val="000000" w:themeColor="text1"/>
              </w:rPr>
              <w:t>明訂借貸交易人除須遵循本條原訂之相關規範外，另增訂</w:t>
            </w:r>
            <w:r w:rsidR="005B62FB">
              <w:rPr>
                <w:rFonts w:ascii="標楷體" w:eastAsia="標楷體" w:hAnsi="標楷體" w:hint="eastAsia"/>
                <w:color w:val="000000" w:themeColor="text1"/>
              </w:rPr>
              <w:t>第二項</w:t>
            </w:r>
            <w:r w:rsidRPr="00DA52C9">
              <w:rPr>
                <w:rFonts w:ascii="標楷體" w:eastAsia="標楷體" w:hAnsi="標楷體" w:hint="eastAsia"/>
                <w:color w:val="000000" w:themeColor="text1"/>
              </w:rPr>
              <w:t>亦須遵循其目的事業主管機關之規定</w:t>
            </w:r>
            <w:r w:rsidR="005B62FB">
              <w:rPr>
                <w:rFonts w:ascii="標楷體" w:eastAsia="標楷體" w:hAnsi="標楷體" w:hint="eastAsia"/>
                <w:color w:val="000000" w:themeColor="text1"/>
              </w:rPr>
              <w:t>，並作文字調整</w:t>
            </w:r>
            <w:r w:rsidRPr="00DA52C9">
              <w:rPr>
                <w:rFonts w:ascii="標楷體" w:eastAsia="標楷體" w:hAnsi="標楷體" w:hint="eastAsia"/>
                <w:color w:val="000000" w:themeColor="text1"/>
              </w:rPr>
              <w:t>。</w:t>
            </w:r>
          </w:p>
        </w:tc>
      </w:tr>
      <w:tr w:rsidR="00B050FE" w:rsidRPr="00DA52C9" w:rsidTr="00CA3C91">
        <w:tc>
          <w:tcPr>
            <w:tcW w:w="2788" w:type="dxa"/>
          </w:tcPr>
          <w:p w:rsidR="004D705A" w:rsidRPr="005F594B" w:rsidRDefault="00BC3B26" w:rsidP="00D011B8">
            <w:pPr>
              <w:kinsoku w:val="0"/>
              <w:ind w:left="228" w:hangingChars="95" w:hanging="228"/>
              <w:jc w:val="both"/>
              <w:rPr>
                <w:rFonts w:ascii="標楷體" w:eastAsia="標楷體" w:hAnsi="標楷體" w:cs="標楷體"/>
                <w:lang w:val="zh-TW"/>
              </w:rPr>
            </w:pPr>
            <w:r w:rsidRPr="00BC3B26">
              <w:rPr>
                <w:rFonts w:ascii="標楷體" w:eastAsia="標楷體" w:hAnsi="標楷體" w:cs="標楷體" w:hint="eastAsia"/>
                <w:lang w:val="zh-TW"/>
              </w:rPr>
              <w:t>第十條之</w:t>
            </w:r>
            <w:proofErr w:type="gramStart"/>
            <w:r w:rsidRPr="00BC3B26">
              <w:rPr>
                <w:rFonts w:ascii="標楷體" w:eastAsia="標楷體" w:hAnsi="標楷體" w:cs="標楷體" w:hint="eastAsia"/>
                <w:lang w:val="zh-TW"/>
              </w:rPr>
              <w:t>一</w:t>
            </w:r>
            <w:proofErr w:type="gramEnd"/>
          </w:p>
          <w:p w:rsidR="002B60C0" w:rsidRPr="005F594B" w:rsidRDefault="00BC3B26" w:rsidP="00D011B8">
            <w:pPr>
              <w:kinsoku w:val="0"/>
              <w:overflowPunct w:val="0"/>
              <w:spacing w:line="380" w:lineRule="exact"/>
              <w:ind w:firstLineChars="200" w:firstLine="480"/>
              <w:jc w:val="both"/>
              <w:rPr>
                <w:rFonts w:ascii="標楷體" w:eastAsia="標楷體" w:hAnsi="標楷體" w:cs="標楷體"/>
                <w:lang w:val="zh-TW"/>
              </w:rPr>
            </w:pPr>
            <w:r w:rsidRPr="00BC3B26">
              <w:rPr>
                <w:rFonts w:ascii="標楷體" w:eastAsia="標楷體" w:hAnsi="標楷體" w:cs="標楷體" w:hint="eastAsia"/>
                <w:lang w:val="zh-TW"/>
              </w:rPr>
              <w:t>證券商及期貨商依第八條第二項規定申請開立有價證券借貸帳戶者，應依「</w:t>
            </w:r>
            <w:r w:rsidRPr="00BC3B26">
              <w:rPr>
                <w:rFonts w:ascii="標楷體" w:eastAsia="標楷體" w:hAnsi="標楷體" w:hint="eastAsia"/>
              </w:rPr>
              <w:t>證券商、期貨商開立有價證券借貸帳戶及其相關注意事項</w:t>
            </w:r>
            <w:r w:rsidRPr="00BC3B26">
              <w:rPr>
                <w:rFonts w:ascii="標楷體" w:eastAsia="標楷體" w:hAnsi="標楷體" w:cs="標楷體" w:hint="eastAsia"/>
                <w:lang w:val="zh-TW"/>
              </w:rPr>
              <w:t>一覽表」（附表一）所定之證券交易帳號辦理開戶，</w:t>
            </w:r>
            <w:proofErr w:type="gramStart"/>
            <w:r w:rsidRPr="00BC3B26">
              <w:rPr>
                <w:rFonts w:ascii="標楷體" w:eastAsia="標楷體" w:hAnsi="標楷體" w:cs="標楷體" w:hint="eastAsia"/>
                <w:lang w:val="zh-TW"/>
              </w:rPr>
              <w:t>並依表定</w:t>
            </w:r>
            <w:proofErr w:type="gramEnd"/>
            <w:r w:rsidRPr="00BC3B26">
              <w:rPr>
                <w:rFonts w:ascii="標楷體" w:eastAsia="標楷體" w:hAnsi="標楷體" w:cs="標楷體" w:hint="eastAsia"/>
                <w:lang w:val="zh-TW"/>
              </w:rPr>
              <w:t>出借</w:t>
            </w:r>
            <w:proofErr w:type="gramStart"/>
            <w:r w:rsidRPr="00BC3B26">
              <w:rPr>
                <w:rFonts w:ascii="標楷體" w:eastAsia="標楷體" w:hAnsi="標楷體" w:cs="標楷體" w:hint="eastAsia"/>
                <w:lang w:val="zh-TW"/>
              </w:rPr>
              <w:t>券</w:t>
            </w:r>
            <w:proofErr w:type="gramEnd"/>
            <w:r w:rsidRPr="00BC3B26">
              <w:rPr>
                <w:rFonts w:ascii="標楷體" w:eastAsia="標楷體" w:hAnsi="標楷體" w:cs="標楷體" w:hint="eastAsia"/>
                <w:lang w:val="zh-TW"/>
              </w:rPr>
              <w:t>源及借</w:t>
            </w:r>
            <w:proofErr w:type="gramStart"/>
            <w:r w:rsidRPr="00BC3B26">
              <w:rPr>
                <w:rFonts w:ascii="標楷體" w:eastAsia="標楷體" w:hAnsi="標楷體" w:cs="標楷體" w:hint="eastAsia"/>
                <w:lang w:val="zh-TW"/>
              </w:rPr>
              <w:t>券</w:t>
            </w:r>
            <w:proofErr w:type="gramEnd"/>
            <w:r w:rsidRPr="00BC3B26">
              <w:rPr>
                <w:rFonts w:ascii="標楷體" w:eastAsia="標楷體" w:hAnsi="標楷體" w:cs="標楷體" w:hint="eastAsia"/>
                <w:lang w:val="zh-TW"/>
              </w:rPr>
              <w:t>用途，從事有價證券借貸交易。</w:t>
            </w:r>
          </w:p>
          <w:p w:rsidR="00DA1FEA" w:rsidRPr="00DA52C9" w:rsidRDefault="00DA1FEA" w:rsidP="00B6679D">
            <w:pPr>
              <w:kinsoku w:val="0"/>
              <w:jc w:val="both"/>
              <w:rPr>
                <w:rFonts w:ascii="標楷體" w:eastAsia="標楷體" w:hAnsi="標楷體" w:cs="標楷體"/>
                <w:color w:val="000000" w:themeColor="text1"/>
                <w:sz w:val="20"/>
                <w:szCs w:val="20"/>
                <w:lang w:val="zh-TW"/>
              </w:rPr>
            </w:pPr>
          </w:p>
        </w:tc>
        <w:tc>
          <w:tcPr>
            <w:tcW w:w="2787" w:type="dxa"/>
          </w:tcPr>
          <w:p w:rsidR="004D705A" w:rsidRPr="00DA52C9" w:rsidRDefault="004D705A" w:rsidP="001E4E14">
            <w:pPr>
              <w:tabs>
                <w:tab w:val="left" w:pos="8040"/>
              </w:tabs>
              <w:kinsoku w:val="0"/>
              <w:spacing w:line="380" w:lineRule="exact"/>
              <w:jc w:val="both"/>
              <w:rPr>
                <w:rFonts w:ascii="標楷體" w:eastAsia="標楷體"/>
                <w:color w:val="000000" w:themeColor="text1"/>
              </w:rPr>
            </w:pPr>
          </w:p>
        </w:tc>
        <w:tc>
          <w:tcPr>
            <w:tcW w:w="2788" w:type="dxa"/>
          </w:tcPr>
          <w:p w:rsidR="00DA1FEA" w:rsidRPr="00DA52C9" w:rsidRDefault="00B050FE">
            <w:pPr>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一、</w:t>
            </w:r>
            <w:r w:rsidR="00CB567E" w:rsidRPr="00DA52C9">
              <w:rPr>
                <w:rFonts w:ascii="標楷體" w:eastAsia="標楷體" w:hAnsi="標楷體" w:hint="eastAsia"/>
                <w:color w:val="000000" w:themeColor="text1"/>
                <w:u w:val="single"/>
              </w:rPr>
              <w:t>本條新增</w:t>
            </w:r>
            <w:r w:rsidRPr="00DA52C9">
              <w:rPr>
                <w:rFonts w:ascii="標楷體" w:eastAsia="標楷體" w:hAnsi="標楷體" w:hint="eastAsia"/>
                <w:color w:val="000000" w:themeColor="text1"/>
              </w:rPr>
              <w:t>。</w:t>
            </w:r>
          </w:p>
          <w:p w:rsidR="00DA1FEA" w:rsidRDefault="00B050FE">
            <w:pPr>
              <w:ind w:left="377" w:hangingChars="157" w:hanging="377"/>
              <w:jc w:val="both"/>
              <w:rPr>
                <w:rFonts w:ascii="標楷體" w:eastAsia="標楷體" w:hAnsi="標楷體"/>
                <w:color w:val="000000" w:themeColor="text1"/>
              </w:rPr>
            </w:pPr>
            <w:r w:rsidRPr="00DA52C9">
              <w:rPr>
                <w:rFonts w:ascii="標楷體" w:eastAsia="標楷體" w:hAnsi="標楷體" w:hint="eastAsia"/>
                <w:color w:val="000000" w:themeColor="text1"/>
              </w:rPr>
              <w:t>二、</w:t>
            </w:r>
            <w:r w:rsidR="00CD61BC" w:rsidRPr="00DA52C9">
              <w:rPr>
                <w:rFonts w:ascii="標楷體" w:eastAsia="標楷體" w:hint="eastAsia"/>
                <w:color w:val="000000" w:themeColor="text1"/>
              </w:rPr>
              <w:t>為整</w:t>
            </w:r>
            <w:proofErr w:type="gramStart"/>
            <w:r w:rsidR="00CD61BC" w:rsidRPr="00DA52C9">
              <w:rPr>
                <w:rFonts w:ascii="標楷體" w:eastAsia="標楷體" w:hint="eastAsia"/>
                <w:color w:val="000000" w:themeColor="text1"/>
              </w:rPr>
              <w:t>併</w:t>
            </w:r>
            <w:proofErr w:type="gramEnd"/>
            <w:r w:rsidR="00CD61BC" w:rsidRPr="00DA52C9">
              <w:rPr>
                <w:rFonts w:ascii="標楷體" w:eastAsia="標楷體" w:hint="eastAsia"/>
                <w:color w:val="000000" w:themeColor="text1"/>
              </w:rPr>
              <w:t>規</w:t>
            </w:r>
            <w:r w:rsidR="00A704F7" w:rsidRPr="00DA52C9">
              <w:rPr>
                <w:rFonts w:ascii="標楷體" w:eastAsia="標楷體" w:hint="eastAsia"/>
                <w:color w:val="000000" w:themeColor="text1"/>
              </w:rPr>
              <w:t>章</w:t>
            </w:r>
            <w:r w:rsidRPr="00DA52C9">
              <w:rPr>
                <w:rFonts w:ascii="標楷體" w:eastAsia="標楷體" w:hAnsi="標楷體" w:hint="eastAsia"/>
                <w:color w:val="000000" w:themeColor="text1"/>
              </w:rPr>
              <w:t>，</w:t>
            </w:r>
            <w:r w:rsidR="00CD61BC" w:rsidRPr="00DA52C9">
              <w:rPr>
                <w:rFonts w:ascii="標楷體" w:eastAsia="標楷體" w:hAnsi="標楷體" w:hint="eastAsia"/>
                <w:color w:val="000000" w:themeColor="text1"/>
              </w:rPr>
              <w:t>增訂</w:t>
            </w:r>
            <w:r w:rsidRPr="00DA52C9">
              <w:rPr>
                <w:rFonts w:ascii="標楷體" w:eastAsia="標楷體" w:hAnsi="標楷體" w:hint="eastAsia"/>
                <w:color w:val="000000" w:themeColor="text1"/>
              </w:rPr>
              <w:t>納入</w:t>
            </w:r>
            <w:r w:rsidR="00DD6613">
              <w:rPr>
                <w:rFonts w:ascii="標楷體" w:eastAsia="標楷體" w:hAnsi="標楷體" w:hint="eastAsia"/>
                <w:color w:val="000000" w:themeColor="text1"/>
              </w:rPr>
              <w:t>95年3月10日</w:t>
            </w:r>
            <w:proofErr w:type="gramStart"/>
            <w:r w:rsidR="00DD6613">
              <w:rPr>
                <w:rFonts w:ascii="標楷體" w:eastAsia="標楷體" w:hAnsi="標楷體" w:hint="eastAsia"/>
                <w:color w:val="000000" w:themeColor="text1"/>
              </w:rPr>
              <w:t>臺</w:t>
            </w:r>
            <w:r w:rsidRPr="00DA52C9">
              <w:rPr>
                <w:rFonts w:ascii="標楷體" w:eastAsia="標楷體" w:hAnsi="標楷體" w:hint="eastAsia"/>
                <w:color w:val="000000" w:themeColor="text1"/>
              </w:rPr>
              <w:t>證交字第0950004049號</w:t>
            </w:r>
            <w:proofErr w:type="gramEnd"/>
            <w:r w:rsidRPr="00DA52C9">
              <w:rPr>
                <w:rFonts w:ascii="標楷體" w:eastAsia="標楷體" w:hAnsi="標楷體" w:hint="eastAsia"/>
                <w:color w:val="000000" w:themeColor="text1"/>
              </w:rPr>
              <w:t>有關證券商</w:t>
            </w:r>
            <w:r w:rsidR="00FA69B1" w:rsidRPr="00DA52C9">
              <w:rPr>
                <w:rFonts w:ascii="標楷體" w:eastAsia="標楷體" w:hAnsi="標楷體" w:hint="eastAsia"/>
                <w:color w:val="000000" w:themeColor="text1"/>
              </w:rPr>
              <w:t>辦理</w:t>
            </w:r>
            <w:r w:rsidRPr="00DA52C9">
              <w:rPr>
                <w:rFonts w:ascii="標楷體" w:eastAsia="標楷體" w:hAnsi="標楷體" w:hint="eastAsia"/>
                <w:color w:val="000000" w:themeColor="text1"/>
              </w:rPr>
              <w:t>出借</w:t>
            </w:r>
            <w:r w:rsidR="00174983" w:rsidRPr="00DA52C9">
              <w:rPr>
                <w:rFonts w:ascii="標楷體" w:eastAsia="標楷體" w:hAnsi="標楷體" w:hint="eastAsia"/>
                <w:color w:val="000000" w:themeColor="text1"/>
              </w:rPr>
              <w:t>之</w:t>
            </w:r>
            <w:r w:rsidRPr="00DA52C9">
              <w:rPr>
                <w:rFonts w:ascii="標楷體" w:eastAsia="標楷體" w:hAnsi="標楷體" w:hint="eastAsia"/>
                <w:color w:val="000000" w:themeColor="text1"/>
              </w:rPr>
              <w:t>開戶帳號</w:t>
            </w:r>
            <w:r w:rsidR="00174983" w:rsidRPr="00DA52C9">
              <w:rPr>
                <w:rFonts w:ascii="標楷體" w:eastAsia="標楷體" w:hAnsi="標楷體" w:hint="eastAsia"/>
                <w:color w:val="000000" w:themeColor="text1"/>
              </w:rPr>
              <w:t>及出借</w:t>
            </w:r>
            <w:proofErr w:type="gramStart"/>
            <w:r w:rsidR="00174983" w:rsidRPr="00DA52C9">
              <w:rPr>
                <w:rFonts w:ascii="標楷體" w:eastAsia="標楷體" w:hAnsi="標楷體" w:hint="eastAsia"/>
                <w:color w:val="000000" w:themeColor="text1"/>
              </w:rPr>
              <w:t>券</w:t>
            </w:r>
            <w:proofErr w:type="gramEnd"/>
            <w:r w:rsidR="00174983" w:rsidRPr="00DA52C9">
              <w:rPr>
                <w:rFonts w:ascii="標楷體" w:eastAsia="標楷體" w:hAnsi="標楷體" w:hint="eastAsia"/>
                <w:color w:val="000000" w:themeColor="text1"/>
              </w:rPr>
              <w:t>源相關</w:t>
            </w:r>
            <w:r w:rsidRPr="00DA52C9">
              <w:rPr>
                <w:rFonts w:ascii="標楷體" w:eastAsia="標楷體" w:hAnsi="標楷體" w:hint="eastAsia"/>
                <w:color w:val="000000" w:themeColor="text1"/>
              </w:rPr>
              <w:t>規範、</w:t>
            </w:r>
            <w:r w:rsidR="00DD6613">
              <w:rPr>
                <w:rFonts w:ascii="標楷體" w:eastAsia="標楷體" w:hAnsi="標楷體" w:hint="eastAsia"/>
                <w:color w:val="000000" w:themeColor="text1"/>
              </w:rPr>
              <w:t>100年3月11日</w:t>
            </w:r>
            <w:proofErr w:type="gramStart"/>
            <w:r w:rsidRPr="00DA52C9">
              <w:rPr>
                <w:rFonts w:ascii="標楷體" w:eastAsia="標楷體" w:hAnsi="標楷體" w:hint="eastAsia"/>
                <w:color w:val="000000" w:themeColor="text1"/>
              </w:rPr>
              <w:t>臺證結</w:t>
            </w:r>
            <w:proofErr w:type="gramEnd"/>
            <w:r w:rsidRPr="00DA52C9">
              <w:rPr>
                <w:rFonts w:ascii="標楷體" w:eastAsia="標楷體" w:hAnsi="標楷體" w:hint="eastAsia"/>
                <w:color w:val="000000" w:themeColor="text1"/>
              </w:rPr>
              <w:t>字第1000300382號證券自營商</w:t>
            </w:r>
            <w:r w:rsidR="00FA69B1" w:rsidRPr="00DA52C9">
              <w:rPr>
                <w:rFonts w:ascii="標楷體" w:eastAsia="標楷體" w:hAnsi="標楷體" w:hint="eastAsia"/>
                <w:color w:val="000000" w:themeColor="text1"/>
              </w:rPr>
              <w:t>辦理</w:t>
            </w:r>
            <w:r w:rsidRPr="00DA52C9">
              <w:rPr>
                <w:rFonts w:ascii="標楷體" w:eastAsia="標楷體" w:hAnsi="標楷體" w:hint="eastAsia"/>
                <w:color w:val="000000" w:themeColor="text1"/>
              </w:rPr>
              <w:t>借</w:t>
            </w:r>
            <w:proofErr w:type="gramStart"/>
            <w:r w:rsidRPr="00DA52C9">
              <w:rPr>
                <w:rFonts w:ascii="標楷體" w:eastAsia="標楷體" w:hAnsi="標楷體" w:hint="eastAsia"/>
                <w:color w:val="000000" w:themeColor="text1"/>
              </w:rPr>
              <w:t>券</w:t>
            </w:r>
            <w:proofErr w:type="gramEnd"/>
            <w:r w:rsidR="00174983" w:rsidRPr="00DA52C9">
              <w:rPr>
                <w:rFonts w:ascii="標楷體" w:eastAsia="標楷體" w:hAnsi="標楷體" w:hint="eastAsia"/>
                <w:color w:val="000000" w:themeColor="text1"/>
              </w:rPr>
              <w:t>之</w:t>
            </w:r>
            <w:r w:rsidRPr="00DA52C9">
              <w:rPr>
                <w:rFonts w:ascii="標楷體" w:eastAsia="標楷體" w:hAnsi="標楷體" w:hint="eastAsia"/>
                <w:color w:val="000000" w:themeColor="text1"/>
              </w:rPr>
              <w:t>開戶帳號規範、</w:t>
            </w:r>
            <w:r w:rsidR="00DD6613">
              <w:rPr>
                <w:rFonts w:ascii="標楷體" w:eastAsia="標楷體" w:hAnsi="標楷體" w:hint="eastAsia"/>
                <w:color w:val="000000" w:themeColor="text1"/>
              </w:rPr>
              <w:t>101年9月18日</w:t>
            </w:r>
            <w:proofErr w:type="gramStart"/>
            <w:r w:rsidR="00174983" w:rsidRPr="00DA52C9">
              <w:rPr>
                <w:rFonts w:ascii="標楷體" w:eastAsia="標楷體" w:hAnsi="標楷體" w:hint="eastAsia"/>
                <w:color w:val="000000" w:themeColor="text1"/>
              </w:rPr>
              <w:t>臺證交字第1010206400</w:t>
            </w:r>
            <w:r w:rsidR="00FA69B1" w:rsidRPr="00DA52C9">
              <w:rPr>
                <w:rFonts w:ascii="標楷體" w:eastAsia="標楷體" w:hAnsi="標楷體" w:hint="eastAsia"/>
                <w:color w:val="000000" w:themeColor="text1"/>
              </w:rPr>
              <w:t>號</w:t>
            </w:r>
            <w:proofErr w:type="gramEnd"/>
            <w:r w:rsidR="00174983" w:rsidRPr="00DA52C9">
              <w:rPr>
                <w:rFonts w:ascii="標楷體" w:eastAsia="標楷體" w:hAnsi="標楷體" w:hint="eastAsia"/>
                <w:color w:val="000000" w:themeColor="text1"/>
              </w:rPr>
              <w:t>及</w:t>
            </w:r>
            <w:r w:rsidR="00DD6613">
              <w:rPr>
                <w:rFonts w:ascii="標楷體" w:eastAsia="標楷體" w:hAnsi="標楷體" w:hint="eastAsia"/>
                <w:color w:val="000000" w:themeColor="text1"/>
              </w:rPr>
              <w:t>102年10月7日</w:t>
            </w:r>
            <w:proofErr w:type="gramStart"/>
            <w:r w:rsidRPr="00DA52C9">
              <w:rPr>
                <w:rFonts w:ascii="標楷體" w:eastAsia="標楷體" w:hAnsi="標楷體" w:hint="eastAsia"/>
                <w:color w:val="000000" w:themeColor="text1"/>
              </w:rPr>
              <w:t>臺證結</w:t>
            </w:r>
            <w:proofErr w:type="gramEnd"/>
            <w:r w:rsidRPr="00DA52C9">
              <w:rPr>
                <w:rFonts w:ascii="標楷體" w:eastAsia="標楷體" w:hAnsi="標楷體" w:hint="eastAsia"/>
                <w:color w:val="000000" w:themeColor="text1"/>
              </w:rPr>
              <w:t>字第1020301958號函有關期貨商</w:t>
            </w:r>
            <w:r w:rsidR="00FA69B1" w:rsidRPr="00DA52C9">
              <w:rPr>
                <w:rFonts w:ascii="標楷體" w:eastAsia="標楷體" w:hAnsi="標楷體" w:hint="eastAsia"/>
                <w:color w:val="000000" w:themeColor="text1"/>
              </w:rPr>
              <w:t>辦理</w:t>
            </w:r>
            <w:r w:rsidR="00174983" w:rsidRPr="00DA52C9">
              <w:rPr>
                <w:rFonts w:ascii="標楷體" w:eastAsia="標楷體" w:hAnsi="標楷體" w:hint="eastAsia"/>
                <w:color w:val="000000" w:themeColor="text1"/>
              </w:rPr>
              <w:t>出借之</w:t>
            </w:r>
            <w:proofErr w:type="gramStart"/>
            <w:r w:rsidR="00174983" w:rsidRPr="00DA52C9">
              <w:rPr>
                <w:rFonts w:ascii="標楷體" w:eastAsia="標楷體" w:hAnsi="標楷體" w:hint="eastAsia"/>
                <w:color w:val="000000" w:themeColor="text1"/>
              </w:rPr>
              <w:t>券</w:t>
            </w:r>
            <w:proofErr w:type="gramEnd"/>
            <w:r w:rsidR="00174983" w:rsidRPr="00DA52C9">
              <w:rPr>
                <w:rFonts w:ascii="標楷體" w:eastAsia="標楷體" w:hAnsi="標楷體" w:hint="eastAsia"/>
                <w:color w:val="000000" w:themeColor="text1"/>
              </w:rPr>
              <w:t>源與出借、</w:t>
            </w:r>
            <w:r w:rsidRPr="00DA52C9">
              <w:rPr>
                <w:rFonts w:ascii="標楷體" w:eastAsia="標楷體" w:hAnsi="標楷體" w:hint="eastAsia"/>
                <w:color w:val="000000" w:themeColor="text1"/>
              </w:rPr>
              <w:t>借</w:t>
            </w:r>
            <w:proofErr w:type="gramStart"/>
            <w:r w:rsidRPr="00DA52C9">
              <w:rPr>
                <w:rFonts w:ascii="標楷體" w:eastAsia="標楷體" w:hAnsi="標楷體" w:hint="eastAsia"/>
                <w:color w:val="000000" w:themeColor="text1"/>
              </w:rPr>
              <w:t>券</w:t>
            </w:r>
            <w:proofErr w:type="gramEnd"/>
            <w:r w:rsidR="00174983" w:rsidRPr="00DA52C9">
              <w:rPr>
                <w:rFonts w:ascii="標楷體" w:eastAsia="標楷體" w:hAnsi="標楷體" w:hint="eastAsia"/>
                <w:color w:val="000000" w:themeColor="text1"/>
              </w:rPr>
              <w:t>之</w:t>
            </w:r>
            <w:r w:rsidRPr="00DA52C9">
              <w:rPr>
                <w:rFonts w:ascii="標楷體" w:eastAsia="標楷體" w:hAnsi="標楷體" w:hint="eastAsia"/>
                <w:color w:val="000000" w:themeColor="text1"/>
              </w:rPr>
              <w:t>開戶帳號規範</w:t>
            </w:r>
            <w:r w:rsidR="005C6B59" w:rsidRPr="00DA52C9">
              <w:rPr>
                <w:rFonts w:ascii="標楷體" w:eastAsia="標楷體" w:hAnsi="標楷體" w:hint="eastAsia"/>
                <w:color w:val="000000" w:themeColor="text1"/>
              </w:rPr>
              <w:t>，</w:t>
            </w:r>
            <w:r w:rsidR="005C6B59" w:rsidRPr="00DA52C9">
              <w:rPr>
                <w:rFonts w:ascii="標楷體" w:eastAsia="標楷體" w:hint="eastAsia"/>
                <w:color w:val="000000" w:themeColor="text1"/>
              </w:rPr>
              <w:t>並就</w:t>
            </w:r>
            <w:r w:rsidR="00174983" w:rsidRPr="00DA52C9">
              <w:rPr>
                <w:rFonts w:ascii="標楷體" w:eastAsia="標楷體" w:hint="eastAsia"/>
                <w:color w:val="000000" w:themeColor="text1"/>
              </w:rPr>
              <w:t>其</w:t>
            </w:r>
            <w:r w:rsidR="005C6B59" w:rsidRPr="00DA52C9">
              <w:rPr>
                <w:rFonts w:ascii="標楷體" w:eastAsia="標楷體" w:hint="eastAsia"/>
                <w:color w:val="000000" w:themeColor="text1"/>
              </w:rPr>
              <w:t>作業細節部分，</w:t>
            </w:r>
            <w:proofErr w:type="gramStart"/>
            <w:r w:rsidR="005C6B59" w:rsidRPr="00DA52C9">
              <w:rPr>
                <w:rFonts w:ascii="標楷體" w:eastAsia="標楷體" w:hint="eastAsia"/>
                <w:color w:val="000000" w:themeColor="text1"/>
              </w:rPr>
              <w:t>採</w:t>
            </w:r>
            <w:proofErr w:type="gramEnd"/>
            <w:r w:rsidR="005C6B59" w:rsidRPr="00DA52C9">
              <w:rPr>
                <w:rFonts w:ascii="標楷體" w:eastAsia="標楷體" w:hint="eastAsia"/>
                <w:color w:val="000000" w:themeColor="text1"/>
              </w:rPr>
              <w:t>行附表之規</w:t>
            </w:r>
            <w:r w:rsidR="005C6B59" w:rsidRPr="00DA52C9">
              <w:rPr>
                <w:rFonts w:ascii="標楷體" w:eastAsia="標楷體" w:hint="eastAsia"/>
                <w:color w:val="000000" w:themeColor="text1"/>
              </w:rPr>
              <w:lastRenderedPageBreak/>
              <w:t>範架構</w:t>
            </w:r>
            <w:r w:rsidRPr="00DA52C9">
              <w:rPr>
                <w:rFonts w:ascii="標楷體" w:eastAsia="標楷體" w:hAnsi="標楷體" w:hint="eastAsia"/>
                <w:color w:val="000000" w:themeColor="text1"/>
              </w:rPr>
              <w:t>。</w:t>
            </w:r>
          </w:p>
          <w:p w:rsidR="00111D63" w:rsidRDefault="00111D63">
            <w:pPr>
              <w:ind w:left="314" w:hangingChars="157" w:hanging="314"/>
              <w:jc w:val="both"/>
              <w:rPr>
                <w:rFonts w:ascii="標楷體" w:eastAsia="標楷體" w:hAnsi="標楷體"/>
                <w:color w:val="000000" w:themeColor="text1"/>
                <w:sz w:val="20"/>
                <w:szCs w:val="20"/>
              </w:rPr>
            </w:pPr>
          </w:p>
        </w:tc>
      </w:tr>
      <w:tr w:rsidR="00E909C0" w:rsidRPr="00DA52C9" w:rsidTr="00CA3C91">
        <w:tc>
          <w:tcPr>
            <w:tcW w:w="2788" w:type="dxa"/>
          </w:tcPr>
          <w:p w:rsidR="00E909C0" w:rsidRPr="005F594B" w:rsidRDefault="00BC3B26" w:rsidP="00D011B8">
            <w:pPr>
              <w:autoSpaceDE w:val="0"/>
              <w:autoSpaceDN w:val="0"/>
              <w:jc w:val="both"/>
              <w:rPr>
                <w:rFonts w:ascii="標楷體" w:eastAsia="標楷體" w:hAnsi="標楷體" w:cs="標楷體"/>
                <w:lang w:val="zh-TW"/>
              </w:rPr>
            </w:pPr>
            <w:r w:rsidRPr="00BC3B26">
              <w:rPr>
                <w:rFonts w:ascii="標楷體" w:eastAsia="標楷體" w:hAnsi="標楷體" w:cs="標楷體" w:hint="eastAsia"/>
                <w:lang w:val="zh-TW"/>
              </w:rPr>
              <w:lastRenderedPageBreak/>
              <w:t>第十四條之二</w:t>
            </w:r>
          </w:p>
          <w:p w:rsidR="00DA1FEA" w:rsidRPr="005F594B" w:rsidRDefault="00BC3B26" w:rsidP="00DA1FEA">
            <w:pPr>
              <w:pStyle w:val="HTML"/>
              <w:spacing w:line="280" w:lineRule="atLeast"/>
              <w:jc w:val="both"/>
            </w:pPr>
            <w:r w:rsidRPr="00BC3B26">
              <w:rPr>
                <w:rFonts w:ascii="標楷體" w:eastAsia="標楷體" w:hAnsi="標楷體" w:cs="標楷體"/>
                <w:lang w:val="zh-TW"/>
              </w:rPr>
              <w:t xml:space="preserve">    </w:t>
            </w:r>
            <w:r w:rsidRPr="00BC3B26">
              <w:rPr>
                <w:rFonts w:ascii="標楷體" w:eastAsia="標楷體" w:hAnsi="標楷體" w:cs="標楷體" w:hint="eastAsia"/>
                <w:kern w:val="2"/>
                <w:szCs w:val="22"/>
                <w:lang w:val="zh-TW"/>
              </w:rPr>
              <w:t>有價證券借貸之標的證券有第二十六條第一項第四款第二、三目所定強制提前還</w:t>
            </w:r>
            <w:proofErr w:type="gramStart"/>
            <w:r w:rsidRPr="00BC3B26">
              <w:rPr>
                <w:rFonts w:ascii="標楷體" w:eastAsia="標楷體" w:hAnsi="標楷體" w:cs="標楷體" w:hint="eastAsia"/>
                <w:kern w:val="2"/>
                <w:szCs w:val="22"/>
                <w:lang w:val="zh-TW"/>
              </w:rPr>
              <w:t>券</w:t>
            </w:r>
            <w:proofErr w:type="gramEnd"/>
            <w:r w:rsidRPr="00BC3B26">
              <w:rPr>
                <w:rFonts w:ascii="標楷體" w:eastAsia="標楷體" w:hAnsi="標楷體" w:cs="標楷體" w:hint="eastAsia"/>
                <w:kern w:val="2"/>
                <w:szCs w:val="22"/>
                <w:lang w:val="zh-TW"/>
              </w:rPr>
              <w:t>之事由者，自本公司訂定之還</w:t>
            </w:r>
            <w:proofErr w:type="gramStart"/>
            <w:r w:rsidRPr="00BC3B26">
              <w:rPr>
                <w:rFonts w:ascii="標楷體" w:eastAsia="標楷體" w:hAnsi="標楷體" w:cs="標楷體" w:hint="eastAsia"/>
                <w:kern w:val="2"/>
                <w:szCs w:val="22"/>
                <w:lang w:val="zh-TW"/>
              </w:rPr>
              <w:t>券</w:t>
            </w:r>
            <w:proofErr w:type="gramEnd"/>
            <w:r w:rsidRPr="00BC3B26">
              <w:rPr>
                <w:rFonts w:ascii="標楷體" w:eastAsia="標楷體" w:hAnsi="標楷體" w:cs="標楷體" w:hint="eastAsia"/>
                <w:kern w:val="2"/>
                <w:szCs w:val="22"/>
                <w:lang w:val="zh-TW"/>
              </w:rPr>
              <w:t>了結日前十個營業日起，或於上開事由公告之日起，該標的證券不得再新增借</w:t>
            </w:r>
            <w:proofErr w:type="gramStart"/>
            <w:r w:rsidRPr="00BC3B26">
              <w:rPr>
                <w:rFonts w:ascii="標楷體" w:eastAsia="標楷體" w:hAnsi="標楷體" w:cs="標楷體" w:hint="eastAsia"/>
                <w:kern w:val="2"/>
                <w:szCs w:val="22"/>
                <w:lang w:val="zh-TW"/>
              </w:rPr>
              <w:t>券</w:t>
            </w:r>
            <w:proofErr w:type="gramEnd"/>
            <w:r w:rsidRPr="00BC3B26">
              <w:rPr>
                <w:rFonts w:ascii="標楷體" w:eastAsia="標楷體" w:hAnsi="標楷體" w:cs="標楷體" w:hint="eastAsia"/>
                <w:kern w:val="2"/>
                <w:szCs w:val="22"/>
                <w:lang w:val="zh-TW"/>
              </w:rPr>
              <w:t>。</w:t>
            </w:r>
          </w:p>
          <w:p w:rsidR="00E909C0" w:rsidRPr="00DA52C9" w:rsidRDefault="00E909C0" w:rsidP="00D011B8">
            <w:pPr>
              <w:autoSpaceDE w:val="0"/>
              <w:autoSpaceDN w:val="0"/>
              <w:jc w:val="both"/>
              <w:rPr>
                <w:rFonts w:ascii="標楷體" w:eastAsia="標楷體" w:hAnsi="標楷體" w:cs="標楷體"/>
                <w:color w:val="000000" w:themeColor="text1"/>
              </w:rPr>
            </w:pPr>
          </w:p>
        </w:tc>
        <w:tc>
          <w:tcPr>
            <w:tcW w:w="2787" w:type="dxa"/>
          </w:tcPr>
          <w:p w:rsidR="00E54E2E" w:rsidRPr="00DA52C9" w:rsidRDefault="00E54E2E">
            <w:pPr>
              <w:autoSpaceDE w:val="0"/>
              <w:autoSpaceDN w:val="0"/>
              <w:jc w:val="both"/>
              <w:rPr>
                <w:rFonts w:ascii="標楷體" w:eastAsia="標楷體" w:hAnsi="標楷體" w:cs="標楷體"/>
                <w:color w:val="000000" w:themeColor="text1"/>
                <w:sz w:val="20"/>
                <w:szCs w:val="20"/>
                <w:lang w:val="zh-TW"/>
              </w:rPr>
            </w:pPr>
          </w:p>
        </w:tc>
        <w:tc>
          <w:tcPr>
            <w:tcW w:w="2788" w:type="dxa"/>
          </w:tcPr>
          <w:p w:rsidR="00DA1FEA" w:rsidRPr="00DA52C9" w:rsidRDefault="00CB567E" w:rsidP="00DA1FEA">
            <w:pPr>
              <w:pStyle w:val="af"/>
              <w:numPr>
                <w:ilvl w:val="0"/>
                <w:numId w:val="8"/>
              </w:numPr>
              <w:ind w:leftChars="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u w:val="single"/>
              </w:rPr>
              <w:t>本條新增</w:t>
            </w:r>
            <w:r w:rsidR="00E909C0" w:rsidRPr="00DA52C9">
              <w:rPr>
                <w:rFonts w:ascii="標楷體" w:eastAsia="標楷體" w:hAnsi="標楷體" w:hint="eastAsia"/>
                <w:color w:val="000000" w:themeColor="text1"/>
              </w:rPr>
              <w:t>。</w:t>
            </w:r>
          </w:p>
          <w:p w:rsidR="00DA1FEA" w:rsidRPr="00DA52C9" w:rsidRDefault="00C468F7" w:rsidP="00DA1FEA">
            <w:pPr>
              <w:pStyle w:val="af"/>
              <w:numPr>
                <w:ilvl w:val="0"/>
                <w:numId w:val="8"/>
              </w:numPr>
              <w:ind w:leftChars="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配合</w:t>
            </w:r>
            <w:r w:rsidR="006C0F6D" w:rsidRPr="00DA52C9">
              <w:rPr>
                <w:rFonts w:ascii="標楷體" w:eastAsia="標楷體" w:hAnsi="標楷體" w:hint="eastAsia"/>
                <w:color w:val="000000" w:themeColor="text1"/>
              </w:rPr>
              <w:t>現行「</w:t>
            </w:r>
            <w:r w:rsidR="00E909C0" w:rsidRPr="00DA52C9">
              <w:rPr>
                <w:rFonts w:ascii="標楷體" w:eastAsia="標楷體" w:hAnsi="標楷體" w:hint="eastAsia"/>
                <w:color w:val="000000" w:themeColor="text1"/>
              </w:rPr>
              <w:t>本公司於借</w:t>
            </w:r>
            <w:proofErr w:type="gramStart"/>
            <w:r w:rsidR="00E909C0" w:rsidRPr="00DA52C9">
              <w:rPr>
                <w:rFonts w:ascii="標楷體" w:eastAsia="標楷體" w:hAnsi="標楷體" w:hint="eastAsia"/>
                <w:color w:val="000000" w:themeColor="text1"/>
              </w:rPr>
              <w:t>券</w:t>
            </w:r>
            <w:proofErr w:type="gramEnd"/>
            <w:r w:rsidR="00E909C0" w:rsidRPr="00DA52C9">
              <w:rPr>
                <w:rFonts w:ascii="標楷體" w:eastAsia="標楷體" w:hAnsi="標楷體" w:hint="eastAsia"/>
                <w:color w:val="000000" w:themeColor="text1"/>
              </w:rPr>
              <w:t>人預定還</w:t>
            </w:r>
            <w:proofErr w:type="gramStart"/>
            <w:r w:rsidR="00E909C0" w:rsidRPr="00DA52C9">
              <w:rPr>
                <w:rFonts w:ascii="標楷體" w:eastAsia="標楷體" w:hAnsi="標楷體" w:hint="eastAsia"/>
                <w:color w:val="000000" w:themeColor="text1"/>
              </w:rPr>
              <w:t>券</w:t>
            </w:r>
            <w:proofErr w:type="gramEnd"/>
            <w:r w:rsidR="00E909C0" w:rsidRPr="00DA52C9">
              <w:rPr>
                <w:rFonts w:ascii="標楷體" w:eastAsia="標楷體" w:hAnsi="標楷體" w:hint="eastAsia"/>
                <w:color w:val="000000" w:themeColor="text1"/>
              </w:rPr>
              <w:t>日之前十個營業日，將</w:t>
            </w:r>
            <w:r w:rsidR="00A6339A" w:rsidRPr="00DA52C9">
              <w:rPr>
                <w:rFonts w:ascii="標楷體" w:eastAsia="標楷體" w:hAnsi="標楷體" w:hint="eastAsia"/>
                <w:color w:val="000000" w:themeColor="text1"/>
              </w:rPr>
              <w:t>先行</w:t>
            </w:r>
            <w:r w:rsidR="00E909C0" w:rsidRPr="00DA52C9">
              <w:rPr>
                <w:rFonts w:ascii="標楷體" w:eastAsia="標楷體" w:hAnsi="標楷體" w:hint="eastAsia"/>
                <w:color w:val="000000" w:themeColor="text1"/>
              </w:rPr>
              <w:t>透過證券商轉知借</w:t>
            </w:r>
            <w:proofErr w:type="gramStart"/>
            <w:r w:rsidR="00E909C0" w:rsidRPr="00DA52C9">
              <w:rPr>
                <w:rFonts w:ascii="標楷體" w:eastAsia="標楷體" w:hAnsi="標楷體" w:hint="eastAsia"/>
                <w:color w:val="000000" w:themeColor="text1"/>
              </w:rPr>
              <w:t>券</w:t>
            </w:r>
            <w:proofErr w:type="gramEnd"/>
            <w:r w:rsidR="00E909C0" w:rsidRPr="00DA52C9">
              <w:rPr>
                <w:rFonts w:ascii="標楷體" w:eastAsia="標楷體" w:hAnsi="標楷體" w:hint="eastAsia"/>
                <w:color w:val="000000" w:themeColor="text1"/>
              </w:rPr>
              <w:t>人返還</w:t>
            </w:r>
            <w:r w:rsidR="006C0F6D" w:rsidRPr="00DA52C9">
              <w:rPr>
                <w:rFonts w:ascii="標楷體" w:eastAsia="標楷體" w:hAnsi="標楷體" w:hint="eastAsia"/>
                <w:color w:val="000000" w:themeColor="text1"/>
              </w:rPr>
              <w:t>」</w:t>
            </w:r>
            <w:r w:rsidR="00E909C0" w:rsidRPr="00DA52C9">
              <w:rPr>
                <w:rFonts w:ascii="標楷體" w:eastAsia="標楷體" w:hAnsi="標楷體" w:hint="eastAsia"/>
                <w:color w:val="000000" w:themeColor="text1"/>
              </w:rPr>
              <w:t>之實務</w:t>
            </w:r>
            <w:r w:rsidR="006C0F6D" w:rsidRPr="00DA52C9">
              <w:rPr>
                <w:rFonts w:ascii="標楷體" w:eastAsia="標楷體" w:hAnsi="標楷體" w:hint="eastAsia"/>
                <w:color w:val="000000" w:themeColor="text1"/>
              </w:rPr>
              <w:t>處理</w:t>
            </w:r>
            <w:r w:rsidR="00FE12AD" w:rsidRPr="00DA52C9">
              <w:rPr>
                <w:rFonts w:ascii="標楷體" w:eastAsia="標楷體" w:hAnsi="標楷體" w:hint="eastAsia"/>
                <w:color w:val="000000" w:themeColor="text1"/>
              </w:rPr>
              <w:t>作業</w:t>
            </w:r>
            <w:r w:rsidR="00E909C0" w:rsidRPr="00DA52C9">
              <w:rPr>
                <w:rFonts w:ascii="標楷體" w:eastAsia="標楷體" w:hAnsi="標楷體" w:hint="eastAsia"/>
                <w:color w:val="000000" w:themeColor="text1"/>
              </w:rPr>
              <w:t>，並</w:t>
            </w:r>
            <w:r w:rsidR="006204C3" w:rsidRPr="00DA52C9">
              <w:rPr>
                <w:rFonts w:ascii="標楷體" w:eastAsia="標楷體" w:hAnsi="標楷體" w:hint="eastAsia"/>
                <w:color w:val="000000" w:themeColor="text1"/>
              </w:rPr>
              <w:t>為</w:t>
            </w:r>
            <w:r w:rsidR="00E909C0" w:rsidRPr="00DA52C9">
              <w:rPr>
                <w:rFonts w:ascii="標楷體" w:eastAsia="標楷體" w:hAnsi="標楷體" w:hint="eastAsia"/>
                <w:color w:val="000000" w:themeColor="text1"/>
              </w:rPr>
              <w:t>避免</w:t>
            </w:r>
            <w:r w:rsidRPr="00DA52C9">
              <w:rPr>
                <w:rFonts w:ascii="標楷體" w:eastAsia="標楷體" w:hAnsi="標楷體" w:hint="eastAsia"/>
                <w:color w:val="000000" w:themeColor="text1"/>
              </w:rPr>
              <w:t>強制</w:t>
            </w:r>
            <w:r w:rsidR="00E909C0" w:rsidRPr="00DA52C9">
              <w:rPr>
                <w:rFonts w:ascii="標楷體" w:eastAsia="標楷體" w:hAnsi="標楷體" w:hint="eastAsia"/>
                <w:color w:val="000000" w:themeColor="text1"/>
              </w:rPr>
              <w:t>還</w:t>
            </w:r>
            <w:proofErr w:type="gramStart"/>
            <w:r w:rsidR="00E909C0" w:rsidRPr="00DA52C9">
              <w:rPr>
                <w:rFonts w:ascii="標楷體" w:eastAsia="標楷體" w:hAnsi="標楷體" w:hint="eastAsia"/>
                <w:color w:val="000000" w:themeColor="text1"/>
              </w:rPr>
              <w:t>券期間</w:t>
            </w:r>
            <w:r w:rsidR="00FE12AD" w:rsidRPr="00DA52C9">
              <w:rPr>
                <w:rFonts w:ascii="標楷體" w:eastAsia="標楷體" w:hAnsi="標楷體" w:hint="eastAsia"/>
                <w:color w:val="000000" w:themeColor="text1"/>
              </w:rPr>
              <w:t>，</w:t>
            </w:r>
            <w:proofErr w:type="gramEnd"/>
            <w:r w:rsidR="00A6339A" w:rsidRPr="00DA52C9">
              <w:rPr>
                <w:rFonts w:ascii="標楷體" w:eastAsia="標楷體" w:hAnsi="標楷體" w:hint="eastAsia"/>
                <w:color w:val="000000" w:themeColor="text1"/>
              </w:rPr>
              <w:t>市場</w:t>
            </w:r>
            <w:r w:rsidR="00E909C0" w:rsidRPr="00DA52C9">
              <w:rPr>
                <w:rFonts w:ascii="標楷體" w:eastAsia="標楷體" w:hAnsi="標楷體" w:hint="eastAsia"/>
                <w:color w:val="000000" w:themeColor="text1"/>
              </w:rPr>
              <w:t>仍繼續新增借</w:t>
            </w:r>
            <w:proofErr w:type="gramStart"/>
            <w:r w:rsidR="00E909C0" w:rsidRPr="00DA52C9">
              <w:rPr>
                <w:rFonts w:ascii="標楷體" w:eastAsia="標楷體" w:hAnsi="標楷體" w:hint="eastAsia"/>
                <w:color w:val="000000" w:themeColor="text1"/>
              </w:rPr>
              <w:t>券</w:t>
            </w:r>
            <w:proofErr w:type="gramEnd"/>
            <w:r w:rsidR="00E909C0" w:rsidRPr="00DA52C9">
              <w:rPr>
                <w:rFonts w:ascii="標楷體" w:eastAsia="標楷體" w:hAnsi="標楷體" w:hint="eastAsia"/>
                <w:color w:val="000000" w:themeColor="text1"/>
              </w:rPr>
              <w:t>餘額，</w:t>
            </w:r>
            <w:proofErr w:type="gramStart"/>
            <w:r w:rsidR="00E909C0" w:rsidRPr="00DA52C9">
              <w:rPr>
                <w:rFonts w:ascii="標楷體" w:eastAsia="標楷體" w:hAnsi="標楷體" w:hint="eastAsia"/>
                <w:color w:val="000000" w:themeColor="text1"/>
              </w:rPr>
              <w:t>爰</w:t>
            </w:r>
            <w:proofErr w:type="gramEnd"/>
            <w:r w:rsidR="00E909C0" w:rsidRPr="00DA52C9">
              <w:rPr>
                <w:rFonts w:ascii="標楷體" w:eastAsia="標楷體" w:hAnsi="標楷體" w:hint="eastAsia"/>
                <w:color w:val="000000" w:themeColor="text1"/>
              </w:rPr>
              <w:t>增訂本條規定。</w:t>
            </w:r>
          </w:p>
        </w:tc>
      </w:tr>
      <w:tr w:rsidR="00921C15" w:rsidRPr="00DA52C9" w:rsidTr="00CA3C91">
        <w:tc>
          <w:tcPr>
            <w:tcW w:w="2788" w:type="dxa"/>
          </w:tcPr>
          <w:p w:rsidR="00921C15" w:rsidRPr="00DA52C9" w:rsidRDefault="002B60C0" w:rsidP="00D011B8">
            <w:pPr>
              <w:tabs>
                <w:tab w:val="center" w:pos="4153"/>
                <w:tab w:val="right" w:pos="8306"/>
              </w:tabs>
              <w:autoSpaceDE w:val="0"/>
              <w:autoSpaceDN w:val="0"/>
              <w:snapToGrid w:val="0"/>
              <w:jc w:val="both"/>
              <w:rPr>
                <w:rFonts w:ascii="標楷體" w:eastAsia="標楷體" w:hAnsi="標楷體" w:cs="標楷體"/>
                <w:color w:val="000000" w:themeColor="text1"/>
                <w:lang w:val="zh-TW"/>
              </w:rPr>
            </w:pPr>
            <w:r w:rsidRPr="00DA52C9">
              <w:rPr>
                <w:rFonts w:ascii="標楷體" w:eastAsia="標楷體" w:hAnsi="標楷體" w:cs="標楷體" w:hint="eastAsia"/>
                <w:color w:val="000000" w:themeColor="text1"/>
                <w:lang w:val="zh-TW"/>
              </w:rPr>
              <w:t>第二十六條</w:t>
            </w:r>
          </w:p>
          <w:p w:rsidR="00DA1FEA" w:rsidRPr="00DA52C9" w:rsidRDefault="002B60C0" w:rsidP="00DA1FEA">
            <w:pPr>
              <w:kinsoku w:val="0"/>
              <w:ind w:firstLineChars="236" w:firstLine="566"/>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定價、競價交易標的證券之返還期限及方式如下：</w:t>
            </w:r>
          </w:p>
          <w:p w:rsidR="00DA1FEA" w:rsidRPr="00DA52C9" w:rsidRDefault="002B60C0"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一、到期日還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：本公司於設定之還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日期前十營業日經由證券商通知借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人返還。</w:t>
            </w:r>
          </w:p>
          <w:p w:rsidR="00DA1FEA" w:rsidRPr="00DA52C9" w:rsidRDefault="002B60C0"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二、到期前還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人自借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日之次一營業日起得隨時返還全部或部分標的證券。</w:t>
            </w:r>
          </w:p>
          <w:p w:rsidR="00DA1FEA" w:rsidRPr="00DA52C9" w:rsidRDefault="002B60C0"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三、出借人請求提前還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：出借人得依借貸申請條件於預定提前還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日之前一個營業日、前三</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營業日或前十</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w:t>
            </w:r>
            <w:r w:rsidR="00BC3B26" w:rsidRPr="00BC3B26">
              <w:rPr>
                <w:rFonts w:ascii="標楷體" w:eastAsia="標楷體" w:hAnsi="標楷體" w:hint="eastAsia"/>
                <w:u w:val="single"/>
              </w:rPr>
              <w:t>請求返還全部或部分標的證券</w:t>
            </w:r>
            <w:r w:rsidR="00BC3B26" w:rsidRPr="00BC3B26">
              <w:rPr>
                <w:rFonts w:ascii="標楷體" w:eastAsia="標楷體" w:hAnsi="標楷體" w:hint="eastAsia"/>
              </w:rPr>
              <w:t>，</w:t>
            </w:r>
            <w:r w:rsidRPr="00DA52C9">
              <w:rPr>
                <w:rFonts w:ascii="標楷體" w:eastAsia="標楷體" w:hAnsi="標楷體" w:hint="eastAsia"/>
                <w:color w:val="000000" w:themeColor="text1"/>
              </w:rPr>
              <w:t>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人應於接到通知之次一營業日起一次或</w:t>
            </w:r>
            <w:proofErr w:type="gramStart"/>
            <w:r w:rsidRPr="00DA52C9">
              <w:rPr>
                <w:rFonts w:ascii="標楷體" w:eastAsia="標楷體" w:hAnsi="標楷體" w:hint="eastAsia"/>
                <w:color w:val="000000" w:themeColor="text1"/>
              </w:rPr>
              <w:t>分次返還</w:t>
            </w:r>
            <w:proofErr w:type="gramEnd"/>
            <w:r w:rsidRPr="00DA52C9">
              <w:rPr>
                <w:rFonts w:ascii="標楷體" w:eastAsia="標楷體" w:hAnsi="標楷體" w:hint="eastAsia"/>
                <w:color w:val="000000" w:themeColor="text1"/>
              </w:rPr>
              <w:t>被請求標的證券。</w:t>
            </w:r>
          </w:p>
          <w:p w:rsidR="00DA1FEA" w:rsidRPr="00DA52C9" w:rsidRDefault="002B60C0"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lastRenderedPageBreak/>
              <w:t>四、強制提前還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w:t>
            </w:r>
          </w:p>
          <w:p w:rsidR="00DA1FEA" w:rsidRPr="00DA52C9" w:rsidRDefault="002B60C0"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（一）標的證券經審核不再為合格標的或經暫停借貸交易者，本公司得限期通知借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2B60C0"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（二）標的證券發行公司有合併、減資或其他影響出借人股東權行使之</w:t>
            </w:r>
            <w:r w:rsidRPr="00DA52C9">
              <w:rPr>
                <w:rFonts w:ascii="標楷體" w:eastAsia="標楷體" w:hAnsi="標楷體"/>
                <w:color w:val="000000" w:themeColor="text1"/>
              </w:rPr>
              <w:t xml:space="preserve">        </w:t>
            </w:r>
            <w:r w:rsidRPr="00DA52C9">
              <w:rPr>
                <w:rFonts w:ascii="標楷體" w:eastAsia="標楷體" w:hAnsi="標楷體" w:hint="eastAsia"/>
                <w:color w:val="000000" w:themeColor="text1"/>
              </w:rPr>
              <w:t>事由者，借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人應於停止過戶日前六</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2B60C0"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（三）標的證券經公告停止買賣而未定恢復期限或終止上市（櫃），借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人應於本公司所定期限內還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2B60C0"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（四）證券市場因天然災害或其他非常事故，全部停止交易而未定恢復</w:t>
            </w:r>
            <w:r w:rsidRPr="00DA52C9">
              <w:rPr>
                <w:rFonts w:ascii="標楷體" w:eastAsia="標楷體" w:hAnsi="標楷體"/>
                <w:color w:val="000000" w:themeColor="text1"/>
              </w:rPr>
              <w:t xml:space="preserve">        </w:t>
            </w:r>
            <w:r w:rsidRPr="00DA52C9">
              <w:rPr>
                <w:rFonts w:ascii="標楷體" w:eastAsia="標楷體" w:hAnsi="標楷體" w:hint="eastAsia"/>
                <w:color w:val="000000" w:themeColor="text1"/>
              </w:rPr>
              <w:t>期限，借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人應於本公司公告所定期限內還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2B60C0" w:rsidP="00301C6B">
            <w:pPr>
              <w:tabs>
                <w:tab w:val="center" w:pos="4153"/>
                <w:tab w:val="right" w:pos="8306"/>
              </w:tabs>
              <w:autoSpaceDE w:val="0"/>
              <w:autoSpaceDN w:val="0"/>
              <w:snapToGrid w:val="0"/>
              <w:jc w:val="both"/>
              <w:rPr>
                <w:rFonts w:ascii="標楷體" w:eastAsia="標楷體" w:hAnsi="標楷體" w:cs="標楷體"/>
                <w:color w:val="000000" w:themeColor="text1"/>
                <w:sz w:val="20"/>
                <w:szCs w:val="20"/>
              </w:rPr>
            </w:pPr>
            <w:r w:rsidRPr="00DA52C9">
              <w:rPr>
                <w:rFonts w:ascii="標楷體" w:eastAsia="標楷體" w:hAnsi="標楷體" w:cs="標楷體"/>
                <w:color w:val="000000" w:themeColor="text1"/>
              </w:rPr>
              <w:t>(</w:t>
            </w:r>
            <w:r w:rsidR="00301C6B">
              <w:rPr>
                <w:rFonts w:ascii="標楷體" w:eastAsia="標楷體" w:hAnsi="標楷體" w:cs="標楷體" w:hint="eastAsia"/>
                <w:color w:val="000000" w:themeColor="text1"/>
              </w:rPr>
              <w:t>以下</w:t>
            </w:r>
            <w:r w:rsidR="00921C15" w:rsidRPr="00DA52C9">
              <w:rPr>
                <w:rFonts w:ascii="標楷體" w:eastAsia="標楷體" w:hAnsi="標楷體" w:cs="標楷體" w:hint="eastAsia"/>
                <w:color w:val="000000" w:themeColor="text1"/>
              </w:rPr>
              <w:t>略</w:t>
            </w:r>
            <w:r w:rsidRPr="00DA52C9">
              <w:rPr>
                <w:rFonts w:ascii="標楷體" w:eastAsia="標楷體" w:hAnsi="標楷體" w:cs="標楷體"/>
                <w:color w:val="000000" w:themeColor="text1"/>
              </w:rPr>
              <w:t>)</w:t>
            </w:r>
          </w:p>
        </w:tc>
        <w:tc>
          <w:tcPr>
            <w:tcW w:w="2787" w:type="dxa"/>
          </w:tcPr>
          <w:p w:rsidR="00DA1FEA" w:rsidRPr="00DA52C9" w:rsidRDefault="00921C15" w:rsidP="00DA1FEA">
            <w:pPr>
              <w:autoSpaceDE w:val="0"/>
              <w:autoSpaceDN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lastRenderedPageBreak/>
              <w:t>第二十六條</w:t>
            </w:r>
          </w:p>
          <w:p w:rsidR="00DA1FEA" w:rsidRPr="00DA52C9" w:rsidRDefault="00921C15" w:rsidP="00DA1FEA">
            <w:pPr>
              <w:kinsoku w:val="0"/>
              <w:ind w:firstLineChars="236" w:firstLine="566"/>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定價、競價交易標的證券之返還期限及方式如下：</w:t>
            </w:r>
          </w:p>
          <w:p w:rsidR="00DA1FEA" w:rsidRPr="00DA52C9" w:rsidRDefault="00921C15"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一、到期日還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：本公司於設定之還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日期前十營業日經由證券商通知借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人返還。</w:t>
            </w:r>
          </w:p>
          <w:p w:rsidR="00DA1FEA" w:rsidRPr="00DA52C9" w:rsidRDefault="00921C15"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二、到期前還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人自借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日之次一營業日起得隨時返還全部或部分標的證券。</w:t>
            </w:r>
          </w:p>
          <w:p w:rsidR="00DA1FEA" w:rsidRPr="00DA52C9" w:rsidRDefault="00921C15"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三、出借人請求提前還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：出借人得依借貸申請條件於預定提前還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日之前一個營業日、前三</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營業日或前十</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w:t>
            </w:r>
            <w:r w:rsidR="002B60C0" w:rsidRPr="00DA52C9">
              <w:rPr>
                <w:rFonts w:ascii="標楷體" w:eastAsia="標楷體" w:hAnsi="標楷體" w:hint="eastAsia"/>
                <w:color w:val="000000" w:themeColor="text1"/>
              </w:rPr>
              <w:t>提出提前還</w:t>
            </w:r>
            <w:proofErr w:type="gramStart"/>
            <w:r w:rsidR="002B60C0" w:rsidRPr="00DA52C9">
              <w:rPr>
                <w:rFonts w:ascii="標楷體" w:eastAsia="標楷體" w:hAnsi="標楷體" w:hint="eastAsia"/>
                <w:color w:val="000000" w:themeColor="text1"/>
              </w:rPr>
              <w:t>券</w:t>
            </w:r>
            <w:proofErr w:type="gramEnd"/>
            <w:r w:rsidR="002B60C0" w:rsidRPr="00DA52C9">
              <w:rPr>
                <w:rFonts w:ascii="標楷體" w:eastAsia="標楷體" w:hAnsi="標楷體" w:hint="eastAsia"/>
                <w:color w:val="000000" w:themeColor="text1"/>
              </w:rPr>
              <w:t>之請求</w:t>
            </w:r>
            <w:r w:rsidRPr="00DA52C9">
              <w:rPr>
                <w:rFonts w:ascii="標楷體" w:eastAsia="標楷體" w:hAnsi="標楷體" w:hint="eastAsia"/>
                <w:color w:val="000000" w:themeColor="text1"/>
              </w:rPr>
              <w:t>，    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人應於接到通知之次一營業日起一次或</w:t>
            </w:r>
            <w:proofErr w:type="gramStart"/>
            <w:r w:rsidRPr="00DA52C9">
              <w:rPr>
                <w:rFonts w:ascii="標楷體" w:eastAsia="標楷體" w:hAnsi="標楷體" w:hint="eastAsia"/>
                <w:color w:val="000000" w:themeColor="text1"/>
              </w:rPr>
              <w:t>分次返還</w:t>
            </w:r>
            <w:proofErr w:type="gramEnd"/>
            <w:r w:rsidRPr="00DA52C9">
              <w:rPr>
                <w:rFonts w:ascii="標楷體" w:eastAsia="標楷體" w:hAnsi="標楷體" w:hint="eastAsia"/>
                <w:color w:val="000000" w:themeColor="text1"/>
              </w:rPr>
              <w:t>被請求標的證券。</w:t>
            </w:r>
          </w:p>
          <w:p w:rsidR="00DA1FEA" w:rsidRPr="00DA52C9" w:rsidRDefault="00921C15" w:rsidP="00DA1FEA">
            <w:pPr>
              <w:kinsoku w:val="0"/>
              <w:ind w:left="480" w:hangingChars="200" w:hanging="480"/>
              <w:jc w:val="both"/>
              <w:rPr>
                <w:rFonts w:ascii="細明體" w:eastAsia="細明體" w:hAnsi="細明體" w:cs="細明體"/>
                <w:color w:val="000000" w:themeColor="text1"/>
                <w:kern w:val="0"/>
                <w:sz w:val="20"/>
                <w:szCs w:val="24"/>
              </w:rPr>
            </w:pPr>
            <w:r w:rsidRPr="00DA52C9">
              <w:rPr>
                <w:rFonts w:ascii="標楷體" w:eastAsia="標楷體" w:hAnsi="標楷體" w:hint="eastAsia"/>
                <w:color w:val="000000" w:themeColor="text1"/>
              </w:rPr>
              <w:t>四、強制提前還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w:t>
            </w:r>
          </w:p>
          <w:p w:rsidR="00DA1FEA" w:rsidRPr="00DA52C9" w:rsidRDefault="00921C15"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lastRenderedPageBreak/>
              <w:t>（一）標的證券經審核不再為合格標的或經暫停借貸交易者，本公司得限期通知借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921C15"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（二）標的證券發行公司有合併、減資或其他影響出借人股東權行使之        事由者，借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人應於停止過戶日前六</w:t>
            </w:r>
            <w:proofErr w:type="gramStart"/>
            <w:r w:rsidRPr="00DA52C9">
              <w:rPr>
                <w:rFonts w:ascii="標楷體" w:eastAsia="標楷體" w:hAnsi="標楷體" w:hint="eastAsia"/>
                <w:color w:val="000000" w:themeColor="text1"/>
              </w:rPr>
              <w:t>個</w:t>
            </w:r>
            <w:proofErr w:type="gramEnd"/>
            <w:r w:rsidRPr="00DA52C9">
              <w:rPr>
                <w:rFonts w:ascii="標楷體" w:eastAsia="標楷體" w:hAnsi="標楷體" w:hint="eastAsia"/>
                <w:color w:val="000000" w:themeColor="text1"/>
              </w:rPr>
              <w:t>營業日前還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921C15"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（三）標的證券經公告停止買賣而未定恢復期限或終止上市（櫃），借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人應於本公司所定期限內還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921C15" w:rsidP="00DA1FEA">
            <w:pPr>
              <w:kinsoku w:val="0"/>
              <w:ind w:left="600" w:hangingChars="250" w:hanging="600"/>
              <w:jc w:val="both"/>
              <w:rPr>
                <w:rFonts w:ascii="標楷體" w:eastAsia="標楷體" w:hAnsi="標楷體"/>
                <w:color w:val="000000" w:themeColor="text1"/>
                <w:sz w:val="20"/>
                <w:szCs w:val="20"/>
              </w:rPr>
            </w:pPr>
            <w:r w:rsidRPr="00DA52C9">
              <w:rPr>
                <w:rFonts w:ascii="標楷體" w:eastAsia="標楷體" w:hAnsi="標楷體" w:hint="eastAsia"/>
                <w:color w:val="000000" w:themeColor="text1"/>
              </w:rPr>
              <w:t>（四）證券市場因天然災害或其他非常事故，全部停止交易而未定恢復        期限，借</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人應於本公司公告所定期限內還</w:t>
            </w:r>
            <w:proofErr w:type="gramStart"/>
            <w:r w:rsidRPr="00DA52C9">
              <w:rPr>
                <w:rFonts w:ascii="標楷體" w:eastAsia="標楷體" w:hAnsi="標楷體" w:hint="eastAsia"/>
                <w:color w:val="000000" w:themeColor="text1"/>
              </w:rPr>
              <w:t>券</w:t>
            </w:r>
            <w:proofErr w:type="gramEnd"/>
            <w:r w:rsidRPr="00DA52C9">
              <w:rPr>
                <w:rFonts w:ascii="標楷體" w:eastAsia="標楷體" w:hAnsi="標楷體" w:hint="eastAsia"/>
                <w:color w:val="000000" w:themeColor="text1"/>
              </w:rPr>
              <w:t>了結。</w:t>
            </w:r>
          </w:p>
          <w:p w:rsidR="00DA1FEA" w:rsidRPr="00DA52C9" w:rsidRDefault="00921C15" w:rsidP="00301C6B">
            <w:pPr>
              <w:autoSpaceDE w:val="0"/>
              <w:autoSpaceDN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rPr>
              <w:t>(</w:t>
            </w:r>
            <w:r w:rsidR="00301C6B">
              <w:rPr>
                <w:rFonts w:ascii="標楷體" w:eastAsia="標楷體" w:hAnsi="標楷體" w:cs="標楷體" w:hint="eastAsia"/>
                <w:color w:val="000000" w:themeColor="text1"/>
              </w:rPr>
              <w:t>以下</w:t>
            </w:r>
            <w:r w:rsidRPr="00DA52C9">
              <w:rPr>
                <w:rFonts w:ascii="標楷體" w:eastAsia="標楷體" w:hAnsi="標楷體" w:cs="標楷體" w:hint="eastAsia"/>
                <w:color w:val="000000" w:themeColor="text1"/>
              </w:rPr>
              <w:t>略)</w:t>
            </w:r>
          </w:p>
        </w:tc>
        <w:tc>
          <w:tcPr>
            <w:tcW w:w="2788" w:type="dxa"/>
          </w:tcPr>
          <w:p w:rsidR="00DA1FEA" w:rsidRPr="00DA52C9" w:rsidRDefault="00CD61BC" w:rsidP="00DA1FEA">
            <w:pPr>
              <w:jc w:val="both"/>
              <w:rPr>
                <w:rFonts w:ascii="標楷體" w:eastAsia="標楷體" w:hAnsi="標楷體"/>
                <w:color w:val="000000" w:themeColor="text1"/>
                <w:sz w:val="20"/>
                <w:szCs w:val="20"/>
              </w:rPr>
            </w:pPr>
            <w:r w:rsidRPr="00DA52C9">
              <w:rPr>
                <w:rFonts w:ascii="標楷體" w:eastAsia="標楷體" w:hint="eastAsia"/>
                <w:color w:val="000000" w:themeColor="text1"/>
              </w:rPr>
              <w:lastRenderedPageBreak/>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w:t>
            </w:r>
            <w:r w:rsidR="00A704F7" w:rsidRPr="00DA52C9">
              <w:rPr>
                <w:rFonts w:ascii="標楷體" w:eastAsia="標楷體" w:hint="eastAsia"/>
                <w:color w:val="000000" w:themeColor="text1"/>
              </w:rPr>
              <w:t>章</w:t>
            </w:r>
            <w:r w:rsidR="00921C15" w:rsidRPr="00DA52C9">
              <w:rPr>
                <w:rFonts w:ascii="標楷體" w:eastAsia="標楷體" w:hint="eastAsia"/>
                <w:color w:val="000000" w:themeColor="text1"/>
              </w:rPr>
              <w:t>，第一項第三款修正納入</w:t>
            </w:r>
            <w:r w:rsidR="00DD6613">
              <w:rPr>
                <w:rFonts w:ascii="標楷體" w:eastAsia="標楷體" w:hint="eastAsia"/>
                <w:color w:val="000000" w:themeColor="text1"/>
              </w:rPr>
              <w:t>101年10月4日</w:t>
            </w:r>
            <w:proofErr w:type="gramStart"/>
            <w:r w:rsidR="00921C15" w:rsidRPr="00DA52C9">
              <w:rPr>
                <w:rFonts w:ascii="標楷體" w:eastAsia="標楷體" w:hint="eastAsia"/>
                <w:color w:val="000000" w:themeColor="text1"/>
              </w:rPr>
              <w:t>臺證結</w:t>
            </w:r>
            <w:proofErr w:type="gramEnd"/>
            <w:r w:rsidR="00921C15" w:rsidRPr="00DA52C9">
              <w:rPr>
                <w:rFonts w:ascii="標楷體" w:eastAsia="標楷體" w:hint="eastAsia"/>
                <w:color w:val="000000" w:themeColor="text1"/>
              </w:rPr>
              <w:t>字第101030</w:t>
            </w:r>
            <w:r w:rsidRPr="00DA52C9">
              <w:rPr>
                <w:rFonts w:ascii="標楷體" w:eastAsia="標楷體" w:hint="eastAsia"/>
                <w:color w:val="000000" w:themeColor="text1"/>
              </w:rPr>
              <w:t>1917</w:t>
            </w:r>
            <w:r w:rsidR="00921C15" w:rsidRPr="00DA52C9">
              <w:rPr>
                <w:rFonts w:ascii="標楷體" w:eastAsia="標楷體" w:hint="eastAsia"/>
                <w:color w:val="000000" w:themeColor="text1"/>
              </w:rPr>
              <w:t>號函之規定。</w:t>
            </w:r>
          </w:p>
        </w:tc>
      </w:tr>
      <w:tr w:rsidR="00921C15" w:rsidRPr="00DA52C9" w:rsidTr="00CA3C91">
        <w:trPr>
          <w:trHeight w:val="983"/>
        </w:trPr>
        <w:tc>
          <w:tcPr>
            <w:tcW w:w="2788" w:type="dxa"/>
          </w:tcPr>
          <w:p w:rsidR="002B60C0" w:rsidRPr="005F594B" w:rsidRDefault="00BC3B26" w:rsidP="00D011B8">
            <w:pPr>
              <w:tabs>
                <w:tab w:val="center" w:pos="4153"/>
                <w:tab w:val="right" w:pos="8306"/>
              </w:tabs>
              <w:autoSpaceDE w:val="0"/>
              <w:autoSpaceDN w:val="0"/>
              <w:snapToGrid w:val="0"/>
              <w:jc w:val="both"/>
              <w:rPr>
                <w:rFonts w:ascii="標楷體" w:eastAsia="標楷體" w:hAnsi="標楷體" w:cs="標楷體"/>
                <w:sz w:val="20"/>
                <w:szCs w:val="20"/>
                <w:lang w:val="zh-TW"/>
              </w:rPr>
            </w:pPr>
            <w:r w:rsidRPr="00BC3B26">
              <w:rPr>
                <w:rFonts w:ascii="標楷體" w:eastAsia="標楷體" w:hAnsi="標楷體" w:cs="標楷體" w:hint="eastAsia"/>
                <w:lang w:val="zh-TW"/>
              </w:rPr>
              <w:lastRenderedPageBreak/>
              <w:t>第三十一條之</w:t>
            </w:r>
            <w:proofErr w:type="gramStart"/>
            <w:r w:rsidRPr="00BC3B26">
              <w:rPr>
                <w:rFonts w:ascii="標楷體" w:eastAsia="標楷體" w:hAnsi="標楷體" w:cs="標楷體" w:hint="eastAsia"/>
                <w:lang w:val="zh-TW"/>
              </w:rPr>
              <w:t>一</w:t>
            </w:r>
            <w:proofErr w:type="gramEnd"/>
          </w:p>
          <w:p w:rsidR="00DA1FEA" w:rsidRPr="005F594B" w:rsidRDefault="00BC3B26" w:rsidP="00DA1FEA">
            <w:pPr>
              <w:tabs>
                <w:tab w:val="center" w:pos="4153"/>
                <w:tab w:val="right" w:pos="8306"/>
              </w:tabs>
              <w:kinsoku w:val="0"/>
              <w:overflowPunct w:val="0"/>
              <w:snapToGrid w:val="0"/>
              <w:spacing w:line="380" w:lineRule="exact"/>
              <w:ind w:firstLineChars="200" w:firstLine="480"/>
              <w:jc w:val="both"/>
              <w:rPr>
                <w:rFonts w:ascii="標楷體" w:eastAsia="標楷體" w:hAnsi="標楷體" w:cs="標楷體"/>
                <w:sz w:val="20"/>
                <w:szCs w:val="20"/>
                <w:lang w:val="zh-TW"/>
              </w:rPr>
            </w:pPr>
            <w:r w:rsidRPr="00BC3B26">
              <w:rPr>
                <w:rFonts w:ascii="標楷體" w:eastAsia="標楷體" w:hAnsi="標楷體" w:cs="標楷體" w:hint="eastAsia"/>
                <w:lang w:val="zh-TW"/>
              </w:rPr>
              <w:t>證券商或定價、競價交易借</w:t>
            </w:r>
            <w:proofErr w:type="gramStart"/>
            <w:r w:rsidRPr="00BC3B26">
              <w:rPr>
                <w:rFonts w:ascii="標楷體" w:eastAsia="標楷體" w:hAnsi="標楷體" w:cs="標楷體" w:hint="eastAsia"/>
                <w:lang w:val="zh-TW"/>
              </w:rPr>
              <w:t>券</w:t>
            </w:r>
            <w:proofErr w:type="gramEnd"/>
            <w:r w:rsidRPr="00BC3B26">
              <w:rPr>
                <w:rFonts w:ascii="標楷體" w:eastAsia="標楷體" w:hAnsi="標楷體" w:cs="標楷體" w:hint="eastAsia"/>
                <w:lang w:val="zh-TW"/>
              </w:rPr>
              <w:t>人辦理下列各款事項時，應依「有價</w:t>
            </w:r>
            <w:r w:rsidRPr="00BC3B26">
              <w:rPr>
                <w:rFonts w:ascii="標楷體" w:eastAsia="標楷體" w:hAnsi="標楷體" w:hint="eastAsia"/>
              </w:rPr>
              <w:t>證券借貸交易相關款項虛擬帳號匯款作業說明一覽表</w:t>
            </w:r>
            <w:r w:rsidRPr="00BC3B26">
              <w:rPr>
                <w:rFonts w:ascii="標楷體" w:eastAsia="標楷體" w:hAnsi="標楷體" w:cs="標楷體" w:hint="eastAsia"/>
                <w:lang w:val="zh-TW"/>
              </w:rPr>
              <w:t>」（附表二），以</w:t>
            </w:r>
            <w:r w:rsidRPr="00BC3B26">
              <w:rPr>
                <w:rFonts w:ascii="標楷體" w:eastAsia="標楷體" w:hAnsi="標楷體" w:cs="標楷體"/>
                <w:lang w:val="zh-TW"/>
              </w:rPr>
              <w:t>虛擬帳號</w:t>
            </w:r>
            <w:r w:rsidRPr="00BC3B26">
              <w:rPr>
                <w:rFonts w:ascii="標楷體" w:eastAsia="標楷體" w:hAnsi="標楷體" w:cs="標楷體" w:hint="eastAsia"/>
                <w:lang w:val="zh-TW"/>
              </w:rPr>
              <w:t>形式將款項匯入本公司指定之銀行帳戶：</w:t>
            </w:r>
          </w:p>
          <w:p w:rsidR="00DA1FEA" w:rsidRPr="005F594B" w:rsidRDefault="00BC3B26" w:rsidP="00DA1FE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before="75" w:after="75" w:line="280" w:lineRule="atLeast"/>
              <w:ind w:left="432" w:hangingChars="180" w:hanging="432"/>
              <w:jc w:val="both"/>
              <w:rPr>
                <w:rFonts w:ascii="標楷體" w:eastAsia="標楷體" w:hAnsi="標楷體" w:cs="標楷體"/>
                <w:sz w:val="20"/>
                <w:szCs w:val="20"/>
                <w:lang w:val="zh-TW"/>
              </w:rPr>
            </w:pPr>
            <w:r w:rsidRPr="00BC3B26">
              <w:rPr>
                <w:rFonts w:ascii="標楷體" w:eastAsia="標楷體" w:hAnsi="標楷體" w:cs="標楷體" w:hint="eastAsia"/>
                <w:lang w:val="zh-TW"/>
              </w:rPr>
              <w:t>一、借</w:t>
            </w:r>
            <w:proofErr w:type="gramStart"/>
            <w:r w:rsidRPr="00BC3B26">
              <w:rPr>
                <w:rFonts w:ascii="標楷體" w:eastAsia="標楷體" w:hAnsi="標楷體" w:cs="標楷體" w:hint="eastAsia"/>
                <w:lang w:val="zh-TW"/>
              </w:rPr>
              <w:t>券</w:t>
            </w:r>
            <w:proofErr w:type="gramEnd"/>
            <w:r w:rsidRPr="00BC3B26">
              <w:rPr>
                <w:rFonts w:ascii="標楷體" w:eastAsia="標楷體" w:hAnsi="標楷體" w:cs="標楷體" w:hint="eastAsia"/>
                <w:lang w:val="zh-TW"/>
              </w:rPr>
              <w:t>人依第三十三條之一第一項規定提</w:t>
            </w:r>
            <w:r w:rsidRPr="00BC3B26">
              <w:rPr>
                <w:rFonts w:ascii="標楷體" w:eastAsia="標楷體" w:hAnsi="標楷體" w:cs="標楷體" w:hint="eastAsia"/>
                <w:lang w:val="zh-TW"/>
              </w:rPr>
              <w:lastRenderedPageBreak/>
              <w:t>交或補繳現金擔保品。</w:t>
            </w:r>
          </w:p>
          <w:p w:rsidR="00F91955" w:rsidRPr="005F594B" w:rsidRDefault="00BC3B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before="75" w:after="75" w:line="280" w:lineRule="atLeast"/>
              <w:ind w:left="432" w:hangingChars="180" w:hanging="432"/>
              <w:jc w:val="both"/>
              <w:rPr>
                <w:rFonts w:ascii="標楷體" w:eastAsia="標楷體" w:hAnsi="標楷體" w:cs="標楷體"/>
                <w:lang w:val="zh-TW"/>
              </w:rPr>
            </w:pPr>
            <w:r w:rsidRPr="00BC3B26">
              <w:rPr>
                <w:rFonts w:ascii="標楷體" w:eastAsia="標楷體" w:hAnsi="標楷體" w:cs="標楷體" w:hint="eastAsia"/>
                <w:lang w:val="zh-TW"/>
              </w:rPr>
              <w:t>二、證券商代借貸交易人轉交依第三十一條第四、五項所計算之現金權益補償金額、新股認購價款及借</w:t>
            </w:r>
            <w:proofErr w:type="gramStart"/>
            <w:r w:rsidRPr="00BC3B26">
              <w:rPr>
                <w:rFonts w:ascii="標楷體" w:eastAsia="標楷體" w:hAnsi="標楷體" w:cs="標楷體" w:hint="eastAsia"/>
                <w:lang w:val="zh-TW"/>
              </w:rPr>
              <w:t>券</w:t>
            </w:r>
            <w:proofErr w:type="gramEnd"/>
            <w:r w:rsidRPr="00BC3B26">
              <w:rPr>
                <w:rFonts w:ascii="標楷體" w:eastAsia="標楷體" w:hAnsi="標楷體" w:cs="標楷體" w:hint="eastAsia"/>
                <w:lang w:val="zh-TW"/>
              </w:rPr>
              <w:t>相關費用。</w:t>
            </w:r>
          </w:p>
          <w:p w:rsidR="00DA1FEA" w:rsidRPr="005F594B" w:rsidRDefault="00DA1FEA">
            <w:pPr>
              <w:kinsoku w:val="0"/>
              <w:overflowPunct w:val="0"/>
              <w:spacing w:line="380" w:lineRule="exact"/>
              <w:ind w:firstLineChars="200" w:firstLine="400"/>
              <w:jc w:val="both"/>
              <w:rPr>
                <w:rFonts w:ascii="標楷體" w:eastAsia="標楷體" w:hAnsi="標楷體" w:cs="標楷體"/>
                <w:sz w:val="20"/>
                <w:szCs w:val="20"/>
                <w:lang w:val="zh-TW"/>
              </w:rPr>
            </w:pPr>
          </w:p>
        </w:tc>
        <w:tc>
          <w:tcPr>
            <w:tcW w:w="2787" w:type="dxa"/>
          </w:tcPr>
          <w:p w:rsidR="00E54E2E" w:rsidRPr="005F594B" w:rsidRDefault="00E54E2E">
            <w:pPr>
              <w:autoSpaceDE w:val="0"/>
              <w:autoSpaceDN w:val="0"/>
              <w:jc w:val="both"/>
              <w:rPr>
                <w:rFonts w:ascii="標楷體" w:eastAsia="標楷體" w:hAnsi="標楷體" w:cs="標楷體"/>
                <w:sz w:val="20"/>
                <w:szCs w:val="20"/>
                <w:lang w:val="zh-TW"/>
              </w:rPr>
            </w:pPr>
          </w:p>
        </w:tc>
        <w:tc>
          <w:tcPr>
            <w:tcW w:w="2788" w:type="dxa"/>
          </w:tcPr>
          <w:p w:rsidR="00DA1FEA" w:rsidRPr="00DA52C9" w:rsidRDefault="00921C15">
            <w:pPr>
              <w:jc w:val="both"/>
              <w:rPr>
                <w:rFonts w:ascii="標楷體" w:eastAsia="標楷體" w:hAnsi="標楷體"/>
                <w:color w:val="000000" w:themeColor="text1"/>
              </w:rPr>
            </w:pPr>
            <w:r w:rsidRPr="00DA52C9">
              <w:rPr>
                <w:rFonts w:ascii="標楷體" w:eastAsia="標楷體" w:hAnsi="標楷體" w:hint="eastAsia"/>
                <w:color w:val="000000" w:themeColor="text1"/>
              </w:rPr>
              <w:t>一、</w:t>
            </w:r>
            <w:r w:rsidR="00CB567E" w:rsidRPr="00DA52C9">
              <w:rPr>
                <w:rFonts w:ascii="標楷體" w:eastAsia="標楷體" w:hAnsi="標楷體" w:hint="eastAsia"/>
                <w:color w:val="000000" w:themeColor="text1"/>
                <w:u w:val="single"/>
              </w:rPr>
              <w:t>本條新增</w:t>
            </w:r>
            <w:r w:rsidRPr="00DA52C9">
              <w:rPr>
                <w:rFonts w:ascii="標楷體" w:eastAsia="標楷體" w:hAnsi="標楷體" w:hint="eastAsia"/>
                <w:color w:val="000000" w:themeColor="text1"/>
              </w:rPr>
              <w:t>。</w:t>
            </w:r>
          </w:p>
          <w:p w:rsidR="000D12E8" w:rsidRDefault="00921C15">
            <w:pPr>
              <w:ind w:left="377" w:hangingChars="157" w:hanging="377"/>
              <w:jc w:val="both"/>
              <w:rPr>
                <w:rFonts w:ascii="標楷體" w:eastAsia="標楷體"/>
                <w:color w:val="000000" w:themeColor="text1"/>
                <w:sz w:val="20"/>
                <w:szCs w:val="20"/>
              </w:rPr>
            </w:pPr>
            <w:r w:rsidRPr="00DA52C9">
              <w:rPr>
                <w:rFonts w:ascii="標楷體" w:eastAsia="標楷體" w:hint="eastAsia"/>
                <w:color w:val="000000" w:themeColor="text1"/>
              </w:rPr>
              <w:t>二、</w:t>
            </w:r>
            <w:r w:rsidR="00CD61BC" w:rsidRPr="00DA52C9">
              <w:rPr>
                <w:rFonts w:ascii="標楷體" w:eastAsia="標楷體" w:hint="eastAsia"/>
                <w:color w:val="000000" w:themeColor="text1"/>
              </w:rPr>
              <w:t>為整</w:t>
            </w:r>
            <w:proofErr w:type="gramStart"/>
            <w:r w:rsidR="00CD61BC" w:rsidRPr="00DA52C9">
              <w:rPr>
                <w:rFonts w:ascii="標楷體" w:eastAsia="標楷體" w:hint="eastAsia"/>
                <w:color w:val="000000" w:themeColor="text1"/>
              </w:rPr>
              <w:t>併</w:t>
            </w:r>
            <w:proofErr w:type="gramEnd"/>
            <w:r w:rsidR="00CD61BC" w:rsidRPr="00DA52C9">
              <w:rPr>
                <w:rFonts w:ascii="標楷體" w:eastAsia="標楷體" w:hint="eastAsia"/>
                <w:color w:val="000000" w:themeColor="text1"/>
              </w:rPr>
              <w:t>規</w:t>
            </w:r>
            <w:r w:rsidR="00E613B5">
              <w:rPr>
                <w:rFonts w:ascii="標楷體" w:eastAsia="標楷體" w:hint="eastAsia"/>
                <w:color w:val="000000" w:themeColor="text1"/>
              </w:rPr>
              <w:t>章</w:t>
            </w:r>
            <w:r w:rsidRPr="00DA52C9">
              <w:rPr>
                <w:rFonts w:ascii="標楷體" w:eastAsia="標楷體" w:hint="eastAsia"/>
                <w:color w:val="000000" w:themeColor="text1"/>
              </w:rPr>
              <w:t>，增訂納入</w:t>
            </w:r>
            <w:r w:rsidR="00DD6613">
              <w:rPr>
                <w:rFonts w:ascii="標楷體" w:eastAsia="標楷體" w:hint="eastAsia"/>
                <w:color w:val="000000" w:themeColor="text1"/>
              </w:rPr>
              <w:t>92年6月16日</w:t>
            </w:r>
            <w:proofErr w:type="gramStart"/>
            <w:r w:rsidRPr="00DA52C9">
              <w:rPr>
                <w:rFonts w:ascii="標楷體" w:eastAsia="標楷體" w:hint="eastAsia"/>
                <w:color w:val="000000" w:themeColor="text1"/>
              </w:rPr>
              <w:t>臺證結</w:t>
            </w:r>
            <w:proofErr w:type="gramEnd"/>
            <w:r w:rsidRPr="00DA52C9">
              <w:rPr>
                <w:rFonts w:ascii="標楷體" w:eastAsia="標楷體" w:hint="eastAsia"/>
                <w:color w:val="000000" w:themeColor="text1"/>
              </w:rPr>
              <w:t>字第</w:t>
            </w:r>
            <w:r w:rsidRPr="00DA52C9">
              <w:rPr>
                <w:rFonts w:ascii="標楷體" w:eastAsia="標楷體"/>
                <w:color w:val="000000" w:themeColor="text1"/>
              </w:rPr>
              <w:t>0920450211</w:t>
            </w:r>
            <w:r w:rsidRPr="00DA52C9">
              <w:rPr>
                <w:rFonts w:ascii="標楷體" w:eastAsia="標楷體" w:hint="eastAsia"/>
                <w:color w:val="000000" w:themeColor="text1"/>
              </w:rPr>
              <w:t>號函及</w:t>
            </w:r>
            <w:r w:rsidR="00996153">
              <w:rPr>
                <w:rFonts w:ascii="標楷體" w:eastAsia="標楷體" w:hint="eastAsia"/>
                <w:color w:val="000000" w:themeColor="text1"/>
              </w:rPr>
              <w:t>104年3月17日</w:t>
            </w:r>
            <w:proofErr w:type="gramStart"/>
            <w:r w:rsidRPr="00DA52C9">
              <w:rPr>
                <w:rFonts w:ascii="標楷體" w:eastAsia="標楷體" w:hint="eastAsia"/>
                <w:color w:val="000000" w:themeColor="text1"/>
              </w:rPr>
              <w:t>臺證交字第1040201420號</w:t>
            </w:r>
            <w:proofErr w:type="gramEnd"/>
            <w:r w:rsidRPr="00DA52C9">
              <w:rPr>
                <w:rFonts w:ascii="標楷體" w:eastAsia="標楷體" w:hint="eastAsia"/>
                <w:color w:val="000000" w:themeColor="text1"/>
              </w:rPr>
              <w:t>函有關</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虛擬帳號匯款之作業規定，並就作業細節部分，</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行附表之規範架構。</w:t>
            </w:r>
          </w:p>
        </w:tc>
      </w:tr>
      <w:tr w:rsidR="00921C15" w:rsidRPr="00DA52C9" w:rsidTr="00CA3C91">
        <w:tc>
          <w:tcPr>
            <w:tcW w:w="2788" w:type="dxa"/>
          </w:tcPr>
          <w:p w:rsidR="002B60C0" w:rsidRPr="00DA52C9" w:rsidRDefault="00921C15" w:rsidP="00D011B8">
            <w:pPr>
              <w:kinsoku w:val="0"/>
              <w:ind w:left="228" w:hangingChars="95" w:hanging="228"/>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lastRenderedPageBreak/>
              <w:t>第三十三條</w:t>
            </w:r>
          </w:p>
          <w:p w:rsidR="00DA1FEA" w:rsidRPr="00DA52C9" w:rsidRDefault="00921C15">
            <w:pPr>
              <w:kinsoku w:val="0"/>
              <w:ind w:firstLineChars="236" w:firstLine="566"/>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借</w:t>
            </w:r>
            <w:proofErr w:type="gramStart"/>
            <w:r w:rsidRPr="00DA52C9">
              <w:rPr>
                <w:rFonts w:ascii="標楷體" w:eastAsia="標楷體" w:hAnsi="標楷體" w:cs="標楷體" w:hint="eastAsia"/>
                <w:color w:val="000000" w:themeColor="text1"/>
                <w:lang w:val="zh-TW"/>
              </w:rPr>
              <w:t>券</w:t>
            </w:r>
            <w:proofErr w:type="gramEnd"/>
            <w:r w:rsidRPr="00DA52C9">
              <w:rPr>
                <w:rFonts w:ascii="標楷體" w:eastAsia="標楷體" w:hAnsi="標楷體" w:cs="標楷體" w:hint="eastAsia"/>
                <w:color w:val="000000" w:themeColor="text1"/>
                <w:lang w:val="zh-TW"/>
              </w:rPr>
              <w:t>人委託證券商為定價、競價交易之借</w:t>
            </w:r>
            <w:proofErr w:type="gramStart"/>
            <w:r w:rsidRPr="00DA52C9">
              <w:rPr>
                <w:rFonts w:ascii="標楷體" w:eastAsia="標楷體" w:hAnsi="標楷體" w:cs="標楷體" w:hint="eastAsia"/>
                <w:color w:val="000000" w:themeColor="text1"/>
                <w:lang w:val="zh-TW"/>
              </w:rPr>
              <w:t>券</w:t>
            </w:r>
            <w:proofErr w:type="gramEnd"/>
            <w:r w:rsidRPr="00DA52C9">
              <w:rPr>
                <w:rFonts w:ascii="標楷體" w:eastAsia="標楷體" w:hAnsi="標楷體" w:cs="標楷體" w:hint="eastAsia"/>
                <w:color w:val="000000" w:themeColor="text1"/>
                <w:lang w:val="zh-TW"/>
              </w:rPr>
              <w:t>申報時，應依規定提供足額適格擔保品，其種類以下列為限：</w:t>
            </w:r>
          </w:p>
          <w:p w:rsidR="00DA1FEA" w:rsidRPr="00DA52C9" w:rsidRDefault="00921C15">
            <w:pPr>
              <w:kinsoku w:val="0"/>
              <w:ind w:left="425" w:hangingChars="177" w:hanging="425"/>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一、現金：以新</w:t>
            </w:r>
            <w:r w:rsidR="00BC3B26" w:rsidRPr="00BC3B26">
              <w:rPr>
                <w:rFonts w:ascii="標楷體" w:eastAsia="標楷體" w:hAnsi="標楷體" w:cs="標楷體" w:hint="eastAsia"/>
                <w:u w:val="single"/>
                <w:lang w:val="zh-TW"/>
              </w:rPr>
              <w:t>臺</w:t>
            </w:r>
            <w:r w:rsidRPr="00DA52C9">
              <w:rPr>
                <w:rFonts w:ascii="標楷體" w:eastAsia="標楷體" w:hAnsi="標楷體" w:cs="標楷體" w:hint="eastAsia"/>
                <w:color w:val="000000" w:themeColor="text1"/>
                <w:lang w:val="zh-TW"/>
              </w:rPr>
              <w:t>幣為限。但特定境外外國機構投資人及證券商、證券金融事業之證券借貸專戶得以外幣為擔保品</w:t>
            </w:r>
            <w:r w:rsidR="00BC3B26" w:rsidRPr="00BC3B26">
              <w:rPr>
                <w:rFonts w:ascii="標楷體" w:eastAsia="標楷體" w:hAnsi="標楷體" w:cs="標楷體" w:hint="eastAsia"/>
                <w:u w:val="single"/>
                <w:lang w:val="zh-TW"/>
              </w:rPr>
              <w:t>；外幣種類</w:t>
            </w:r>
            <w:r w:rsidRPr="00DA52C9">
              <w:rPr>
                <w:rFonts w:ascii="標楷體" w:eastAsia="標楷體" w:hAnsi="標楷體" w:cs="標楷體" w:hint="eastAsia"/>
                <w:color w:val="000000" w:themeColor="text1"/>
                <w:lang w:val="zh-TW"/>
              </w:rPr>
              <w:t>以美元、歐元、日幣、</w:t>
            </w:r>
            <w:proofErr w:type="gramStart"/>
            <w:r w:rsidRPr="00DA52C9">
              <w:rPr>
                <w:rFonts w:ascii="標楷體" w:eastAsia="標楷體" w:hAnsi="標楷體" w:cs="標楷體" w:hint="eastAsia"/>
                <w:color w:val="000000" w:themeColor="text1"/>
                <w:lang w:val="zh-TW"/>
              </w:rPr>
              <w:t>英鎊、</w:t>
            </w:r>
            <w:proofErr w:type="gramEnd"/>
            <w:r w:rsidRPr="00DA52C9">
              <w:rPr>
                <w:rFonts w:ascii="標楷體" w:eastAsia="標楷體" w:hAnsi="標楷體" w:cs="標楷體" w:hint="eastAsia"/>
                <w:color w:val="000000" w:themeColor="text1"/>
                <w:lang w:val="zh-TW"/>
              </w:rPr>
              <w:t>澳幣及港幣為限。</w:t>
            </w:r>
          </w:p>
          <w:p w:rsidR="00DA1FEA" w:rsidRPr="00DA52C9" w:rsidRDefault="00921C15">
            <w:pPr>
              <w:kinsoku w:val="0"/>
              <w:ind w:left="425" w:hangingChars="177" w:hanging="425"/>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二、擔保證券：</w:t>
            </w:r>
            <w:r w:rsidR="00BC3B26" w:rsidRPr="00BC3B26">
              <w:rPr>
                <w:rFonts w:ascii="標楷體" w:eastAsia="標楷體" w:hAnsi="標楷體" w:cs="標楷體" w:hint="eastAsia"/>
                <w:u w:val="single"/>
                <w:lang w:val="zh-TW"/>
              </w:rPr>
              <w:t>以</w:t>
            </w:r>
            <w:r w:rsidRPr="00DA52C9">
              <w:rPr>
                <w:rFonts w:ascii="標楷體" w:eastAsia="標楷體" w:hAnsi="標楷體" w:cs="標楷體" w:hint="eastAsia"/>
                <w:color w:val="000000" w:themeColor="text1"/>
                <w:lang w:val="zh-TW"/>
              </w:rPr>
              <w:t>得為融資融券交易之有價證券</w:t>
            </w:r>
            <w:r w:rsidR="00BC3B26" w:rsidRPr="00BC3B26">
              <w:rPr>
                <w:rFonts w:ascii="標楷體" w:eastAsia="標楷體" w:hAnsi="標楷體" w:cs="標楷體" w:hint="eastAsia"/>
                <w:u w:val="single"/>
                <w:lang w:val="zh-TW"/>
              </w:rPr>
              <w:t>為限</w:t>
            </w:r>
            <w:r w:rsidRPr="00DA52C9">
              <w:rPr>
                <w:rFonts w:ascii="標楷體" w:eastAsia="標楷體" w:hAnsi="標楷體" w:cs="標楷體" w:hint="eastAsia"/>
                <w:color w:val="000000" w:themeColor="text1"/>
                <w:lang w:val="zh-TW"/>
              </w:rPr>
              <w:t>。</w:t>
            </w:r>
          </w:p>
          <w:p w:rsidR="00DA1FEA" w:rsidRPr="00DA52C9" w:rsidRDefault="00921C15">
            <w:pPr>
              <w:kinsoku w:val="0"/>
              <w:ind w:left="425" w:hangingChars="177" w:hanging="425"/>
              <w:jc w:val="both"/>
              <w:rPr>
                <w:rFonts w:ascii="標楷體" w:eastAsia="標楷體" w:hAnsi="標楷體" w:cs="標楷體"/>
                <w:color w:val="000000" w:themeColor="text1"/>
                <w:sz w:val="20"/>
                <w:szCs w:val="20"/>
                <w:u w:val="single"/>
                <w:lang w:val="zh-TW"/>
              </w:rPr>
            </w:pPr>
            <w:r w:rsidRPr="00DA52C9">
              <w:rPr>
                <w:rFonts w:ascii="標楷體" w:eastAsia="標楷體" w:hAnsi="標楷體" w:cs="標楷體" w:hint="eastAsia"/>
                <w:color w:val="000000" w:themeColor="text1"/>
                <w:lang w:val="zh-TW"/>
              </w:rPr>
              <w:t>三、銀行保證</w:t>
            </w:r>
            <w:r w:rsidR="00BC3B26" w:rsidRPr="00BC3B26">
              <w:rPr>
                <w:rFonts w:ascii="標楷體" w:eastAsia="標楷體" w:hAnsi="標楷體" w:cs="標楷體" w:hint="eastAsia"/>
                <w:u w:val="single"/>
                <w:lang w:val="zh-TW"/>
              </w:rPr>
              <w:t>：以本公司認可之本國銀行或外國銀行在</w:t>
            </w:r>
            <w:proofErr w:type="gramStart"/>
            <w:r w:rsidR="00BC3B26" w:rsidRPr="00BC3B26">
              <w:rPr>
                <w:rFonts w:ascii="標楷體" w:eastAsia="標楷體" w:hAnsi="標楷體" w:cs="標楷體" w:hint="eastAsia"/>
                <w:u w:val="single"/>
                <w:lang w:val="zh-TW"/>
              </w:rPr>
              <w:t>臺</w:t>
            </w:r>
            <w:proofErr w:type="gramEnd"/>
            <w:r w:rsidR="00BC3B26" w:rsidRPr="00BC3B26">
              <w:rPr>
                <w:rFonts w:ascii="標楷體" w:eastAsia="標楷體" w:hAnsi="標楷體" w:cs="標楷體" w:hint="eastAsia"/>
                <w:u w:val="single"/>
                <w:lang w:val="zh-TW"/>
              </w:rPr>
              <w:t>分行所</w:t>
            </w:r>
            <w:proofErr w:type="gramStart"/>
            <w:r w:rsidR="00BC3B26" w:rsidRPr="00BC3B26">
              <w:rPr>
                <w:rFonts w:ascii="標楷體" w:eastAsia="標楷體" w:hAnsi="標楷體" w:cs="標楷體" w:hint="eastAsia"/>
                <w:u w:val="single"/>
                <w:lang w:val="zh-TW"/>
              </w:rPr>
              <w:t>開立者為限</w:t>
            </w:r>
            <w:proofErr w:type="gramEnd"/>
            <w:r w:rsidRPr="00DA52C9">
              <w:rPr>
                <w:rFonts w:ascii="標楷體" w:eastAsia="標楷體" w:hAnsi="標楷體" w:cs="標楷體" w:hint="eastAsia"/>
                <w:color w:val="000000" w:themeColor="text1"/>
                <w:lang w:val="zh-TW"/>
              </w:rPr>
              <w:t>。</w:t>
            </w:r>
          </w:p>
          <w:p w:rsidR="00DA1FEA" w:rsidRPr="00DA52C9" w:rsidRDefault="00921C15">
            <w:pPr>
              <w:kinsoku w:val="0"/>
              <w:ind w:left="425" w:hangingChars="177" w:hanging="425"/>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四、中央登錄公債。</w:t>
            </w:r>
          </w:p>
          <w:p w:rsidR="00DA1FEA" w:rsidRPr="00DA52C9" w:rsidRDefault="00921C15">
            <w:pPr>
              <w:kinsoku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(以下略)</w:t>
            </w:r>
          </w:p>
          <w:p w:rsidR="00DA1FEA" w:rsidRPr="00DA52C9" w:rsidRDefault="00DA1FEA">
            <w:pPr>
              <w:kinsoku w:val="0"/>
              <w:jc w:val="both"/>
              <w:rPr>
                <w:rFonts w:ascii="標楷體" w:eastAsia="標楷體" w:hAnsi="標楷體" w:cs="標楷體"/>
                <w:color w:val="000000" w:themeColor="text1"/>
                <w:lang w:val="zh-TW"/>
              </w:rPr>
            </w:pPr>
          </w:p>
        </w:tc>
        <w:tc>
          <w:tcPr>
            <w:tcW w:w="2787" w:type="dxa"/>
          </w:tcPr>
          <w:p w:rsidR="00DA1FEA" w:rsidRPr="00DA52C9" w:rsidRDefault="00921C15">
            <w:pPr>
              <w:kinsoku w:val="0"/>
              <w:ind w:left="228" w:hangingChars="95" w:hanging="228"/>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第三十三條</w:t>
            </w:r>
          </w:p>
          <w:p w:rsidR="00DA1FEA" w:rsidRPr="00DA52C9" w:rsidRDefault="00921C15" w:rsidP="00D063B7">
            <w:pPr>
              <w:kinsoku w:val="0"/>
              <w:ind w:firstLineChars="200" w:firstLine="48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借</w:t>
            </w:r>
            <w:proofErr w:type="gramStart"/>
            <w:r w:rsidRPr="00DA52C9">
              <w:rPr>
                <w:rFonts w:ascii="標楷體" w:eastAsia="標楷體" w:hAnsi="標楷體" w:cs="標楷體" w:hint="eastAsia"/>
                <w:color w:val="000000" w:themeColor="text1"/>
                <w:lang w:val="zh-TW"/>
              </w:rPr>
              <w:t>券</w:t>
            </w:r>
            <w:proofErr w:type="gramEnd"/>
            <w:r w:rsidRPr="00DA52C9">
              <w:rPr>
                <w:rFonts w:ascii="標楷體" w:eastAsia="標楷體" w:hAnsi="標楷體" w:cs="標楷體" w:hint="eastAsia"/>
                <w:color w:val="000000" w:themeColor="text1"/>
                <w:lang w:val="zh-TW"/>
              </w:rPr>
              <w:t>人委託證券商為定價、競價交易之借</w:t>
            </w:r>
            <w:proofErr w:type="gramStart"/>
            <w:r w:rsidRPr="00DA52C9">
              <w:rPr>
                <w:rFonts w:ascii="標楷體" w:eastAsia="標楷體" w:hAnsi="標楷體" w:cs="標楷體" w:hint="eastAsia"/>
                <w:color w:val="000000" w:themeColor="text1"/>
                <w:lang w:val="zh-TW"/>
              </w:rPr>
              <w:t>券</w:t>
            </w:r>
            <w:proofErr w:type="gramEnd"/>
            <w:r w:rsidRPr="00DA52C9">
              <w:rPr>
                <w:rFonts w:ascii="標楷體" w:eastAsia="標楷體" w:hAnsi="標楷體" w:cs="標楷體" w:hint="eastAsia"/>
                <w:color w:val="000000" w:themeColor="text1"/>
                <w:lang w:val="zh-TW"/>
              </w:rPr>
              <w:t>申報時，應依規定提供足額適格擔保品，其種類以下列為限：</w:t>
            </w:r>
          </w:p>
          <w:p w:rsidR="00DA1FEA" w:rsidRPr="00DA52C9" w:rsidRDefault="00921C15" w:rsidP="00DA1FEA">
            <w:pPr>
              <w:kinsoku w:val="0"/>
              <w:ind w:left="473" w:hangingChars="197" w:hanging="473"/>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一、現金：以新台幣為限。但特定境外外國機構投資人及證券商、證券金融事業之證券借貸專戶得以外幣為擔保品，惟以美元、歐元、日幣、</w:t>
            </w:r>
            <w:proofErr w:type="gramStart"/>
            <w:r w:rsidRPr="00DA52C9">
              <w:rPr>
                <w:rFonts w:ascii="標楷體" w:eastAsia="標楷體" w:hAnsi="標楷體" w:cs="標楷體" w:hint="eastAsia"/>
                <w:color w:val="000000" w:themeColor="text1"/>
                <w:lang w:val="zh-TW"/>
              </w:rPr>
              <w:t>英鎊、</w:t>
            </w:r>
            <w:proofErr w:type="gramEnd"/>
            <w:r w:rsidRPr="00DA52C9">
              <w:rPr>
                <w:rFonts w:ascii="標楷體" w:eastAsia="標楷體" w:hAnsi="標楷體" w:cs="標楷體" w:hint="eastAsia"/>
                <w:color w:val="000000" w:themeColor="text1"/>
                <w:lang w:val="zh-TW"/>
              </w:rPr>
              <w:t>澳幣及港幣</w:t>
            </w:r>
            <w:r w:rsidR="00CE2ED6" w:rsidRPr="00CE2ED6">
              <w:rPr>
                <w:rFonts w:ascii="標楷體" w:eastAsia="標楷體" w:hAnsi="標楷體" w:cs="標楷體" w:hint="eastAsia"/>
                <w:color w:val="000000" w:themeColor="text1"/>
                <w:u w:val="single"/>
                <w:lang w:val="zh-TW"/>
              </w:rPr>
              <w:t>等六種外幣</w:t>
            </w:r>
            <w:r w:rsidRPr="00DA52C9">
              <w:rPr>
                <w:rFonts w:ascii="標楷體" w:eastAsia="標楷體" w:hAnsi="標楷體" w:cs="標楷體" w:hint="eastAsia"/>
                <w:color w:val="000000" w:themeColor="text1"/>
                <w:lang w:val="zh-TW"/>
              </w:rPr>
              <w:t>為限。</w:t>
            </w:r>
          </w:p>
          <w:p w:rsidR="00DA1FEA" w:rsidRPr="00DA52C9" w:rsidRDefault="00921C15" w:rsidP="00DA1FEA">
            <w:pPr>
              <w:kinsoku w:val="0"/>
              <w:ind w:left="473" w:hangingChars="197" w:hanging="473"/>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二、擔保證券：限得為融資融券交易之有價證券。</w:t>
            </w:r>
          </w:p>
          <w:p w:rsidR="002B60C0" w:rsidRPr="00DA52C9" w:rsidRDefault="00921C15" w:rsidP="00D011B8">
            <w:pPr>
              <w:kinsoku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三、銀行保證。</w:t>
            </w:r>
          </w:p>
          <w:p w:rsidR="00DA1FEA" w:rsidRPr="00DA52C9" w:rsidRDefault="00921C15">
            <w:pPr>
              <w:kinsoku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四、中央登錄公債。</w:t>
            </w:r>
          </w:p>
          <w:p w:rsidR="00DA1FEA" w:rsidRPr="00DA52C9" w:rsidRDefault="00921C15">
            <w:pPr>
              <w:kinsoku w:val="0"/>
              <w:jc w:val="both"/>
              <w:rPr>
                <w:rFonts w:ascii="標楷體" w:eastAsia="標楷體" w:hAnsi="標楷體" w:cs="標楷體"/>
                <w:color w:val="000000" w:themeColor="text1"/>
                <w:sz w:val="20"/>
                <w:szCs w:val="20"/>
                <w:lang w:val="zh-TW"/>
              </w:rPr>
            </w:pPr>
            <w:r w:rsidRPr="00DA52C9">
              <w:rPr>
                <w:rFonts w:ascii="標楷體" w:eastAsia="標楷體" w:hAnsi="標楷體" w:cs="標楷體" w:hint="eastAsia"/>
                <w:color w:val="000000" w:themeColor="text1"/>
                <w:lang w:val="zh-TW"/>
              </w:rPr>
              <w:t>(以下略)</w:t>
            </w:r>
          </w:p>
          <w:p w:rsidR="00DA1FEA" w:rsidRPr="00DA52C9" w:rsidRDefault="00DA1FEA">
            <w:pPr>
              <w:kinsoku w:val="0"/>
              <w:jc w:val="both"/>
              <w:rPr>
                <w:rFonts w:ascii="標楷體" w:eastAsia="標楷體" w:hAnsi="標楷體" w:cs="標楷體"/>
                <w:color w:val="000000" w:themeColor="text1"/>
                <w:lang w:val="zh-TW"/>
              </w:rPr>
            </w:pPr>
          </w:p>
          <w:p w:rsidR="00DA1FEA" w:rsidRPr="00DA52C9" w:rsidRDefault="00DA1FEA">
            <w:pPr>
              <w:kinsoku w:val="0"/>
              <w:jc w:val="both"/>
              <w:rPr>
                <w:rFonts w:ascii="標楷體" w:eastAsia="標楷體" w:hAnsi="標楷體" w:cs="標楷體"/>
                <w:color w:val="000000" w:themeColor="text1"/>
                <w:lang w:val="zh-TW"/>
              </w:rPr>
            </w:pPr>
          </w:p>
          <w:p w:rsidR="00DA1FEA" w:rsidRPr="00DA52C9" w:rsidRDefault="00DA1FEA">
            <w:pPr>
              <w:kinsoku w:val="0"/>
              <w:jc w:val="both"/>
              <w:rPr>
                <w:rFonts w:ascii="標楷體" w:eastAsia="標楷體" w:hAnsi="標楷體" w:cs="標楷體"/>
                <w:color w:val="000000" w:themeColor="text1"/>
                <w:lang w:val="zh-TW"/>
              </w:rPr>
            </w:pPr>
          </w:p>
          <w:p w:rsidR="00DA1FEA" w:rsidRPr="00DA52C9" w:rsidRDefault="00DA1FEA">
            <w:pPr>
              <w:kinsoku w:val="0"/>
              <w:jc w:val="both"/>
              <w:rPr>
                <w:rFonts w:ascii="標楷體" w:eastAsia="標楷體" w:hAnsi="標楷體" w:cs="標楷體"/>
                <w:color w:val="000000" w:themeColor="text1"/>
                <w:lang w:val="zh-TW"/>
              </w:rPr>
            </w:pPr>
          </w:p>
        </w:tc>
        <w:tc>
          <w:tcPr>
            <w:tcW w:w="2788" w:type="dxa"/>
          </w:tcPr>
          <w:p w:rsidR="00DA1FEA" w:rsidRPr="00DA52C9" w:rsidRDefault="00CD61BC">
            <w:pPr>
              <w:jc w:val="both"/>
              <w:rPr>
                <w:rFonts w:ascii="標楷體" w:eastAsia="標楷體" w:hAnsi="標楷體"/>
                <w:color w:val="000000" w:themeColor="text1"/>
                <w:sz w:val="20"/>
                <w:szCs w:val="20"/>
              </w:rPr>
            </w:pPr>
            <w:r w:rsidRPr="00DA52C9">
              <w:rPr>
                <w:rFonts w:ascii="標楷體" w:eastAsia="標楷體" w:hint="eastAsia"/>
                <w:color w:val="000000" w:themeColor="text1"/>
              </w:rPr>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w:t>
            </w:r>
            <w:r w:rsidR="00A704F7" w:rsidRPr="00DA52C9">
              <w:rPr>
                <w:rFonts w:ascii="標楷體" w:eastAsia="標楷體" w:hint="eastAsia"/>
                <w:color w:val="000000" w:themeColor="text1"/>
              </w:rPr>
              <w:t>章</w:t>
            </w:r>
            <w:r w:rsidR="00921C15" w:rsidRPr="00DA52C9">
              <w:rPr>
                <w:rFonts w:ascii="標楷體" w:eastAsia="標楷體" w:hAnsi="標楷體" w:hint="eastAsia"/>
                <w:color w:val="000000" w:themeColor="text1"/>
              </w:rPr>
              <w:t>，第一項第三款修正納入</w:t>
            </w:r>
            <w:r w:rsidR="00996153">
              <w:rPr>
                <w:rFonts w:ascii="標楷體" w:eastAsia="標楷體" w:hAnsi="標楷體" w:hint="eastAsia"/>
                <w:color w:val="000000" w:themeColor="text1"/>
              </w:rPr>
              <w:t>95年12月4日</w:t>
            </w:r>
            <w:proofErr w:type="gramStart"/>
            <w:r w:rsidR="00921C15" w:rsidRPr="00DA52C9">
              <w:rPr>
                <w:rFonts w:ascii="標楷體" w:eastAsia="標楷體" w:hAnsi="標楷體" w:hint="eastAsia"/>
                <w:color w:val="000000" w:themeColor="text1"/>
              </w:rPr>
              <w:t>臺證交字第0950204319號</w:t>
            </w:r>
            <w:proofErr w:type="gramEnd"/>
            <w:r w:rsidR="00921C15" w:rsidRPr="00DA52C9">
              <w:rPr>
                <w:rFonts w:ascii="標楷體" w:eastAsia="標楷體" w:hAnsi="標楷體" w:hint="eastAsia"/>
                <w:color w:val="000000" w:themeColor="text1"/>
              </w:rPr>
              <w:t>函之規定</w:t>
            </w:r>
            <w:r w:rsidR="00706EB6">
              <w:rPr>
                <w:rFonts w:ascii="標楷體" w:eastAsia="標楷體" w:hAnsi="標楷體" w:hint="eastAsia"/>
                <w:color w:val="000000" w:themeColor="text1"/>
              </w:rPr>
              <w:t>，並作文字調整</w:t>
            </w:r>
            <w:r w:rsidR="00921C15" w:rsidRPr="00DA52C9">
              <w:rPr>
                <w:rFonts w:ascii="標楷體" w:eastAsia="標楷體" w:hAnsi="標楷體" w:hint="eastAsia"/>
                <w:color w:val="000000" w:themeColor="text1"/>
              </w:rPr>
              <w:t>。</w:t>
            </w:r>
          </w:p>
        </w:tc>
      </w:tr>
      <w:tr w:rsidR="00921C15" w:rsidRPr="00DA52C9" w:rsidTr="00CA3C91">
        <w:tc>
          <w:tcPr>
            <w:tcW w:w="2788" w:type="dxa"/>
          </w:tcPr>
          <w:p w:rsidR="00921C15" w:rsidRPr="00DA52C9" w:rsidRDefault="00921C15" w:rsidP="00D011B8">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t>第三十三條之</w:t>
            </w:r>
            <w:proofErr w:type="gramStart"/>
            <w:r w:rsidRPr="00DA52C9">
              <w:rPr>
                <w:rFonts w:ascii="標楷體" w:eastAsia="標楷體" w:hint="eastAsia"/>
                <w:color w:val="000000" w:themeColor="text1"/>
              </w:rPr>
              <w:t>一</w:t>
            </w:r>
            <w:proofErr w:type="gramEnd"/>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人委託證券商為定價、競價交易之借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申報時，應提交相當標的證券當日開盤競價基準</w:t>
            </w:r>
            <w:r w:rsidRPr="00DA52C9">
              <w:rPr>
                <w:rFonts w:ascii="標楷體" w:eastAsia="標楷體" w:hint="eastAsia"/>
                <w:color w:val="000000" w:themeColor="text1"/>
              </w:rPr>
              <w:lastRenderedPageBreak/>
              <w:t>或開始交易</w:t>
            </w:r>
            <w:proofErr w:type="gramStart"/>
            <w:r w:rsidRPr="00DA52C9">
              <w:rPr>
                <w:rFonts w:ascii="標楷體" w:eastAsia="標楷體" w:hint="eastAsia"/>
                <w:color w:val="000000" w:themeColor="text1"/>
              </w:rPr>
              <w:t>基準價乘申報</w:t>
            </w:r>
            <w:proofErr w:type="gramEnd"/>
            <w:r w:rsidRPr="00DA52C9">
              <w:rPr>
                <w:rFonts w:ascii="標楷體" w:eastAsia="標楷體" w:hint="eastAsia"/>
                <w:color w:val="000000" w:themeColor="text1"/>
              </w:rPr>
              <w:t>數量，再乘以原始擔保比率（百分之一百四十）之擔保品予本公司。並自借貸交易成交當日起，逐日依當日收盤價計算各筆借</w:t>
            </w:r>
            <w:proofErr w:type="gramStart"/>
            <w:r w:rsidRPr="00DA52C9">
              <w:rPr>
                <w:rFonts w:ascii="標楷體" w:eastAsia="標楷體" w:hint="eastAsia"/>
                <w:color w:val="000000" w:themeColor="text1"/>
              </w:rPr>
              <w:t>券擔保品抵繳</w:t>
            </w:r>
            <w:proofErr w:type="gramEnd"/>
            <w:r w:rsidRPr="00DA52C9">
              <w:rPr>
                <w:rFonts w:ascii="標楷體" w:eastAsia="標楷體" w:hint="eastAsia"/>
                <w:color w:val="000000" w:themeColor="text1"/>
              </w:rPr>
              <w:t>價值總額減相關借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費用後之餘額，與其標的證券價值總額加現金股利總額之比率，如低於擔保維持率（百分之一百二十），借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人接獲證券商轉知之本公司通知後，應於次一</w:t>
            </w:r>
            <w:proofErr w:type="gramStart"/>
            <w:r w:rsidRPr="00DA52C9">
              <w:rPr>
                <w:rFonts w:ascii="標楷體" w:eastAsia="標楷體" w:hint="eastAsia"/>
                <w:color w:val="000000" w:themeColor="text1"/>
              </w:rPr>
              <w:t>營業日補繳</w:t>
            </w:r>
            <w:proofErr w:type="gramEnd"/>
            <w:r w:rsidRPr="00DA52C9">
              <w:rPr>
                <w:rFonts w:ascii="標楷體" w:eastAsia="標楷體" w:hint="eastAsia"/>
                <w:color w:val="000000" w:themeColor="text1"/>
              </w:rPr>
              <w:t>擔保品，使</w:t>
            </w:r>
            <w:proofErr w:type="gramStart"/>
            <w:r w:rsidRPr="00DA52C9">
              <w:rPr>
                <w:rFonts w:ascii="標楷體" w:eastAsia="標楷體" w:hint="eastAsia"/>
                <w:color w:val="000000" w:themeColor="text1"/>
              </w:rPr>
              <w:t>擔保品抵繳</w:t>
            </w:r>
            <w:proofErr w:type="gramEnd"/>
            <w:r w:rsidRPr="00DA52C9">
              <w:rPr>
                <w:rFonts w:ascii="標楷體" w:eastAsia="標楷體" w:hint="eastAsia"/>
                <w:color w:val="000000" w:themeColor="text1"/>
              </w:rPr>
              <w:t>價值回復至原始擔保比率。</w:t>
            </w:r>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前項所稱「</w:t>
            </w:r>
            <w:proofErr w:type="gramStart"/>
            <w:r w:rsidRPr="00DA52C9">
              <w:rPr>
                <w:rFonts w:ascii="標楷體" w:eastAsia="標楷體" w:hint="eastAsia"/>
                <w:color w:val="000000" w:themeColor="text1"/>
              </w:rPr>
              <w:t>擔保品抵繳</w:t>
            </w:r>
            <w:proofErr w:type="gramEnd"/>
            <w:r w:rsidRPr="00DA52C9">
              <w:rPr>
                <w:rFonts w:ascii="標楷體" w:eastAsia="標楷體" w:hint="eastAsia"/>
                <w:color w:val="000000" w:themeColor="text1"/>
              </w:rPr>
              <w:t>價值總額」等於擔保證券當日</w:t>
            </w:r>
            <w:proofErr w:type="gramStart"/>
            <w:r w:rsidRPr="00DA52C9">
              <w:rPr>
                <w:rFonts w:ascii="標楷體" w:eastAsia="標楷體" w:hint="eastAsia"/>
                <w:color w:val="000000" w:themeColor="text1"/>
              </w:rPr>
              <w:t>收盤價乘以</w:t>
            </w:r>
            <w:proofErr w:type="gramEnd"/>
            <w:r w:rsidRPr="00DA52C9">
              <w:rPr>
                <w:rFonts w:ascii="標楷體" w:eastAsia="標楷體" w:hint="eastAsia"/>
                <w:color w:val="000000" w:themeColor="text1"/>
              </w:rPr>
              <w:t>數量及其折價比率、中央登錄公債面額乘以數量及其折價比率、現金擔保總額，及銀行保證總額等項之合計數。</w:t>
            </w:r>
          </w:p>
          <w:p w:rsidR="00DA1FEA" w:rsidRPr="005F594B" w:rsidRDefault="00BC3B26">
            <w:pPr>
              <w:kinsoku w:val="0"/>
              <w:overflowPunct w:val="0"/>
              <w:spacing w:line="380" w:lineRule="exact"/>
              <w:ind w:firstLineChars="200" w:firstLine="480"/>
              <w:jc w:val="both"/>
              <w:rPr>
                <w:rFonts w:ascii="標楷體" w:eastAsia="標楷體"/>
                <w:u w:val="single"/>
              </w:rPr>
            </w:pPr>
            <w:r w:rsidRPr="00BC3B26">
              <w:rPr>
                <w:rFonts w:ascii="標楷體" w:eastAsia="標楷體" w:hint="eastAsia"/>
                <w:u w:val="single"/>
              </w:rPr>
              <w:t>借</w:t>
            </w:r>
            <w:proofErr w:type="gramStart"/>
            <w:r w:rsidRPr="00BC3B26">
              <w:rPr>
                <w:rFonts w:ascii="標楷體" w:eastAsia="標楷體" w:hint="eastAsia"/>
                <w:u w:val="single"/>
              </w:rPr>
              <w:t>券</w:t>
            </w:r>
            <w:proofErr w:type="gramEnd"/>
            <w:r w:rsidRPr="00BC3B26">
              <w:rPr>
                <w:rFonts w:ascii="標楷體" w:eastAsia="標楷體" w:hint="eastAsia"/>
                <w:u w:val="single"/>
              </w:rPr>
              <w:t>人依第一項規定提交或補繳外幣現金擔保品者，以本公司指定銀行前一營業日收盤之買進匯率換算折合新臺幣之抵繳價值。</w:t>
            </w:r>
          </w:p>
          <w:p w:rsidR="00DA1FEA" w:rsidRPr="00117818" w:rsidRDefault="00BC3B26">
            <w:pPr>
              <w:kinsoku w:val="0"/>
              <w:overflowPunct w:val="0"/>
              <w:spacing w:line="380" w:lineRule="exact"/>
              <w:ind w:firstLineChars="200" w:firstLine="480"/>
              <w:jc w:val="both"/>
              <w:rPr>
                <w:rFonts w:ascii="標楷體" w:eastAsia="標楷體"/>
                <w:color w:val="FF0000"/>
                <w:u w:val="single"/>
              </w:rPr>
            </w:pPr>
            <w:r w:rsidRPr="00BC3B26">
              <w:rPr>
                <w:rFonts w:ascii="標楷體" w:eastAsia="標楷體" w:hint="eastAsia"/>
                <w:u w:val="single"/>
              </w:rPr>
              <w:t>第二項「</w:t>
            </w:r>
            <w:proofErr w:type="gramStart"/>
            <w:r w:rsidRPr="00BC3B26">
              <w:rPr>
                <w:rFonts w:ascii="標楷體" w:eastAsia="標楷體" w:hint="eastAsia"/>
                <w:u w:val="single"/>
              </w:rPr>
              <w:t>擔保品抵繳</w:t>
            </w:r>
            <w:proofErr w:type="gramEnd"/>
            <w:r w:rsidRPr="00BC3B26">
              <w:rPr>
                <w:rFonts w:ascii="標楷體" w:eastAsia="標楷體" w:hint="eastAsia"/>
                <w:u w:val="single"/>
              </w:rPr>
              <w:t>價值總額」中有關外幣</w:t>
            </w:r>
            <w:proofErr w:type="gramStart"/>
            <w:r w:rsidRPr="00BC3B26">
              <w:rPr>
                <w:rFonts w:ascii="標楷體" w:eastAsia="標楷體" w:hint="eastAsia"/>
                <w:u w:val="single"/>
              </w:rPr>
              <w:t>擔保品抵繳</w:t>
            </w:r>
            <w:proofErr w:type="gramEnd"/>
            <w:r w:rsidRPr="00BC3B26">
              <w:rPr>
                <w:rFonts w:ascii="標楷體" w:eastAsia="標楷體" w:hint="eastAsia"/>
                <w:u w:val="single"/>
              </w:rPr>
              <w:t>價值之計算，以本公司指定銀行當日下午三時三十分之買進匯率為換算新臺幣之基準</w:t>
            </w:r>
            <w:r w:rsidRPr="00BC3B26">
              <w:rPr>
                <w:rFonts w:ascii="標楷體" w:eastAsia="標楷體" w:hint="eastAsia"/>
                <w:u w:val="single"/>
              </w:rPr>
              <w:lastRenderedPageBreak/>
              <w:t>，元以下不計。</w:t>
            </w:r>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擔保證券遇有</w:t>
            </w:r>
            <w:proofErr w:type="gramStart"/>
            <w:r w:rsidRPr="00DA52C9">
              <w:rPr>
                <w:rFonts w:ascii="標楷體" w:eastAsia="標楷體" w:hint="eastAsia"/>
                <w:color w:val="000000" w:themeColor="text1"/>
              </w:rPr>
              <w:t>除權或除息</w:t>
            </w:r>
            <w:proofErr w:type="gramEnd"/>
            <w:r w:rsidRPr="00DA52C9">
              <w:rPr>
                <w:rFonts w:ascii="標楷體" w:eastAsia="標楷體" w:hint="eastAsia"/>
                <w:color w:val="000000" w:themeColor="text1"/>
              </w:rPr>
              <w:t>交易之情事者，於除權</w:t>
            </w:r>
            <w:proofErr w:type="gramStart"/>
            <w:r w:rsidRPr="00DA52C9">
              <w:rPr>
                <w:rFonts w:ascii="標楷體" w:eastAsia="標楷體" w:hint="eastAsia"/>
                <w:color w:val="000000" w:themeColor="text1"/>
              </w:rPr>
              <w:t>息</w:t>
            </w:r>
            <w:proofErr w:type="gramEnd"/>
            <w:r w:rsidRPr="00DA52C9">
              <w:rPr>
                <w:rFonts w:ascii="標楷體" w:eastAsia="標楷體" w:hint="eastAsia"/>
                <w:color w:val="000000" w:themeColor="text1"/>
              </w:rPr>
              <w:t>交易日之前三個營業日，除現金增資者外，以各當日收盤價</w:t>
            </w:r>
            <w:proofErr w:type="gramStart"/>
            <w:r w:rsidRPr="00DA52C9">
              <w:rPr>
                <w:rFonts w:ascii="標楷體" w:eastAsia="標楷體" w:hint="eastAsia"/>
                <w:color w:val="000000" w:themeColor="text1"/>
              </w:rPr>
              <w:t>扣除息值或權</w:t>
            </w:r>
            <w:proofErr w:type="gramEnd"/>
            <w:r w:rsidRPr="00DA52C9">
              <w:rPr>
                <w:rFonts w:ascii="標楷體" w:eastAsia="標楷體" w:hint="eastAsia"/>
                <w:color w:val="000000" w:themeColor="text1"/>
              </w:rPr>
              <w:t>值之餘額為基準計算其抵繳價值。</w:t>
            </w:r>
          </w:p>
          <w:p w:rsidR="00DA1FEA" w:rsidRPr="00DA52C9" w:rsidRDefault="00BC3B26">
            <w:pPr>
              <w:kinsoku w:val="0"/>
              <w:overflowPunct w:val="0"/>
              <w:spacing w:line="380" w:lineRule="exact"/>
              <w:ind w:firstLineChars="200" w:firstLine="480"/>
              <w:jc w:val="both"/>
              <w:rPr>
                <w:rFonts w:ascii="標楷體" w:eastAsia="標楷體"/>
                <w:color w:val="000000" w:themeColor="text1"/>
              </w:rPr>
            </w:pPr>
            <w:r w:rsidRPr="00BC3B26">
              <w:rPr>
                <w:rFonts w:ascii="標楷體" w:eastAsia="標楷體" w:hint="eastAsia"/>
                <w:u w:val="single"/>
              </w:rPr>
              <w:t>本條第一、二、五項及</w:t>
            </w:r>
            <w:r w:rsidRPr="00BC3B26">
              <w:rPr>
                <w:rFonts w:ascii="標楷體" w:eastAsia="標楷體" w:hint="eastAsia"/>
              </w:rPr>
              <w:t>第四十四條</w:t>
            </w:r>
            <w:r w:rsidRPr="00BC3B26">
              <w:rPr>
                <w:rFonts w:ascii="標楷體" w:eastAsia="標楷體" w:hint="eastAsia"/>
                <w:u w:val="single"/>
              </w:rPr>
              <w:t>、</w:t>
            </w:r>
            <w:r w:rsidR="00921C15" w:rsidRPr="00DA52C9">
              <w:rPr>
                <w:rFonts w:ascii="標楷體" w:eastAsia="標楷體" w:hint="eastAsia"/>
                <w:color w:val="000000" w:themeColor="text1"/>
              </w:rPr>
              <w:t>第四十七條所稱之收盤價，如無當日收盤價格，依下列原則所決定之價格計算之：</w:t>
            </w:r>
          </w:p>
          <w:p w:rsidR="00DA1FEA" w:rsidRPr="00DA52C9" w:rsidRDefault="00921C15">
            <w:pPr>
              <w:kinsoku w:val="0"/>
              <w:overflowPunct w:val="0"/>
              <w:spacing w:line="380" w:lineRule="exact"/>
              <w:ind w:left="600" w:hangingChars="250" w:hanging="600"/>
              <w:jc w:val="both"/>
              <w:rPr>
                <w:rFonts w:ascii="標楷體" w:eastAsia="標楷體"/>
                <w:color w:val="000000" w:themeColor="text1"/>
                <w:sz w:val="20"/>
                <w:szCs w:val="20"/>
              </w:rPr>
            </w:pPr>
            <w:r w:rsidRPr="00DA52C9">
              <w:rPr>
                <w:rFonts w:ascii="標楷體" w:eastAsia="標楷體" w:hint="eastAsia"/>
                <w:color w:val="000000" w:themeColor="text1"/>
              </w:rPr>
              <w:t>(第一款至第三款略)</w:t>
            </w:r>
          </w:p>
          <w:p w:rsidR="00DA1FEA" w:rsidRPr="00DA52C9" w:rsidRDefault="00921C15">
            <w:pPr>
              <w:kinsoku w:val="0"/>
              <w:overflowPunct w:val="0"/>
              <w:spacing w:line="380" w:lineRule="exact"/>
              <w:ind w:firstLineChars="200" w:firstLine="480"/>
              <w:jc w:val="both"/>
              <w:rPr>
                <w:rFonts w:ascii="細明體" w:eastAsia="細明體" w:hAnsi="細明體" w:cs="細明體"/>
                <w:color w:val="000000" w:themeColor="text1"/>
                <w:kern w:val="0"/>
                <w:sz w:val="20"/>
                <w:szCs w:val="24"/>
              </w:rPr>
            </w:pPr>
            <w:r w:rsidRPr="00DA52C9">
              <w:rPr>
                <w:rFonts w:ascii="標楷體" w:eastAsia="標楷體" w:hint="eastAsia"/>
                <w:color w:val="000000" w:themeColor="text1"/>
              </w:rPr>
              <w:t>擔保證券之折價比率：上市有價證券為七折，上櫃有價證券為六折；中央登錄公債之折價比率為九折。本公司得視其市場流動性與風險狀況調整之。</w:t>
            </w:r>
          </w:p>
          <w:p w:rsidR="00DA1FEA" w:rsidRPr="00DA52C9" w:rsidRDefault="00921C15">
            <w:pPr>
              <w:kinsoku w:val="0"/>
              <w:overflowPunct w:val="0"/>
              <w:spacing w:line="380" w:lineRule="exact"/>
              <w:ind w:firstLineChars="200" w:firstLine="480"/>
              <w:jc w:val="both"/>
              <w:rPr>
                <w:rFonts w:ascii="標楷體" w:eastAsia="標楷體"/>
                <w:color w:val="000000" w:themeColor="text1"/>
                <w:sz w:val="20"/>
                <w:szCs w:val="20"/>
              </w:rPr>
            </w:pPr>
            <w:proofErr w:type="gramStart"/>
            <w:r w:rsidRPr="00DA52C9">
              <w:rPr>
                <w:rFonts w:ascii="標楷體" w:eastAsia="標楷體" w:hint="eastAsia"/>
                <w:color w:val="000000" w:themeColor="text1"/>
              </w:rPr>
              <w:t>議借交易</w:t>
            </w:r>
            <w:proofErr w:type="gramEnd"/>
            <w:r w:rsidRPr="00DA52C9">
              <w:rPr>
                <w:rFonts w:ascii="標楷體" w:eastAsia="標楷體" w:hint="eastAsia"/>
                <w:color w:val="000000" w:themeColor="text1"/>
              </w:rPr>
              <w:t>之擔保品條件及擔保品比率，由出借人與借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人雙方自行議定並提供之。</w:t>
            </w:r>
          </w:p>
          <w:p w:rsidR="00DA1FEA" w:rsidRPr="00DA52C9" w:rsidRDefault="00DA1FEA">
            <w:pPr>
              <w:kinsoku w:val="0"/>
              <w:overflowPunct w:val="0"/>
              <w:spacing w:line="380" w:lineRule="exact"/>
              <w:ind w:leftChars="200" w:left="991" w:hangingChars="213" w:hanging="511"/>
              <w:jc w:val="both"/>
              <w:rPr>
                <w:rFonts w:ascii="標楷體" w:eastAsia="標楷體"/>
                <w:color w:val="000000" w:themeColor="text1"/>
              </w:rPr>
            </w:pPr>
          </w:p>
        </w:tc>
        <w:tc>
          <w:tcPr>
            <w:tcW w:w="2787" w:type="dxa"/>
          </w:tcPr>
          <w:p w:rsidR="00DA1FEA" w:rsidRPr="00DA52C9" w:rsidRDefault="00921C15">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第三十三條之</w:t>
            </w:r>
            <w:proofErr w:type="gramStart"/>
            <w:r w:rsidRPr="00DA52C9">
              <w:rPr>
                <w:rFonts w:ascii="標楷體" w:eastAsia="標楷體" w:hint="eastAsia"/>
                <w:color w:val="000000" w:themeColor="text1"/>
              </w:rPr>
              <w:t>一</w:t>
            </w:r>
            <w:proofErr w:type="gramEnd"/>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人委託證券商為定價、競價交易之借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申報時，應提交相當標的證券當日開盤競價基準</w:t>
            </w:r>
            <w:r w:rsidRPr="00DA52C9">
              <w:rPr>
                <w:rFonts w:ascii="標楷體" w:eastAsia="標楷體" w:hint="eastAsia"/>
                <w:color w:val="000000" w:themeColor="text1"/>
              </w:rPr>
              <w:lastRenderedPageBreak/>
              <w:t>或開始交易</w:t>
            </w:r>
            <w:proofErr w:type="gramStart"/>
            <w:r w:rsidRPr="00DA52C9">
              <w:rPr>
                <w:rFonts w:ascii="標楷體" w:eastAsia="標楷體" w:hint="eastAsia"/>
                <w:color w:val="000000" w:themeColor="text1"/>
              </w:rPr>
              <w:t>基準價乘申報</w:t>
            </w:r>
            <w:proofErr w:type="gramEnd"/>
            <w:r w:rsidRPr="00DA52C9">
              <w:rPr>
                <w:rFonts w:ascii="標楷體" w:eastAsia="標楷體" w:hint="eastAsia"/>
                <w:color w:val="000000" w:themeColor="text1"/>
              </w:rPr>
              <w:t>數量，再乘以原始擔保比率（百分之一百四十）之擔保品予本公司。並自借貸交易成交當日起，逐日依當日收盤價計算各筆借</w:t>
            </w:r>
            <w:proofErr w:type="gramStart"/>
            <w:r w:rsidRPr="00DA52C9">
              <w:rPr>
                <w:rFonts w:ascii="標楷體" w:eastAsia="標楷體" w:hint="eastAsia"/>
                <w:color w:val="000000" w:themeColor="text1"/>
              </w:rPr>
              <w:t>券擔保品抵繳</w:t>
            </w:r>
            <w:proofErr w:type="gramEnd"/>
            <w:r w:rsidRPr="00DA52C9">
              <w:rPr>
                <w:rFonts w:ascii="標楷體" w:eastAsia="標楷體" w:hint="eastAsia"/>
                <w:color w:val="000000" w:themeColor="text1"/>
              </w:rPr>
              <w:t>價值總額減相關借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費用後之餘額，與其標的證券價值總額加現金股利總額之比率，如低於擔保維持率（百分之一百二十），借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人接獲證券商轉知之本公司通知後，應於次一</w:t>
            </w:r>
            <w:proofErr w:type="gramStart"/>
            <w:r w:rsidRPr="00DA52C9">
              <w:rPr>
                <w:rFonts w:ascii="標楷體" w:eastAsia="標楷體" w:hint="eastAsia"/>
                <w:color w:val="000000" w:themeColor="text1"/>
              </w:rPr>
              <w:t>營業日補繳</w:t>
            </w:r>
            <w:proofErr w:type="gramEnd"/>
            <w:r w:rsidRPr="00DA52C9">
              <w:rPr>
                <w:rFonts w:ascii="標楷體" w:eastAsia="標楷體" w:hint="eastAsia"/>
                <w:color w:val="000000" w:themeColor="text1"/>
              </w:rPr>
              <w:t>擔保品，使</w:t>
            </w:r>
            <w:proofErr w:type="gramStart"/>
            <w:r w:rsidRPr="00DA52C9">
              <w:rPr>
                <w:rFonts w:ascii="標楷體" w:eastAsia="標楷體" w:hint="eastAsia"/>
                <w:color w:val="000000" w:themeColor="text1"/>
              </w:rPr>
              <w:t>擔保品抵繳</w:t>
            </w:r>
            <w:proofErr w:type="gramEnd"/>
            <w:r w:rsidRPr="00DA52C9">
              <w:rPr>
                <w:rFonts w:ascii="標楷體" w:eastAsia="標楷體" w:hint="eastAsia"/>
                <w:color w:val="000000" w:themeColor="text1"/>
              </w:rPr>
              <w:t>價值回復至原始擔保比率。</w:t>
            </w:r>
          </w:p>
          <w:p w:rsidR="00DA1FEA" w:rsidRPr="00DA52C9" w:rsidRDefault="00921C15">
            <w:pPr>
              <w:kinsoku w:val="0"/>
              <w:overflowPunct w:val="0"/>
              <w:spacing w:line="380" w:lineRule="exact"/>
              <w:ind w:firstLineChars="200" w:firstLine="480"/>
              <w:jc w:val="both"/>
              <w:rPr>
                <w:rFonts w:ascii="標楷體" w:eastAsia="標楷體"/>
                <w:color w:val="000000" w:themeColor="text1"/>
                <w:sz w:val="20"/>
                <w:szCs w:val="20"/>
              </w:rPr>
            </w:pPr>
            <w:r w:rsidRPr="00DA52C9">
              <w:rPr>
                <w:rFonts w:ascii="標楷體" w:eastAsia="標楷體" w:hint="eastAsia"/>
                <w:color w:val="000000" w:themeColor="text1"/>
              </w:rPr>
              <w:t>前項所稱「</w:t>
            </w:r>
            <w:proofErr w:type="gramStart"/>
            <w:r w:rsidRPr="00DA52C9">
              <w:rPr>
                <w:rFonts w:ascii="標楷體" w:eastAsia="標楷體" w:hint="eastAsia"/>
                <w:color w:val="000000" w:themeColor="text1"/>
              </w:rPr>
              <w:t>擔保品抵繳</w:t>
            </w:r>
            <w:proofErr w:type="gramEnd"/>
            <w:r w:rsidRPr="00DA52C9">
              <w:rPr>
                <w:rFonts w:ascii="標楷體" w:eastAsia="標楷體" w:hint="eastAsia"/>
                <w:color w:val="000000" w:themeColor="text1"/>
              </w:rPr>
              <w:t>價值總額」等於擔保證券當日</w:t>
            </w:r>
            <w:proofErr w:type="gramStart"/>
            <w:r w:rsidRPr="00DA52C9">
              <w:rPr>
                <w:rFonts w:ascii="標楷體" w:eastAsia="標楷體" w:hint="eastAsia"/>
                <w:color w:val="000000" w:themeColor="text1"/>
              </w:rPr>
              <w:t>收盤價乘以</w:t>
            </w:r>
            <w:proofErr w:type="gramEnd"/>
            <w:r w:rsidRPr="00DA52C9">
              <w:rPr>
                <w:rFonts w:ascii="標楷體" w:eastAsia="標楷體" w:hint="eastAsia"/>
                <w:color w:val="000000" w:themeColor="text1"/>
              </w:rPr>
              <w:t>數量及其折價比率、中央登錄公債面額乘以數量及其折價比率、現金擔保總額，及銀行保證總額等項之合計數。</w:t>
            </w:r>
          </w:p>
          <w:p w:rsidR="00DA1FEA" w:rsidRPr="00DA52C9" w:rsidRDefault="00DA1FEA">
            <w:pPr>
              <w:tabs>
                <w:tab w:val="center" w:pos="4153"/>
                <w:tab w:val="right" w:pos="8306"/>
              </w:tabs>
              <w:kinsoku w:val="0"/>
              <w:overflowPunct w:val="0"/>
              <w:snapToGrid w:val="0"/>
              <w:spacing w:line="380" w:lineRule="exact"/>
              <w:ind w:firstLineChars="200" w:firstLine="480"/>
              <w:jc w:val="both"/>
              <w:rPr>
                <w:rFonts w:ascii="標楷體" w:eastAsia="標楷體"/>
                <w:color w:val="000000" w:themeColor="text1"/>
                <w:u w:val="single"/>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tabs>
                <w:tab w:val="center" w:pos="4153"/>
                <w:tab w:val="right" w:pos="8306"/>
              </w:tabs>
              <w:kinsoku w:val="0"/>
              <w:overflowPunct w:val="0"/>
              <w:snapToGrid w:val="0"/>
              <w:spacing w:line="380" w:lineRule="exact"/>
              <w:ind w:firstLineChars="200" w:firstLine="480"/>
              <w:jc w:val="both"/>
              <w:rPr>
                <w:rFonts w:ascii="標楷體" w:eastAsia="標楷體"/>
                <w:color w:val="000000" w:themeColor="text1"/>
                <w:u w:val="single"/>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DA1FEA">
            <w:pPr>
              <w:kinsoku w:val="0"/>
              <w:overflowPunct w:val="0"/>
              <w:spacing w:line="380" w:lineRule="exact"/>
              <w:ind w:firstLineChars="200" w:firstLine="480"/>
              <w:jc w:val="both"/>
              <w:rPr>
                <w:rFonts w:ascii="標楷體" w:eastAsia="標楷體"/>
                <w:color w:val="000000" w:themeColor="text1"/>
              </w:rPr>
            </w:pPr>
          </w:p>
          <w:p w:rsidR="00DA1FEA" w:rsidRPr="00DA52C9" w:rsidRDefault="00921C15" w:rsidP="00DA1FEA">
            <w:pPr>
              <w:kinsoku w:val="0"/>
              <w:overflowPunct w:val="0"/>
              <w:spacing w:line="380" w:lineRule="exact"/>
              <w:ind w:firstLineChars="200" w:firstLine="480"/>
              <w:jc w:val="both"/>
              <w:rPr>
                <w:rFonts w:ascii="標楷體" w:eastAsia="標楷體"/>
                <w:color w:val="000000" w:themeColor="text1"/>
                <w:sz w:val="20"/>
                <w:szCs w:val="20"/>
              </w:rPr>
            </w:pPr>
            <w:r w:rsidRPr="00DA52C9">
              <w:rPr>
                <w:rFonts w:ascii="標楷體" w:eastAsia="標楷體" w:hint="eastAsia"/>
                <w:color w:val="000000" w:themeColor="text1"/>
              </w:rPr>
              <w:t>擔保證券遇有</w:t>
            </w:r>
            <w:proofErr w:type="gramStart"/>
            <w:r w:rsidRPr="00DA52C9">
              <w:rPr>
                <w:rFonts w:ascii="標楷體" w:eastAsia="標楷體" w:hint="eastAsia"/>
                <w:color w:val="000000" w:themeColor="text1"/>
              </w:rPr>
              <w:t>除權或除息</w:t>
            </w:r>
            <w:proofErr w:type="gramEnd"/>
            <w:r w:rsidRPr="00DA52C9">
              <w:rPr>
                <w:rFonts w:ascii="標楷體" w:eastAsia="標楷體" w:hint="eastAsia"/>
                <w:color w:val="000000" w:themeColor="text1"/>
              </w:rPr>
              <w:t>交易之情事者，於除權</w:t>
            </w:r>
            <w:proofErr w:type="gramStart"/>
            <w:r w:rsidRPr="00DA52C9">
              <w:rPr>
                <w:rFonts w:ascii="標楷體" w:eastAsia="標楷體" w:hint="eastAsia"/>
                <w:color w:val="000000" w:themeColor="text1"/>
              </w:rPr>
              <w:t>息</w:t>
            </w:r>
            <w:proofErr w:type="gramEnd"/>
            <w:r w:rsidRPr="00DA52C9">
              <w:rPr>
                <w:rFonts w:ascii="標楷體" w:eastAsia="標楷體" w:hint="eastAsia"/>
                <w:color w:val="000000" w:themeColor="text1"/>
              </w:rPr>
              <w:t>交易日之前三個營業日，除現金增資者外，以各當日收盤價</w:t>
            </w:r>
            <w:proofErr w:type="gramStart"/>
            <w:r w:rsidRPr="00DA52C9">
              <w:rPr>
                <w:rFonts w:ascii="標楷體" w:eastAsia="標楷體" w:hint="eastAsia"/>
                <w:color w:val="000000" w:themeColor="text1"/>
              </w:rPr>
              <w:t>扣除息值或權</w:t>
            </w:r>
            <w:proofErr w:type="gramEnd"/>
            <w:r w:rsidRPr="00DA52C9">
              <w:rPr>
                <w:rFonts w:ascii="標楷體" w:eastAsia="標楷體" w:hint="eastAsia"/>
                <w:color w:val="000000" w:themeColor="text1"/>
              </w:rPr>
              <w:t>值之餘額為基準計算其抵繳價值。</w:t>
            </w:r>
          </w:p>
          <w:p w:rsidR="00DA1FEA" w:rsidRPr="00DA52C9" w:rsidRDefault="00921C15" w:rsidP="00DA1FEA">
            <w:pPr>
              <w:kinsoku w:val="0"/>
              <w:overflowPunct w:val="0"/>
              <w:spacing w:line="380" w:lineRule="exact"/>
              <w:ind w:firstLineChars="200" w:firstLine="480"/>
              <w:jc w:val="both"/>
              <w:rPr>
                <w:rFonts w:ascii="標楷體" w:eastAsia="標楷體"/>
                <w:color w:val="000000" w:themeColor="text1"/>
                <w:sz w:val="20"/>
                <w:szCs w:val="20"/>
              </w:rPr>
            </w:pPr>
            <w:r w:rsidRPr="00DA52C9">
              <w:rPr>
                <w:rFonts w:ascii="標楷體" w:eastAsia="標楷體" w:hint="eastAsia"/>
                <w:color w:val="000000" w:themeColor="text1"/>
              </w:rPr>
              <w:t>前</w:t>
            </w:r>
            <w:r w:rsidRPr="00DA52C9">
              <w:rPr>
                <w:rFonts w:ascii="標楷體" w:eastAsia="標楷體" w:hint="eastAsia"/>
                <w:b/>
                <w:color w:val="000000" w:themeColor="text1"/>
              </w:rPr>
              <w:t>三</w:t>
            </w:r>
            <w:r w:rsidRPr="00DA52C9">
              <w:rPr>
                <w:rFonts w:ascii="標楷體" w:eastAsia="標楷體" w:hint="eastAsia"/>
                <w:color w:val="000000" w:themeColor="text1"/>
              </w:rPr>
              <w:t>項、第四十四條及第四十七條所稱之收盤價，如無當日收盤價格，依下列原則所決定之價格計算之：</w:t>
            </w:r>
          </w:p>
          <w:p w:rsidR="00DA1FEA" w:rsidRPr="00DA52C9" w:rsidRDefault="00921C15" w:rsidP="00DA1FEA">
            <w:pPr>
              <w:kinsoku w:val="0"/>
              <w:overflowPunct w:val="0"/>
              <w:spacing w:line="380" w:lineRule="exact"/>
              <w:ind w:left="600" w:hangingChars="250" w:hanging="600"/>
              <w:jc w:val="both"/>
              <w:rPr>
                <w:rFonts w:ascii="標楷體" w:eastAsia="標楷體"/>
                <w:color w:val="000000" w:themeColor="text1"/>
                <w:sz w:val="20"/>
                <w:szCs w:val="20"/>
              </w:rPr>
            </w:pPr>
            <w:r w:rsidRPr="00DA52C9">
              <w:rPr>
                <w:rFonts w:ascii="標楷體" w:eastAsia="標楷體" w:hint="eastAsia"/>
                <w:color w:val="000000" w:themeColor="text1"/>
              </w:rPr>
              <w:t>(第一款至第三款略)</w:t>
            </w:r>
          </w:p>
          <w:p w:rsidR="00DA1FEA" w:rsidRPr="00DA52C9" w:rsidRDefault="00921C15" w:rsidP="00DA1FEA">
            <w:pPr>
              <w:kinsoku w:val="0"/>
              <w:overflowPunct w:val="0"/>
              <w:spacing w:line="380" w:lineRule="exact"/>
              <w:ind w:firstLineChars="200" w:firstLine="480"/>
              <w:jc w:val="both"/>
              <w:rPr>
                <w:rFonts w:ascii="細明體" w:eastAsia="細明體" w:hAnsi="細明體" w:cs="細明體"/>
                <w:color w:val="000000" w:themeColor="text1"/>
                <w:kern w:val="0"/>
                <w:sz w:val="20"/>
                <w:szCs w:val="24"/>
              </w:rPr>
            </w:pPr>
            <w:r w:rsidRPr="00DA52C9">
              <w:rPr>
                <w:rFonts w:ascii="標楷體" w:eastAsia="標楷體" w:hint="eastAsia"/>
                <w:color w:val="000000" w:themeColor="text1"/>
              </w:rPr>
              <w:t>擔保證券之折價比率：上市有價證券為七折，上櫃有價證券為六折；中央登錄公債之折價比率為九折。本公司得視其市場流動性與風險狀況調整之。</w:t>
            </w:r>
          </w:p>
          <w:p w:rsidR="00DA1FEA" w:rsidRPr="00DA52C9" w:rsidRDefault="00921C15" w:rsidP="00DA1FEA">
            <w:pPr>
              <w:kinsoku w:val="0"/>
              <w:overflowPunct w:val="0"/>
              <w:spacing w:line="380" w:lineRule="exact"/>
              <w:ind w:firstLineChars="200" w:firstLine="480"/>
              <w:jc w:val="both"/>
              <w:rPr>
                <w:rFonts w:ascii="標楷體" w:eastAsia="標楷體"/>
                <w:color w:val="000000" w:themeColor="text1"/>
                <w:sz w:val="20"/>
                <w:szCs w:val="20"/>
              </w:rPr>
            </w:pPr>
            <w:proofErr w:type="gramStart"/>
            <w:r w:rsidRPr="00DA52C9">
              <w:rPr>
                <w:rFonts w:ascii="標楷體" w:eastAsia="標楷體" w:hint="eastAsia"/>
                <w:color w:val="000000" w:themeColor="text1"/>
              </w:rPr>
              <w:t>議借交易</w:t>
            </w:r>
            <w:proofErr w:type="gramEnd"/>
            <w:r w:rsidRPr="00DA52C9">
              <w:rPr>
                <w:rFonts w:ascii="標楷體" w:eastAsia="標楷體" w:hint="eastAsia"/>
                <w:color w:val="000000" w:themeColor="text1"/>
              </w:rPr>
              <w:t>之擔保品條件及擔保品比率，由出借人與借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人雙方自行議定並提供之。</w:t>
            </w:r>
          </w:p>
          <w:p w:rsidR="00DA1FEA" w:rsidRPr="00DA52C9" w:rsidRDefault="00DA1FEA">
            <w:pPr>
              <w:kinsoku w:val="0"/>
              <w:overflowPunct w:val="0"/>
              <w:spacing w:line="380" w:lineRule="exact"/>
              <w:ind w:leftChars="200" w:left="480" w:firstLineChars="200" w:firstLine="480"/>
              <w:jc w:val="both"/>
              <w:rPr>
                <w:rFonts w:ascii="標楷體" w:eastAsia="標楷體"/>
                <w:color w:val="000000" w:themeColor="text1"/>
              </w:rPr>
            </w:pPr>
          </w:p>
        </w:tc>
        <w:tc>
          <w:tcPr>
            <w:tcW w:w="2788" w:type="dxa"/>
          </w:tcPr>
          <w:p w:rsidR="00DA1FEA" w:rsidRPr="00DA52C9" w:rsidRDefault="00CD61BC">
            <w:pPr>
              <w:kinsoku w:val="0"/>
              <w:overflowPunct w:val="0"/>
              <w:spacing w:line="380" w:lineRule="exact"/>
              <w:jc w:val="both"/>
              <w:rPr>
                <w:rFonts w:eastAsia="標楷體"/>
                <w:color w:val="000000" w:themeColor="text1"/>
                <w:sz w:val="28"/>
              </w:rPr>
            </w:pPr>
            <w:r w:rsidRPr="00DA52C9">
              <w:rPr>
                <w:rFonts w:ascii="標楷體" w:eastAsia="標楷體" w:hint="eastAsia"/>
                <w:color w:val="000000" w:themeColor="text1"/>
              </w:rPr>
              <w:lastRenderedPageBreak/>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w:t>
            </w:r>
            <w:r w:rsidR="00A704F7" w:rsidRPr="00DA52C9">
              <w:rPr>
                <w:rFonts w:ascii="標楷體" w:eastAsia="標楷體" w:hint="eastAsia"/>
                <w:color w:val="000000" w:themeColor="text1"/>
              </w:rPr>
              <w:t>章</w:t>
            </w:r>
            <w:r w:rsidR="00921C15" w:rsidRPr="00DA52C9">
              <w:rPr>
                <w:rFonts w:ascii="標楷體" w:eastAsia="標楷體" w:hint="eastAsia"/>
                <w:color w:val="000000" w:themeColor="text1"/>
              </w:rPr>
              <w:t>，增訂第三、四項納入</w:t>
            </w:r>
            <w:r w:rsidR="00996153">
              <w:rPr>
                <w:rFonts w:ascii="標楷體" w:eastAsia="標楷體" w:hint="eastAsia"/>
                <w:color w:val="000000" w:themeColor="text1"/>
              </w:rPr>
              <w:t>104年3月17日</w:t>
            </w:r>
            <w:proofErr w:type="gramStart"/>
            <w:r w:rsidR="00921C15" w:rsidRPr="00DA52C9">
              <w:rPr>
                <w:rFonts w:ascii="標楷體" w:eastAsia="標楷體" w:hint="eastAsia"/>
                <w:color w:val="000000" w:themeColor="text1"/>
              </w:rPr>
              <w:t>臺證交字第1040201420號</w:t>
            </w:r>
            <w:proofErr w:type="gramEnd"/>
            <w:r w:rsidR="00921C15" w:rsidRPr="00DA52C9">
              <w:rPr>
                <w:rFonts w:ascii="標楷體" w:eastAsia="標楷體" w:hint="eastAsia"/>
                <w:color w:val="000000" w:themeColor="text1"/>
              </w:rPr>
              <w:t>函有關外幣</w:t>
            </w:r>
            <w:proofErr w:type="gramStart"/>
            <w:r w:rsidR="00921C15" w:rsidRPr="00DA52C9">
              <w:rPr>
                <w:rFonts w:ascii="標楷體" w:eastAsia="標楷體" w:hint="eastAsia"/>
                <w:color w:val="000000" w:themeColor="text1"/>
              </w:rPr>
              <w:t>擔保品抵繳</w:t>
            </w:r>
            <w:proofErr w:type="gramEnd"/>
            <w:r w:rsidR="00921C15" w:rsidRPr="00DA52C9">
              <w:rPr>
                <w:rFonts w:ascii="標楷體" w:eastAsia="標楷體" w:hint="eastAsia"/>
                <w:color w:val="000000" w:themeColor="text1"/>
              </w:rPr>
              <w:t>價值計算</w:t>
            </w:r>
            <w:r w:rsidR="00921C15" w:rsidRPr="00DA52C9">
              <w:rPr>
                <w:rFonts w:ascii="標楷體" w:eastAsia="標楷體" w:hint="eastAsia"/>
                <w:color w:val="000000" w:themeColor="text1"/>
              </w:rPr>
              <w:lastRenderedPageBreak/>
              <w:t>之規定，並</w:t>
            </w:r>
            <w:r w:rsidR="00DF597A" w:rsidRPr="00DA52C9">
              <w:rPr>
                <w:rFonts w:ascii="標楷體" w:eastAsia="標楷體" w:hint="eastAsia"/>
                <w:color w:val="000000" w:themeColor="text1"/>
              </w:rPr>
              <w:t>配合</w:t>
            </w:r>
            <w:r w:rsidR="00921C15" w:rsidRPr="00DA52C9">
              <w:rPr>
                <w:rFonts w:ascii="標楷體" w:eastAsia="標楷體" w:hint="eastAsia"/>
                <w:color w:val="000000" w:themeColor="text1"/>
              </w:rPr>
              <w:t>調整項次。</w:t>
            </w:r>
            <w:r w:rsidR="00600E59">
              <w:rPr>
                <w:rFonts w:ascii="標楷體" w:eastAsia="標楷體" w:hint="eastAsia"/>
                <w:color w:val="000000" w:themeColor="text1"/>
              </w:rPr>
              <w:t>另配合借</w:t>
            </w:r>
            <w:proofErr w:type="gramStart"/>
            <w:r w:rsidR="00600E59">
              <w:rPr>
                <w:rFonts w:ascii="標楷體" w:eastAsia="標楷體" w:hint="eastAsia"/>
                <w:color w:val="000000" w:themeColor="text1"/>
              </w:rPr>
              <w:t>券</w:t>
            </w:r>
            <w:proofErr w:type="gramEnd"/>
            <w:r w:rsidR="00600E59">
              <w:rPr>
                <w:rFonts w:ascii="標楷體" w:eastAsia="標楷體" w:hint="eastAsia"/>
                <w:color w:val="000000" w:themeColor="text1"/>
              </w:rPr>
              <w:t>系統交易時間延長至下午三時三十分，</w:t>
            </w:r>
            <w:proofErr w:type="gramStart"/>
            <w:r w:rsidR="00600E59">
              <w:rPr>
                <w:rFonts w:ascii="標楷體" w:eastAsia="標楷體" w:hint="eastAsia"/>
                <w:color w:val="000000" w:themeColor="text1"/>
              </w:rPr>
              <w:t>原洗價</w:t>
            </w:r>
            <w:proofErr w:type="gramEnd"/>
            <w:r w:rsidR="00600E59">
              <w:rPr>
                <w:rFonts w:ascii="標楷體" w:eastAsia="標楷體" w:hint="eastAsia"/>
                <w:color w:val="000000" w:themeColor="text1"/>
              </w:rPr>
              <w:t>匯率時點亦調整為一致。</w:t>
            </w:r>
          </w:p>
          <w:p w:rsidR="00DA1FEA" w:rsidRPr="00DA52C9" w:rsidRDefault="00DA1FEA">
            <w:pPr>
              <w:kinsoku w:val="0"/>
              <w:overflowPunct w:val="0"/>
              <w:spacing w:line="380" w:lineRule="exact"/>
              <w:ind w:left="420" w:hangingChars="150" w:hanging="420"/>
              <w:jc w:val="both"/>
              <w:rPr>
                <w:rFonts w:eastAsia="標楷體"/>
                <w:color w:val="000000" w:themeColor="text1"/>
                <w:sz w:val="28"/>
              </w:rPr>
            </w:pPr>
          </w:p>
        </w:tc>
      </w:tr>
      <w:tr w:rsidR="00921C15" w:rsidRPr="00DA52C9" w:rsidTr="00CA3C91">
        <w:tc>
          <w:tcPr>
            <w:tcW w:w="2788" w:type="dxa"/>
          </w:tcPr>
          <w:p w:rsidR="00921C15" w:rsidRPr="00DA52C9" w:rsidRDefault="00921C15" w:rsidP="00D011B8">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第三十三條之二</w:t>
            </w:r>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定價、競價交易借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申報未成交者，本公司依借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人之申請以下列方式，退回借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人提供之擔保品：</w:t>
            </w:r>
          </w:p>
          <w:p w:rsidR="00DA1FEA" w:rsidRPr="005F594B" w:rsidRDefault="00921C15">
            <w:pPr>
              <w:kinsoku w:val="0"/>
              <w:overflowPunct w:val="0"/>
              <w:spacing w:line="380" w:lineRule="exact"/>
              <w:ind w:left="425" w:hangingChars="177" w:hanging="425"/>
              <w:jc w:val="both"/>
              <w:rPr>
                <w:rFonts w:ascii="標楷體" w:eastAsia="標楷體"/>
              </w:rPr>
            </w:pPr>
            <w:r w:rsidRPr="00DA52C9">
              <w:rPr>
                <w:rFonts w:ascii="標楷體" w:eastAsia="標楷體" w:hint="eastAsia"/>
                <w:color w:val="000000" w:themeColor="text1"/>
              </w:rPr>
              <w:t>一、現金：於次一營業日直接匯入借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人指定之銀行帳戶。</w:t>
            </w:r>
            <w:r w:rsidR="00BC3B26" w:rsidRPr="00BC3B26">
              <w:rPr>
                <w:rFonts w:ascii="標楷體" w:eastAsia="標楷體" w:hint="eastAsia"/>
                <w:u w:val="single"/>
              </w:rPr>
              <w:t>外幣</w:t>
            </w:r>
            <w:proofErr w:type="gramStart"/>
            <w:r w:rsidR="00BC3B26" w:rsidRPr="00BC3B26">
              <w:rPr>
                <w:rFonts w:ascii="標楷體" w:eastAsia="標楷體" w:hint="eastAsia"/>
                <w:u w:val="single"/>
              </w:rPr>
              <w:t>擔保品依原</w:t>
            </w:r>
            <w:proofErr w:type="gramEnd"/>
            <w:r w:rsidR="00BC3B26" w:rsidRPr="00BC3B26">
              <w:rPr>
                <w:rFonts w:ascii="標楷體" w:eastAsia="標楷體" w:hint="eastAsia"/>
                <w:u w:val="single"/>
              </w:rPr>
              <w:t>幣別</w:t>
            </w:r>
            <w:proofErr w:type="gramStart"/>
            <w:r w:rsidR="00BC3B26" w:rsidRPr="00BC3B26">
              <w:rPr>
                <w:rFonts w:ascii="標楷體" w:eastAsia="標楷體" w:hint="eastAsia"/>
                <w:u w:val="single"/>
              </w:rPr>
              <w:t>匯</w:t>
            </w:r>
            <w:proofErr w:type="gramEnd"/>
            <w:r w:rsidR="00BC3B26" w:rsidRPr="00BC3B26">
              <w:rPr>
                <w:rFonts w:ascii="標楷體" w:eastAsia="標楷體" w:hint="eastAsia"/>
                <w:u w:val="single"/>
              </w:rPr>
              <w:t>還，借</w:t>
            </w:r>
            <w:proofErr w:type="gramStart"/>
            <w:r w:rsidR="00BC3B26" w:rsidRPr="00BC3B26">
              <w:rPr>
                <w:rFonts w:ascii="標楷體" w:eastAsia="標楷體" w:hint="eastAsia"/>
                <w:u w:val="single"/>
              </w:rPr>
              <w:t>券</w:t>
            </w:r>
            <w:proofErr w:type="gramEnd"/>
            <w:r w:rsidR="00BC3B26" w:rsidRPr="00BC3B26">
              <w:rPr>
                <w:rFonts w:ascii="標楷體" w:eastAsia="標楷體" w:hint="eastAsia"/>
                <w:u w:val="single"/>
              </w:rPr>
              <w:t>人不得申請</w:t>
            </w:r>
            <w:r w:rsidR="00BC3B26" w:rsidRPr="00BC3B26">
              <w:rPr>
                <w:rFonts w:ascii="標楷體" w:eastAsia="標楷體" w:hint="eastAsia"/>
                <w:u w:val="single"/>
              </w:rPr>
              <w:lastRenderedPageBreak/>
              <w:t>兌換為新臺幣。</w:t>
            </w:r>
          </w:p>
          <w:p w:rsidR="00DA1FEA" w:rsidRPr="00DA52C9" w:rsidRDefault="00921C15">
            <w:pPr>
              <w:kinsoku w:val="0"/>
              <w:overflowPunct w:val="0"/>
              <w:spacing w:line="380" w:lineRule="exact"/>
              <w:ind w:left="425" w:hangingChars="177" w:hanging="425"/>
              <w:jc w:val="both"/>
              <w:rPr>
                <w:rFonts w:ascii="標楷體" w:eastAsia="標楷體"/>
                <w:color w:val="000000" w:themeColor="text1"/>
                <w:sz w:val="20"/>
                <w:szCs w:val="20"/>
              </w:rPr>
            </w:pPr>
            <w:r w:rsidRPr="00DA52C9">
              <w:rPr>
                <w:rFonts w:ascii="標楷體" w:eastAsia="標楷體" w:hint="eastAsia"/>
                <w:color w:val="000000" w:themeColor="text1"/>
              </w:rPr>
              <w:t>二、擔保證券：通知證券集保事業自本公司借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擔保證券保管帳戶，將擔保證券撥還借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w:t>
            </w:r>
          </w:p>
          <w:p w:rsidR="00DA1FEA" w:rsidRPr="00DA52C9" w:rsidRDefault="00921C15" w:rsidP="00DA1FEA">
            <w:pPr>
              <w:kinsoku w:val="0"/>
              <w:overflowPunct w:val="0"/>
              <w:spacing w:line="380" w:lineRule="exact"/>
              <w:ind w:left="425" w:hangingChars="177" w:hanging="425"/>
              <w:jc w:val="both"/>
              <w:rPr>
                <w:rFonts w:ascii="細明體" w:eastAsia="細明體" w:hAnsi="細明體" w:cs="細明體"/>
                <w:color w:val="000000" w:themeColor="text1"/>
                <w:kern w:val="0"/>
                <w:sz w:val="20"/>
                <w:szCs w:val="24"/>
              </w:rPr>
            </w:pPr>
            <w:r w:rsidRPr="00DA52C9">
              <w:rPr>
                <w:rFonts w:ascii="標楷體" w:eastAsia="標楷體" w:hint="eastAsia"/>
                <w:color w:val="000000" w:themeColor="text1"/>
              </w:rPr>
              <w:t>三、銀行保證：於次一營業日將保證文件正本</w:t>
            </w:r>
            <w:r w:rsidR="00BC3B26" w:rsidRPr="00BC3B26">
              <w:rPr>
                <w:rFonts w:ascii="標楷體" w:eastAsia="標楷體" w:hint="eastAsia"/>
                <w:u w:val="single"/>
              </w:rPr>
              <w:t>返</w:t>
            </w:r>
            <w:r w:rsidRPr="00DA52C9">
              <w:rPr>
                <w:rFonts w:ascii="標楷體" w:eastAsia="標楷體" w:hint="eastAsia"/>
                <w:color w:val="000000" w:themeColor="text1"/>
              </w:rPr>
              <w:t>還借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r w:rsidRPr="00DA52C9">
              <w:rPr>
                <w:rFonts w:ascii="細明體" w:eastAsia="細明體" w:hAnsi="細明體" w:cs="細明體" w:hint="eastAsia"/>
                <w:color w:val="000000" w:themeColor="text1"/>
                <w:kern w:val="0"/>
                <w:szCs w:val="24"/>
              </w:rPr>
              <w:t>。</w:t>
            </w:r>
          </w:p>
          <w:p w:rsidR="00DA1FEA" w:rsidRPr="00DA52C9" w:rsidRDefault="00921C15" w:rsidP="00DA1FEA">
            <w:pPr>
              <w:kinsoku w:val="0"/>
              <w:overflowPunct w:val="0"/>
              <w:spacing w:line="380" w:lineRule="exact"/>
              <w:ind w:left="425" w:hangingChars="177" w:hanging="425"/>
              <w:jc w:val="both"/>
              <w:rPr>
                <w:rFonts w:ascii="標楷體" w:eastAsia="標楷體"/>
                <w:color w:val="000000" w:themeColor="text1"/>
                <w:sz w:val="20"/>
                <w:szCs w:val="20"/>
              </w:rPr>
            </w:pPr>
            <w:r w:rsidRPr="00DA52C9">
              <w:rPr>
                <w:rFonts w:ascii="標楷體" w:eastAsia="標楷體" w:hint="eastAsia"/>
                <w:color w:val="000000" w:themeColor="text1"/>
              </w:rPr>
              <w:t>四、中央登錄公債：</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設定質權方式提供擔保者，於</w:t>
            </w:r>
            <w:proofErr w:type="gramStart"/>
            <w:r w:rsidRPr="00DA52C9">
              <w:rPr>
                <w:rFonts w:ascii="標楷體" w:eastAsia="標楷體" w:hint="eastAsia"/>
                <w:color w:val="000000" w:themeColor="text1"/>
              </w:rPr>
              <w:t>當日塗銷質</w:t>
            </w:r>
            <w:proofErr w:type="gramEnd"/>
            <w:r w:rsidRPr="00DA52C9">
              <w:rPr>
                <w:rFonts w:ascii="標楷體" w:eastAsia="標楷體" w:hint="eastAsia"/>
                <w:color w:val="000000" w:themeColor="text1"/>
              </w:rPr>
              <w:t>權設定登記。其</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移轉所有權之讓與擔保方式者，即通知清算銀行辦理再轉讓登記予借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p>
          <w:p w:rsidR="00DA1FEA" w:rsidRPr="00DA52C9" w:rsidRDefault="00DA1FEA">
            <w:pPr>
              <w:kinsoku w:val="0"/>
              <w:overflowPunct w:val="0"/>
              <w:spacing w:line="380" w:lineRule="exact"/>
              <w:jc w:val="both"/>
              <w:rPr>
                <w:rFonts w:ascii="標楷體" w:eastAsia="標楷體"/>
                <w:color w:val="000000" w:themeColor="text1"/>
              </w:rPr>
            </w:pPr>
          </w:p>
        </w:tc>
        <w:tc>
          <w:tcPr>
            <w:tcW w:w="2787" w:type="dxa"/>
          </w:tcPr>
          <w:p w:rsidR="00DA1FEA" w:rsidRPr="00DA52C9" w:rsidRDefault="00921C15">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第三十三條之二</w:t>
            </w:r>
          </w:p>
          <w:p w:rsidR="00DA1FEA" w:rsidRPr="00DA52C9" w:rsidRDefault="00921C15">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定價、競價交易借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申報未成交者，本公司依借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人之申請以下列方式，退回借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人提供之擔保品：</w:t>
            </w:r>
          </w:p>
          <w:p w:rsidR="00DA1FEA" w:rsidRPr="00DA52C9" w:rsidRDefault="00921C15" w:rsidP="00DA1FEA">
            <w:pPr>
              <w:kinsoku w:val="0"/>
              <w:overflowPunct w:val="0"/>
              <w:spacing w:line="380" w:lineRule="exact"/>
              <w:ind w:leftChars="20" w:left="473" w:hangingChars="177" w:hanging="425"/>
              <w:jc w:val="both"/>
              <w:rPr>
                <w:rFonts w:ascii="標楷體" w:eastAsia="標楷體"/>
                <w:color w:val="000000" w:themeColor="text1"/>
              </w:rPr>
            </w:pPr>
            <w:r w:rsidRPr="00DA52C9">
              <w:rPr>
                <w:rFonts w:ascii="標楷體" w:eastAsia="標楷體" w:hint="eastAsia"/>
                <w:color w:val="000000" w:themeColor="text1"/>
              </w:rPr>
              <w:t>一、現金：於次一營業日直接匯入借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人指定之銀行帳戶。</w:t>
            </w:r>
          </w:p>
          <w:p w:rsidR="00921C15" w:rsidRPr="00DA52C9" w:rsidRDefault="00921C15" w:rsidP="00D011B8">
            <w:pPr>
              <w:kinsoku w:val="0"/>
              <w:overflowPunct w:val="0"/>
              <w:spacing w:line="380" w:lineRule="exact"/>
              <w:jc w:val="both"/>
              <w:rPr>
                <w:rFonts w:ascii="標楷體" w:eastAsia="標楷體"/>
                <w:color w:val="000000" w:themeColor="text1"/>
              </w:rPr>
            </w:pPr>
            <w:r w:rsidRPr="00DA52C9">
              <w:rPr>
                <w:rFonts w:ascii="標楷體" w:eastAsia="標楷體" w:hint="eastAsia"/>
                <w:color w:val="000000" w:themeColor="text1"/>
              </w:rPr>
              <w:t xml:space="preserve">  </w:t>
            </w:r>
          </w:p>
          <w:p w:rsidR="00DA1FEA" w:rsidRPr="00DA52C9" w:rsidRDefault="00921C15" w:rsidP="00DA1FEA">
            <w:pPr>
              <w:kinsoku w:val="0"/>
              <w:overflowPunct w:val="0"/>
              <w:spacing w:line="380" w:lineRule="exact"/>
              <w:ind w:left="473" w:hangingChars="197" w:hanging="473"/>
              <w:jc w:val="both"/>
              <w:rPr>
                <w:rFonts w:ascii="標楷體" w:eastAsia="標楷體"/>
                <w:color w:val="000000" w:themeColor="text1"/>
              </w:rPr>
            </w:pPr>
            <w:r w:rsidRPr="00DA52C9">
              <w:rPr>
                <w:rFonts w:ascii="標楷體" w:eastAsia="標楷體" w:hint="eastAsia"/>
                <w:color w:val="000000" w:themeColor="text1"/>
              </w:rPr>
              <w:t>二、擔保證券：通知證券</w:t>
            </w:r>
            <w:r w:rsidRPr="00DA52C9">
              <w:rPr>
                <w:rFonts w:ascii="標楷體" w:eastAsia="標楷體" w:hint="eastAsia"/>
                <w:color w:val="000000" w:themeColor="text1"/>
              </w:rPr>
              <w:lastRenderedPageBreak/>
              <w:t>集保事業自本公司借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擔保證券保管帳戶，將擔保證券撥還借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w:t>
            </w:r>
          </w:p>
          <w:p w:rsidR="00DA1FEA" w:rsidRPr="00DA52C9" w:rsidRDefault="00921C15" w:rsidP="00DA1FEA">
            <w:pPr>
              <w:kinsoku w:val="0"/>
              <w:overflowPunct w:val="0"/>
              <w:spacing w:line="380" w:lineRule="exact"/>
              <w:ind w:leftChars="20" w:left="473" w:hangingChars="177" w:hanging="425"/>
              <w:jc w:val="both"/>
              <w:rPr>
                <w:rFonts w:ascii="細明體" w:eastAsia="細明體" w:hAnsi="細明體" w:cs="細明體"/>
                <w:color w:val="000000" w:themeColor="text1"/>
                <w:kern w:val="0"/>
                <w:szCs w:val="24"/>
              </w:rPr>
            </w:pPr>
            <w:r w:rsidRPr="00DA52C9">
              <w:rPr>
                <w:rFonts w:ascii="標楷體" w:eastAsia="標楷體" w:hint="eastAsia"/>
                <w:color w:val="000000" w:themeColor="text1"/>
              </w:rPr>
              <w:t>三、銀行保證：於次一營業日將保證文件正本退還借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r w:rsidRPr="00DA52C9">
              <w:rPr>
                <w:rFonts w:ascii="細明體" w:eastAsia="細明體" w:hAnsi="細明體" w:cs="細明體" w:hint="eastAsia"/>
                <w:color w:val="000000" w:themeColor="text1"/>
                <w:kern w:val="0"/>
                <w:szCs w:val="24"/>
              </w:rPr>
              <w:t>。</w:t>
            </w:r>
          </w:p>
          <w:p w:rsidR="00DA1FEA" w:rsidRPr="00DA52C9" w:rsidRDefault="00921C15" w:rsidP="00DA1FEA">
            <w:pPr>
              <w:kinsoku w:val="0"/>
              <w:overflowPunct w:val="0"/>
              <w:spacing w:line="380" w:lineRule="exact"/>
              <w:ind w:leftChars="20" w:left="473" w:hangingChars="177" w:hanging="425"/>
              <w:jc w:val="both"/>
              <w:rPr>
                <w:rFonts w:ascii="標楷體" w:eastAsia="標楷體"/>
                <w:color w:val="000000" w:themeColor="text1"/>
              </w:rPr>
            </w:pPr>
            <w:r w:rsidRPr="00DA52C9">
              <w:rPr>
                <w:rFonts w:ascii="標楷體" w:eastAsia="標楷體" w:hint="eastAsia"/>
                <w:color w:val="000000" w:themeColor="text1"/>
              </w:rPr>
              <w:t>四、中央登錄公債：</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設定質權方式提供擔保者，於</w:t>
            </w:r>
            <w:proofErr w:type="gramStart"/>
            <w:r w:rsidRPr="00DA52C9">
              <w:rPr>
                <w:rFonts w:ascii="標楷體" w:eastAsia="標楷體" w:hint="eastAsia"/>
                <w:color w:val="000000" w:themeColor="text1"/>
              </w:rPr>
              <w:t>當日塗銷質</w:t>
            </w:r>
            <w:proofErr w:type="gramEnd"/>
            <w:r w:rsidRPr="00DA52C9">
              <w:rPr>
                <w:rFonts w:ascii="標楷體" w:eastAsia="標楷體" w:hint="eastAsia"/>
                <w:color w:val="000000" w:themeColor="text1"/>
              </w:rPr>
              <w:t>權設定登記。其</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移轉所有權之讓與擔保方式者，即通知清算銀行辦理再轉讓登記予借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p>
          <w:p w:rsidR="00921C15" w:rsidRPr="00DA52C9" w:rsidRDefault="00921C15" w:rsidP="00D011B8">
            <w:pPr>
              <w:kinsoku w:val="0"/>
              <w:overflowPunct w:val="0"/>
              <w:spacing w:line="380" w:lineRule="exact"/>
              <w:ind w:firstLineChars="200" w:firstLine="480"/>
              <w:jc w:val="both"/>
              <w:rPr>
                <w:rFonts w:ascii="標楷體" w:eastAsia="標楷體"/>
                <w:color w:val="000000" w:themeColor="text1"/>
              </w:rPr>
            </w:pPr>
          </w:p>
        </w:tc>
        <w:tc>
          <w:tcPr>
            <w:tcW w:w="2788" w:type="dxa"/>
          </w:tcPr>
          <w:p w:rsidR="00DA1FEA" w:rsidRPr="00DA52C9" w:rsidRDefault="00CD61BC" w:rsidP="004B13C7">
            <w:pPr>
              <w:jc w:val="both"/>
              <w:rPr>
                <w:rFonts w:ascii="標楷體" w:eastAsia="標楷體"/>
                <w:color w:val="000000" w:themeColor="text1"/>
                <w:sz w:val="20"/>
                <w:szCs w:val="20"/>
              </w:rPr>
            </w:pPr>
            <w:r w:rsidRPr="00DA52C9">
              <w:rPr>
                <w:rFonts w:ascii="標楷體" w:eastAsia="標楷體" w:hint="eastAsia"/>
                <w:color w:val="000000" w:themeColor="text1"/>
              </w:rPr>
              <w:lastRenderedPageBreak/>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w:t>
            </w:r>
            <w:r w:rsidR="00A704F7" w:rsidRPr="00DA52C9">
              <w:rPr>
                <w:rFonts w:ascii="標楷體" w:eastAsia="標楷體" w:hint="eastAsia"/>
                <w:color w:val="000000" w:themeColor="text1"/>
              </w:rPr>
              <w:t>章</w:t>
            </w:r>
            <w:r w:rsidR="00921C15" w:rsidRPr="00DA52C9">
              <w:rPr>
                <w:rFonts w:ascii="標楷體" w:eastAsia="標楷體" w:hint="eastAsia"/>
                <w:color w:val="000000" w:themeColor="text1"/>
              </w:rPr>
              <w:t>，第一款修正納入</w:t>
            </w:r>
            <w:r w:rsidR="00941CF8">
              <w:rPr>
                <w:rFonts w:ascii="標楷體" w:eastAsia="標楷體" w:hint="eastAsia"/>
                <w:color w:val="000000" w:themeColor="text1"/>
              </w:rPr>
              <w:t>104年3月17日</w:t>
            </w:r>
            <w:proofErr w:type="gramStart"/>
            <w:r w:rsidR="00921C15" w:rsidRPr="00DA52C9">
              <w:rPr>
                <w:rFonts w:ascii="標楷體" w:eastAsia="標楷體" w:hint="eastAsia"/>
                <w:color w:val="000000" w:themeColor="text1"/>
              </w:rPr>
              <w:t>臺證交字第1040201420號</w:t>
            </w:r>
            <w:proofErr w:type="gramEnd"/>
            <w:r w:rsidR="00921C15" w:rsidRPr="00DA52C9">
              <w:rPr>
                <w:rFonts w:ascii="標楷體" w:eastAsia="標楷體" w:hint="eastAsia"/>
                <w:color w:val="000000" w:themeColor="text1"/>
              </w:rPr>
              <w:t>函有關外幣擔保品</w:t>
            </w:r>
            <w:r w:rsidR="00921C15" w:rsidRPr="00DA52C9">
              <w:rPr>
                <w:rFonts w:ascii="標楷體" w:eastAsia="標楷體"/>
                <w:color w:val="000000" w:themeColor="text1"/>
              </w:rPr>
              <w:t>領回及</w:t>
            </w:r>
            <w:proofErr w:type="gramStart"/>
            <w:r w:rsidR="00921C15" w:rsidRPr="00DA52C9">
              <w:rPr>
                <w:rFonts w:ascii="標楷體" w:eastAsia="標楷體"/>
                <w:color w:val="000000" w:themeColor="text1"/>
              </w:rPr>
              <w:t>匯</w:t>
            </w:r>
            <w:proofErr w:type="gramEnd"/>
            <w:r w:rsidR="00921C15" w:rsidRPr="00DA52C9">
              <w:rPr>
                <w:rFonts w:ascii="標楷體" w:eastAsia="標楷體"/>
                <w:color w:val="000000" w:themeColor="text1"/>
              </w:rPr>
              <w:t>還</w:t>
            </w:r>
            <w:r w:rsidR="00921C15" w:rsidRPr="00DA52C9">
              <w:rPr>
                <w:rFonts w:ascii="標楷體" w:eastAsia="標楷體" w:hint="eastAsia"/>
                <w:color w:val="000000" w:themeColor="text1"/>
              </w:rPr>
              <w:t>之規定</w:t>
            </w:r>
            <w:r w:rsidR="00AD2F8E">
              <w:rPr>
                <w:rFonts w:ascii="標楷體" w:eastAsia="標楷體" w:hint="eastAsia"/>
                <w:color w:val="000000" w:themeColor="text1"/>
              </w:rPr>
              <w:t>，並作文字調整</w:t>
            </w:r>
            <w:r w:rsidR="00921C15" w:rsidRPr="00DA52C9">
              <w:rPr>
                <w:rFonts w:ascii="標楷體" w:eastAsia="標楷體" w:hint="eastAsia"/>
                <w:color w:val="000000" w:themeColor="text1"/>
              </w:rPr>
              <w:t>。</w:t>
            </w:r>
          </w:p>
        </w:tc>
      </w:tr>
      <w:tr w:rsidR="00817863" w:rsidRPr="00DA52C9" w:rsidTr="00CA3C91">
        <w:tc>
          <w:tcPr>
            <w:tcW w:w="2788" w:type="dxa"/>
          </w:tcPr>
          <w:p w:rsidR="00817863" w:rsidRDefault="00817863" w:rsidP="00D011B8">
            <w:pPr>
              <w:kinsoku w:val="0"/>
              <w:overflowPunct w:val="0"/>
              <w:spacing w:line="380" w:lineRule="exact"/>
              <w:ind w:left="240" w:hanging="240"/>
              <w:jc w:val="both"/>
              <w:rPr>
                <w:rFonts w:ascii="標楷體" w:eastAsia="標楷體"/>
                <w:color w:val="000000" w:themeColor="text1"/>
              </w:rPr>
            </w:pPr>
            <w:r>
              <w:rPr>
                <w:rFonts w:ascii="標楷體" w:eastAsia="標楷體" w:hint="eastAsia"/>
                <w:color w:val="000000" w:themeColor="text1"/>
              </w:rPr>
              <w:lastRenderedPageBreak/>
              <w:t>第三十三條之三</w:t>
            </w:r>
          </w:p>
          <w:p w:rsidR="00EF0DEB" w:rsidRDefault="00817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sz w:val="20"/>
                <w:szCs w:val="20"/>
              </w:rPr>
            </w:pPr>
            <w:r>
              <w:rPr>
                <w:rFonts w:ascii="標楷體" w:eastAsia="標楷體" w:hint="eastAsia"/>
                <w:color w:val="000000" w:themeColor="text1"/>
              </w:rPr>
              <w:t xml:space="preserve">    </w:t>
            </w:r>
            <w:r w:rsidR="00C514B0" w:rsidRPr="00C514B0">
              <w:rPr>
                <w:rFonts w:ascii="標楷體" w:eastAsia="標楷體" w:hint="eastAsia"/>
                <w:color w:val="000000" w:themeColor="text1"/>
              </w:rPr>
              <w:t>定價、競價交易借</w:t>
            </w:r>
            <w:proofErr w:type="gramStart"/>
            <w:r w:rsidR="00C514B0" w:rsidRPr="00C514B0">
              <w:rPr>
                <w:rFonts w:ascii="標楷體" w:eastAsia="標楷體" w:hint="eastAsia"/>
                <w:color w:val="000000" w:themeColor="text1"/>
              </w:rPr>
              <w:t>券</w:t>
            </w:r>
            <w:proofErr w:type="gramEnd"/>
            <w:r w:rsidR="00C514B0" w:rsidRPr="00C514B0">
              <w:rPr>
                <w:rFonts w:ascii="標楷體" w:eastAsia="標楷體" w:hint="eastAsia"/>
                <w:color w:val="000000" w:themeColor="text1"/>
              </w:rPr>
              <w:t>人提交之擔保品價值超過原始擔保比率者，得申請領回其超過部分擔保品。</w:t>
            </w:r>
          </w:p>
          <w:p w:rsidR="00EF0DEB" w:rsidRPr="005F594B" w:rsidRDefault="00C514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rPr>
            </w:pPr>
            <w:r w:rsidRPr="00C514B0">
              <w:rPr>
                <w:rFonts w:ascii="標楷體" w:eastAsia="標楷體"/>
                <w:color w:val="FF0000"/>
              </w:rPr>
              <w:t xml:space="preserve">    </w:t>
            </w:r>
            <w:r w:rsidR="00BC3B26" w:rsidRPr="00BC3B26">
              <w:rPr>
                <w:rFonts w:ascii="標楷體" w:eastAsia="標楷體" w:hint="eastAsia"/>
                <w:u w:val="single"/>
              </w:rPr>
              <w:t>借</w:t>
            </w:r>
            <w:proofErr w:type="gramStart"/>
            <w:r w:rsidR="00BC3B26" w:rsidRPr="00BC3B26">
              <w:rPr>
                <w:rFonts w:ascii="標楷體" w:eastAsia="標楷體" w:hint="eastAsia"/>
                <w:u w:val="single"/>
              </w:rPr>
              <w:t>券</w:t>
            </w:r>
            <w:proofErr w:type="gramEnd"/>
            <w:r w:rsidR="00BC3B26" w:rsidRPr="00BC3B26">
              <w:rPr>
                <w:rFonts w:ascii="標楷體" w:eastAsia="標楷體" w:hint="eastAsia"/>
                <w:u w:val="single"/>
              </w:rPr>
              <w:t>人申請領回外幣現金擔保品者，以本公司指定銀行前一營業日收盤之買進匯率換算折合新臺幣之抵繳價值，元以下不計。</w:t>
            </w:r>
          </w:p>
          <w:p w:rsidR="00EF0DEB" w:rsidRDefault="00817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r>
              <w:rPr>
                <w:rFonts w:ascii="標楷體" w:eastAsia="標楷體" w:hint="eastAsia"/>
                <w:color w:val="000000" w:themeColor="text1"/>
              </w:rPr>
              <w:t xml:space="preserve">    </w:t>
            </w:r>
            <w:r w:rsidR="00C514B0" w:rsidRPr="00C514B0">
              <w:rPr>
                <w:rFonts w:ascii="標楷體" w:eastAsia="標楷體" w:hint="eastAsia"/>
                <w:color w:val="000000" w:themeColor="text1"/>
              </w:rPr>
              <w:t>借</w:t>
            </w:r>
            <w:proofErr w:type="gramStart"/>
            <w:r w:rsidR="00C514B0" w:rsidRPr="00C514B0">
              <w:rPr>
                <w:rFonts w:ascii="標楷體" w:eastAsia="標楷體" w:hint="eastAsia"/>
                <w:color w:val="000000" w:themeColor="text1"/>
              </w:rPr>
              <w:t>券</w:t>
            </w:r>
            <w:proofErr w:type="gramEnd"/>
            <w:r w:rsidR="00C514B0" w:rsidRPr="00C514B0">
              <w:rPr>
                <w:rFonts w:ascii="標楷體" w:eastAsia="標楷體" w:hint="eastAsia"/>
                <w:color w:val="000000" w:themeColor="text1"/>
              </w:rPr>
              <w:t>人申請領回超額部分擔保品，應委由證券商透過本公司借</w:t>
            </w:r>
            <w:proofErr w:type="gramStart"/>
            <w:r w:rsidR="00C514B0" w:rsidRPr="00C514B0">
              <w:rPr>
                <w:rFonts w:ascii="標楷體" w:eastAsia="標楷體" w:hint="eastAsia"/>
                <w:color w:val="000000" w:themeColor="text1"/>
              </w:rPr>
              <w:t>券</w:t>
            </w:r>
            <w:proofErr w:type="gramEnd"/>
            <w:r w:rsidR="00C514B0" w:rsidRPr="00C514B0">
              <w:rPr>
                <w:rFonts w:ascii="標楷體" w:eastAsia="標楷體" w:hint="eastAsia"/>
                <w:color w:val="000000" w:themeColor="text1"/>
              </w:rPr>
              <w:t>系統為之，本公司接獲申請後，</w:t>
            </w:r>
            <w:proofErr w:type="gramStart"/>
            <w:r w:rsidR="00C514B0" w:rsidRPr="00C514B0">
              <w:rPr>
                <w:rFonts w:ascii="標楷體" w:eastAsia="標楷體" w:hint="eastAsia"/>
                <w:color w:val="000000" w:themeColor="text1"/>
              </w:rPr>
              <w:t>準</w:t>
            </w:r>
            <w:proofErr w:type="gramEnd"/>
            <w:r w:rsidR="00C514B0" w:rsidRPr="00C514B0">
              <w:rPr>
                <w:rFonts w:ascii="標楷體" w:eastAsia="標楷體" w:hint="eastAsia"/>
                <w:color w:val="000000" w:themeColor="text1"/>
              </w:rPr>
              <w:t>用前條規定辦理。</w:t>
            </w:r>
          </w:p>
          <w:p w:rsidR="00817863" w:rsidRPr="008B3AE5" w:rsidRDefault="00817863" w:rsidP="00D011B8">
            <w:pPr>
              <w:kinsoku w:val="0"/>
              <w:overflowPunct w:val="0"/>
              <w:spacing w:line="380" w:lineRule="exact"/>
              <w:ind w:left="240" w:hanging="240"/>
              <w:jc w:val="both"/>
              <w:rPr>
                <w:rFonts w:ascii="標楷體" w:eastAsia="標楷體"/>
                <w:color w:val="000000" w:themeColor="text1"/>
              </w:rPr>
            </w:pPr>
          </w:p>
        </w:tc>
        <w:tc>
          <w:tcPr>
            <w:tcW w:w="2787" w:type="dxa"/>
          </w:tcPr>
          <w:p w:rsidR="00817863" w:rsidRDefault="00817863" w:rsidP="00AC6422">
            <w:pPr>
              <w:kinsoku w:val="0"/>
              <w:overflowPunct w:val="0"/>
              <w:spacing w:line="380" w:lineRule="exact"/>
              <w:ind w:left="240" w:hanging="240"/>
              <w:jc w:val="both"/>
              <w:rPr>
                <w:rFonts w:ascii="標楷體" w:eastAsia="標楷體"/>
                <w:color w:val="000000" w:themeColor="text1"/>
              </w:rPr>
            </w:pPr>
            <w:r>
              <w:rPr>
                <w:rFonts w:ascii="標楷體" w:eastAsia="標楷體" w:hint="eastAsia"/>
                <w:color w:val="000000" w:themeColor="text1"/>
              </w:rPr>
              <w:t>第三十三條之三</w:t>
            </w:r>
          </w:p>
          <w:p w:rsidR="00817863"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r>
              <w:rPr>
                <w:rFonts w:ascii="標楷體" w:eastAsia="標楷體" w:hint="eastAsia"/>
                <w:color w:val="000000" w:themeColor="text1"/>
              </w:rPr>
              <w:t xml:space="preserve">    </w:t>
            </w:r>
            <w:r w:rsidRPr="008B3AE5">
              <w:rPr>
                <w:rFonts w:ascii="標楷體" w:eastAsia="標楷體" w:hint="eastAsia"/>
                <w:color w:val="000000" w:themeColor="text1"/>
              </w:rPr>
              <w:t>定價、競價交易借</w:t>
            </w:r>
            <w:proofErr w:type="gramStart"/>
            <w:r w:rsidRPr="008B3AE5">
              <w:rPr>
                <w:rFonts w:ascii="標楷體" w:eastAsia="標楷體" w:hint="eastAsia"/>
                <w:color w:val="000000" w:themeColor="text1"/>
              </w:rPr>
              <w:t>券</w:t>
            </w:r>
            <w:proofErr w:type="gramEnd"/>
            <w:r w:rsidRPr="008B3AE5">
              <w:rPr>
                <w:rFonts w:ascii="標楷體" w:eastAsia="標楷體" w:hint="eastAsia"/>
                <w:color w:val="000000" w:themeColor="text1"/>
              </w:rPr>
              <w:t>人提交之擔保品價值超過原始擔保比率者，得申請領回其超過部分擔保品。</w:t>
            </w:r>
          </w:p>
          <w:p w:rsidR="00817863" w:rsidRPr="008B3AE5"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p>
          <w:p w:rsidR="00817863"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r>
              <w:rPr>
                <w:rFonts w:ascii="標楷體" w:eastAsia="標楷體" w:hint="eastAsia"/>
                <w:color w:val="000000" w:themeColor="text1"/>
              </w:rPr>
              <w:t xml:space="preserve">    </w:t>
            </w:r>
          </w:p>
          <w:p w:rsidR="00817863"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p>
          <w:p w:rsidR="00817863"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p>
          <w:p w:rsidR="00817863" w:rsidRDefault="00817863" w:rsidP="00AC6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rPr>
                <w:rFonts w:ascii="標楷體" w:eastAsia="標楷體"/>
                <w:color w:val="000000" w:themeColor="text1"/>
              </w:rPr>
            </w:pPr>
          </w:p>
          <w:p w:rsidR="007A08E6" w:rsidRDefault="008178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80" w:lineRule="atLeast"/>
              <w:ind w:firstLineChars="200" w:firstLine="480"/>
              <w:rPr>
                <w:rFonts w:ascii="標楷體" w:eastAsia="標楷體"/>
                <w:color w:val="000000" w:themeColor="text1"/>
              </w:rPr>
            </w:pPr>
            <w:r w:rsidRPr="008B3AE5">
              <w:rPr>
                <w:rFonts w:ascii="標楷體" w:eastAsia="標楷體" w:hint="eastAsia"/>
                <w:color w:val="000000" w:themeColor="text1"/>
              </w:rPr>
              <w:t>借</w:t>
            </w:r>
            <w:proofErr w:type="gramStart"/>
            <w:r w:rsidRPr="008B3AE5">
              <w:rPr>
                <w:rFonts w:ascii="標楷體" w:eastAsia="標楷體" w:hint="eastAsia"/>
                <w:color w:val="000000" w:themeColor="text1"/>
              </w:rPr>
              <w:t>券</w:t>
            </w:r>
            <w:proofErr w:type="gramEnd"/>
            <w:r w:rsidRPr="008B3AE5">
              <w:rPr>
                <w:rFonts w:ascii="標楷體" w:eastAsia="標楷體" w:hint="eastAsia"/>
                <w:color w:val="000000" w:themeColor="text1"/>
              </w:rPr>
              <w:t>人申請領回超額部分擔保品，應委由證券商透過本公司借</w:t>
            </w:r>
            <w:proofErr w:type="gramStart"/>
            <w:r w:rsidRPr="008B3AE5">
              <w:rPr>
                <w:rFonts w:ascii="標楷體" w:eastAsia="標楷體" w:hint="eastAsia"/>
                <w:color w:val="000000" w:themeColor="text1"/>
              </w:rPr>
              <w:t>券</w:t>
            </w:r>
            <w:proofErr w:type="gramEnd"/>
            <w:r w:rsidRPr="008B3AE5">
              <w:rPr>
                <w:rFonts w:ascii="標楷體" w:eastAsia="標楷體" w:hint="eastAsia"/>
                <w:color w:val="000000" w:themeColor="text1"/>
              </w:rPr>
              <w:t>系統為之，本公司接獲申請後，</w:t>
            </w:r>
            <w:proofErr w:type="gramStart"/>
            <w:r w:rsidRPr="008B3AE5">
              <w:rPr>
                <w:rFonts w:ascii="標楷體" w:eastAsia="標楷體" w:hint="eastAsia"/>
                <w:color w:val="000000" w:themeColor="text1"/>
              </w:rPr>
              <w:t>準</w:t>
            </w:r>
            <w:proofErr w:type="gramEnd"/>
            <w:r w:rsidRPr="008B3AE5">
              <w:rPr>
                <w:rFonts w:ascii="標楷體" w:eastAsia="標楷體" w:hint="eastAsia"/>
                <w:color w:val="000000" w:themeColor="text1"/>
              </w:rPr>
              <w:t>用前條規定辦理。</w:t>
            </w:r>
          </w:p>
          <w:p w:rsidR="00817863" w:rsidRPr="00DA52C9" w:rsidRDefault="00817863">
            <w:pPr>
              <w:kinsoku w:val="0"/>
              <w:overflowPunct w:val="0"/>
              <w:spacing w:line="380" w:lineRule="exact"/>
              <w:ind w:left="240" w:hanging="240"/>
              <w:jc w:val="both"/>
              <w:rPr>
                <w:rFonts w:ascii="標楷體" w:eastAsia="標楷體"/>
                <w:color w:val="000000" w:themeColor="text1"/>
              </w:rPr>
            </w:pPr>
          </w:p>
        </w:tc>
        <w:tc>
          <w:tcPr>
            <w:tcW w:w="2788" w:type="dxa"/>
          </w:tcPr>
          <w:p w:rsidR="00817863" w:rsidRPr="00DA52C9" w:rsidRDefault="00817863" w:rsidP="00AC6422">
            <w:pPr>
              <w:kinsoku w:val="0"/>
              <w:overflowPunct w:val="0"/>
              <w:spacing w:line="380" w:lineRule="exact"/>
              <w:jc w:val="both"/>
              <w:rPr>
                <w:rFonts w:eastAsia="標楷體"/>
                <w:color w:val="000000" w:themeColor="text1"/>
                <w:sz w:val="28"/>
              </w:rPr>
            </w:pPr>
            <w:r w:rsidRPr="00DA52C9">
              <w:rPr>
                <w:rFonts w:ascii="標楷體" w:eastAsia="標楷體" w:hint="eastAsia"/>
                <w:color w:val="000000" w:themeColor="text1"/>
              </w:rPr>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規章，增訂第</w:t>
            </w:r>
            <w:r>
              <w:rPr>
                <w:rFonts w:ascii="標楷體" w:eastAsia="標楷體" w:hint="eastAsia"/>
                <w:color w:val="000000" w:themeColor="text1"/>
              </w:rPr>
              <w:t>二</w:t>
            </w:r>
            <w:r w:rsidRPr="00DA52C9">
              <w:rPr>
                <w:rFonts w:ascii="標楷體" w:eastAsia="標楷體" w:hint="eastAsia"/>
                <w:color w:val="000000" w:themeColor="text1"/>
              </w:rPr>
              <w:t>項納入</w:t>
            </w:r>
            <w:r>
              <w:rPr>
                <w:rFonts w:ascii="標楷體" w:eastAsia="標楷體" w:hint="eastAsia"/>
                <w:color w:val="000000" w:themeColor="text1"/>
              </w:rPr>
              <w:t>104年3月17日</w:t>
            </w:r>
            <w:proofErr w:type="gramStart"/>
            <w:r w:rsidRPr="00DA52C9">
              <w:rPr>
                <w:rFonts w:ascii="標楷體" w:eastAsia="標楷體" w:hint="eastAsia"/>
                <w:color w:val="000000" w:themeColor="text1"/>
              </w:rPr>
              <w:t>臺證交字第1040201420號</w:t>
            </w:r>
            <w:proofErr w:type="gramEnd"/>
            <w:r w:rsidRPr="00DA52C9">
              <w:rPr>
                <w:rFonts w:ascii="標楷體" w:eastAsia="標楷體" w:hint="eastAsia"/>
                <w:color w:val="000000" w:themeColor="text1"/>
              </w:rPr>
              <w:t>函</w:t>
            </w:r>
            <w:r>
              <w:rPr>
                <w:rFonts w:ascii="標楷體" w:eastAsia="標楷體" w:hint="eastAsia"/>
                <w:color w:val="000000" w:themeColor="text1"/>
              </w:rPr>
              <w:t>，</w:t>
            </w:r>
            <w:r w:rsidRPr="00DA52C9">
              <w:rPr>
                <w:rFonts w:ascii="標楷體" w:eastAsia="標楷體" w:hint="eastAsia"/>
                <w:color w:val="000000" w:themeColor="text1"/>
              </w:rPr>
              <w:t>有關</w:t>
            </w:r>
            <w:r>
              <w:rPr>
                <w:rFonts w:ascii="標楷體" w:eastAsia="標楷體" w:hint="eastAsia"/>
                <w:color w:val="000000" w:themeColor="text1"/>
              </w:rPr>
              <w:t>領回超過原始擔保比率部分之</w:t>
            </w:r>
            <w:r w:rsidRPr="00DA52C9">
              <w:rPr>
                <w:rFonts w:ascii="標楷體" w:eastAsia="標楷體" w:hint="eastAsia"/>
                <w:color w:val="000000" w:themeColor="text1"/>
              </w:rPr>
              <w:t>外幣</w:t>
            </w:r>
            <w:proofErr w:type="gramStart"/>
            <w:r w:rsidRPr="00DA52C9">
              <w:rPr>
                <w:rFonts w:ascii="標楷體" w:eastAsia="標楷體" w:hint="eastAsia"/>
                <w:color w:val="000000" w:themeColor="text1"/>
              </w:rPr>
              <w:t>擔保品抵繳</w:t>
            </w:r>
            <w:proofErr w:type="gramEnd"/>
            <w:r w:rsidRPr="00DA52C9">
              <w:rPr>
                <w:rFonts w:ascii="標楷體" w:eastAsia="標楷體" w:hint="eastAsia"/>
                <w:color w:val="000000" w:themeColor="text1"/>
              </w:rPr>
              <w:t>價值計算之規定，並配合調整項次。</w:t>
            </w:r>
          </w:p>
          <w:p w:rsidR="00817863" w:rsidRPr="00DA52C9" w:rsidRDefault="00817863" w:rsidP="00572B80">
            <w:pPr>
              <w:jc w:val="both"/>
              <w:rPr>
                <w:rFonts w:ascii="標楷體" w:eastAsia="標楷體"/>
                <w:color w:val="000000" w:themeColor="text1"/>
              </w:rPr>
            </w:pPr>
          </w:p>
        </w:tc>
      </w:tr>
      <w:tr w:rsidR="00817863" w:rsidRPr="00DA52C9" w:rsidTr="00CA3C91">
        <w:tc>
          <w:tcPr>
            <w:tcW w:w="2788" w:type="dxa"/>
          </w:tcPr>
          <w:p w:rsidR="00817863" w:rsidRPr="00DA52C9" w:rsidRDefault="00817863" w:rsidP="00D011B8">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第三十六條</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both"/>
              <w:rPr>
                <w:rFonts w:ascii="細明體" w:eastAsia="細明體" w:hAnsi="細明體" w:cs="細明體"/>
                <w:color w:val="000000" w:themeColor="text1"/>
                <w:kern w:val="0"/>
                <w:szCs w:val="24"/>
              </w:rPr>
            </w:pPr>
            <w:r w:rsidRPr="00DA52C9">
              <w:rPr>
                <w:rFonts w:ascii="細明體" w:eastAsia="細明體" w:hAnsi="細明體" w:cs="細明體" w:hint="eastAsia"/>
                <w:color w:val="000000" w:themeColor="text1"/>
                <w:kern w:val="0"/>
                <w:szCs w:val="24"/>
              </w:rPr>
              <w:t xml:space="preserve">    </w:t>
            </w:r>
            <w:r w:rsidRPr="00DA52C9">
              <w:rPr>
                <w:rFonts w:ascii="標楷體" w:eastAsia="標楷體" w:hint="eastAsia"/>
                <w:color w:val="000000" w:themeColor="text1"/>
              </w:rPr>
              <w:t>定價、競價交易之出借人因出借標的證券而未取得之股息、紅利或其他利益等，借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人應經由證券商透過本公司借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系統，依下列方式償還出借人：</w:t>
            </w:r>
          </w:p>
          <w:p w:rsidR="00817863" w:rsidRPr="00DA52C9" w:rsidRDefault="00817863" w:rsidP="00D011B8">
            <w:pPr>
              <w:kinsoku w:val="0"/>
              <w:overflowPunct w:val="0"/>
              <w:spacing w:line="380" w:lineRule="exact"/>
              <w:jc w:val="both"/>
              <w:rPr>
                <w:rFonts w:ascii="標楷體" w:eastAsia="標楷體"/>
                <w:color w:val="000000" w:themeColor="text1"/>
                <w:sz w:val="20"/>
                <w:szCs w:val="20"/>
              </w:rPr>
            </w:pPr>
            <w:r w:rsidRPr="00DA52C9">
              <w:rPr>
                <w:rFonts w:ascii="標楷體" w:eastAsia="標楷體" w:hint="eastAsia"/>
                <w:color w:val="000000" w:themeColor="text1"/>
              </w:rPr>
              <w:t>一、現金權益</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sz w:val="20"/>
                <w:szCs w:val="20"/>
              </w:rPr>
            </w:pPr>
            <w:r w:rsidRPr="00DA52C9">
              <w:rPr>
                <w:rFonts w:ascii="標楷體" w:eastAsia="標楷體" w:hint="eastAsia"/>
                <w:color w:val="000000" w:themeColor="text1"/>
              </w:rPr>
              <w:t>（一）本公司於發放日之五個營業日前經由證券商通知借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sz w:val="20"/>
                <w:szCs w:val="20"/>
              </w:rPr>
            </w:pPr>
            <w:r w:rsidRPr="00DA52C9">
              <w:rPr>
                <w:rFonts w:ascii="標楷體" w:eastAsia="標楷體" w:hint="eastAsia"/>
                <w:color w:val="000000" w:themeColor="text1"/>
              </w:rPr>
              <w:t>（二）借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人於發放當日經由證券商將現金存入本公司指定銀行帳戶，並由證券商將權益返還明細輸入本公司借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系統，本公司確認無誤後，於當日或次一營業日經由證券商轉付給出借人。</w:t>
            </w:r>
            <w:proofErr w:type="gramStart"/>
            <w:r w:rsidR="00BC3B26" w:rsidRPr="00BC3B26">
              <w:rPr>
                <w:rFonts w:ascii="標楷體" w:eastAsia="標楷體" w:hint="eastAsia"/>
                <w:u w:val="single"/>
              </w:rPr>
              <w:t>惟</w:t>
            </w:r>
            <w:proofErr w:type="gramEnd"/>
            <w:r w:rsidR="00BC3B26" w:rsidRPr="00BC3B26">
              <w:rPr>
                <w:rFonts w:ascii="標楷體" w:eastAsia="標楷體" w:hint="eastAsia"/>
                <w:u w:val="single"/>
              </w:rPr>
              <w:t>發放日如遇天然災害致證券市場休市時，順延至恢復交易當日或次一營業日辦理。</w:t>
            </w:r>
          </w:p>
          <w:p w:rsidR="00817863" w:rsidRPr="00DA52C9" w:rsidRDefault="00817863" w:rsidP="00D011B8">
            <w:pPr>
              <w:kinsoku w:val="0"/>
              <w:overflowPunct w:val="0"/>
              <w:spacing w:line="380" w:lineRule="exact"/>
              <w:jc w:val="both"/>
              <w:rPr>
                <w:rFonts w:ascii="標楷體" w:eastAsia="標楷體"/>
                <w:color w:val="000000" w:themeColor="text1"/>
              </w:rPr>
            </w:pPr>
            <w:r w:rsidRPr="00DA52C9">
              <w:rPr>
                <w:rFonts w:ascii="標楷體" w:eastAsia="標楷體" w:hint="eastAsia"/>
                <w:color w:val="000000" w:themeColor="text1"/>
              </w:rPr>
              <w:t>二、有價證券權益</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（一）本公司於最後過戶日後經由證券商通知出借人，出借人於本公司通知日起三個營業日內，將其選擇以有價證券或等值現金歸還之訊息輸入本公司借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系統者，本公司經由證券商通知借</w:t>
            </w:r>
            <w:proofErr w:type="gramStart"/>
            <w:r w:rsidRPr="00DA52C9">
              <w:rPr>
                <w:rFonts w:ascii="標楷體" w:eastAsia="標楷體" w:hint="eastAsia"/>
                <w:color w:val="000000" w:themeColor="text1"/>
              </w:rPr>
              <w:lastRenderedPageBreak/>
              <w:t>券</w:t>
            </w:r>
            <w:proofErr w:type="gramEnd"/>
            <w:r w:rsidRPr="00DA52C9">
              <w:rPr>
                <w:rFonts w:ascii="標楷體" w:eastAsia="標楷體" w:hint="eastAsia"/>
                <w:color w:val="000000" w:themeColor="text1"/>
              </w:rPr>
              <w:t>人；另於發放日之三個營業日前經由證券商通知借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人。出借人若逾期未輸入其選擇訊息，本公司即歸還有價證券。</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（二）借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人歸還有價證券必須在發放日起三個營業日內，經由證券商透過本公司借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系統轉知證券集保事業，自借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人之證券集保帳戶中撥付給出借人；若歸還等值之現金，則應以除權參考價計算金額，於發放日依現金權益處理方式歸還。</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432" w:hangingChars="180" w:hanging="432"/>
              <w:jc w:val="both"/>
              <w:rPr>
                <w:rFonts w:ascii="標楷體" w:eastAsia="標楷體"/>
                <w:color w:val="000000" w:themeColor="text1"/>
              </w:rPr>
            </w:pPr>
            <w:r w:rsidRPr="00DA52C9">
              <w:rPr>
                <w:rFonts w:ascii="標楷體" w:eastAsia="標楷體" w:hint="eastAsia"/>
                <w:color w:val="000000" w:themeColor="text1"/>
              </w:rPr>
              <w:t>三、新發行有價證券認購權利</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（一）本公司於新發行有價證券認購期限屆滿前五</w:t>
            </w:r>
            <w:proofErr w:type="gramStart"/>
            <w:r w:rsidRPr="00DA52C9">
              <w:rPr>
                <w:rFonts w:ascii="標楷體" w:eastAsia="標楷體" w:hint="eastAsia"/>
                <w:color w:val="000000" w:themeColor="text1"/>
              </w:rPr>
              <w:t>個</w:t>
            </w:r>
            <w:proofErr w:type="gramEnd"/>
            <w:r w:rsidRPr="00DA52C9">
              <w:rPr>
                <w:rFonts w:ascii="標楷體" w:eastAsia="標楷體" w:hint="eastAsia"/>
                <w:color w:val="000000" w:themeColor="text1"/>
              </w:rPr>
              <w:t>營業日，經由證券商通知出借人，出借人應於認購期限屆滿前三</w:t>
            </w:r>
            <w:proofErr w:type="gramStart"/>
            <w:r w:rsidRPr="00DA52C9">
              <w:rPr>
                <w:rFonts w:ascii="標楷體" w:eastAsia="標楷體" w:hint="eastAsia"/>
                <w:color w:val="000000" w:themeColor="text1"/>
              </w:rPr>
              <w:t>個</w:t>
            </w:r>
            <w:proofErr w:type="gramEnd"/>
            <w:r w:rsidRPr="00DA52C9">
              <w:rPr>
                <w:rFonts w:ascii="標楷體" w:eastAsia="標楷體" w:hint="eastAsia"/>
                <w:color w:val="000000" w:themeColor="text1"/>
              </w:rPr>
              <w:t>營業日經由證券商向本公司表示認購意思，並將價款經由證券商存入本公司指定銀行帳戶，由本公司借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系統透過證券商轉交借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人代為認購或於市場補回。</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細明體" w:eastAsia="細明體" w:hAnsi="細明體" w:cs="細明體" w:hint="eastAsia"/>
                <w:color w:val="000000" w:themeColor="text1"/>
                <w:kern w:val="0"/>
                <w:szCs w:val="24"/>
              </w:rPr>
              <w:t>（</w:t>
            </w:r>
            <w:r w:rsidRPr="00DA52C9">
              <w:rPr>
                <w:rFonts w:ascii="標楷體" w:eastAsia="標楷體" w:hint="eastAsia"/>
                <w:color w:val="000000" w:themeColor="text1"/>
              </w:rPr>
              <w:t>二）本公司於新發行有價證券發放日之三</w:t>
            </w:r>
            <w:r w:rsidRPr="00DA52C9">
              <w:rPr>
                <w:rFonts w:ascii="標楷體" w:eastAsia="標楷體" w:hint="eastAsia"/>
                <w:color w:val="000000" w:themeColor="text1"/>
              </w:rPr>
              <w:lastRenderedPageBreak/>
              <w:t>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人必須在發放日起三個營業日內，經由證券商透過本公司借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系統轉知證券集保事業，自借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人之證券集保帳戶中撥付出借人。</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sz w:val="20"/>
                <w:szCs w:val="20"/>
              </w:rPr>
            </w:pPr>
            <w:r w:rsidRPr="00DA52C9">
              <w:rPr>
                <w:rFonts w:ascii="標楷體" w:eastAsia="標楷體" w:hint="eastAsia"/>
                <w:color w:val="000000" w:themeColor="text1"/>
              </w:rPr>
              <w:t>（三）若出借人逾期或未表示認購意思，或表明認購意思後未於規定期限內繳交認購價款，即視同放棄新股認購權利。</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w:t>
            </w:r>
            <w:r>
              <w:rPr>
                <w:rFonts w:ascii="標楷體" w:eastAsia="標楷體" w:hint="eastAsia"/>
                <w:color w:val="000000" w:themeColor="text1"/>
              </w:rPr>
              <w:t>以下</w:t>
            </w:r>
            <w:r w:rsidRPr="00DA52C9">
              <w:rPr>
                <w:rFonts w:ascii="標楷體" w:eastAsia="標楷體" w:hint="eastAsia"/>
                <w:color w:val="000000" w:themeColor="text1"/>
              </w:rPr>
              <w:t>略)</w:t>
            </w:r>
          </w:p>
          <w:p w:rsidR="00817863" w:rsidRPr="00DA52C9" w:rsidRDefault="00817863" w:rsidP="00D011B8">
            <w:pPr>
              <w:kinsoku w:val="0"/>
              <w:overflowPunct w:val="0"/>
              <w:spacing w:line="380" w:lineRule="exact"/>
              <w:ind w:firstLineChars="200" w:firstLine="480"/>
              <w:jc w:val="both"/>
              <w:rPr>
                <w:rFonts w:ascii="標楷體" w:eastAsia="標楷體"/>
                <w:color w:val="000000" w:themeColor="text1"/>
              </w:rPr>
            </w:pPr>
          </w:p>
        </w:tc>
        <w:tc>
          <w:tcPr>
            <w:tcW w:w="2787" w:type="dxa"/>
          </w:tcPr>
          <w:p w:rsidR="00817863" w:rsidRPr="00DA52C9" w:rsidRDefault="00817863">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第三十六條</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jc w:val="both"/>
              <w:rPr>
                <w:rFonts w:ascii="細明體" w:eastAsia="細明體" w:hAnsi="細明體" w:cs="細明體"/>
                <w:color w:val="000000" w:themeColor="text1"/>
                <w:kern w:val="0"/>
                <w:szCs w:val="24"/>
              </w:rPr>
            </w:pPr>
            <w:r w:rsidRPr="00DA52C9">
              <w:rPr>
                <w:rFonts w:ascii="細明體" w:eastAsia="細明體" w:hAnsi="細明體" w:cs="細明體" w:hint="eastAsia"/>
                <w:color w:val="000000" w:themeColor="text1"/>
                <w:kern w:val="0"/>
                <w:szCs w:val="24"/>
              </w:rPr>
              <w:t xml:space="preserve">    </w:t>
            </w:r>
            <w:r w:rsidRPr="00DA52C9">
              <w:rPr>
                <w:rFonts w:ascii="標楷體" w:eastAsia="標楷體" w:hint="eastAsia"/>
                <w:color w:val="000000" w:themeColor="text1"/>
              </w:rPr>
              <w:t>定價、競價交易之出借人因出借標的證券而未取得之股息、紅利或其他利益等，借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人應經由證券商透過本公司借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系統，依下列方式償還出借人：</w:t>
            </w:r>
          </w:p>
          <w:p w:rsidR="00817863" w:rsidRPr="00DA52C9" w:rsidRDefault="00817863" w:rsidP="00D011B8">
            <w:pPr>
              <w:kinsoku w:val="0"/>
              <w:overflowPunct w:val="0"/>
              <w:spacing w:line="380" w:lineRule="exact"/>
              <w:jc w:val="both"/>
              <w:rPr>
                <w:rFonts w:ascii="標楷體" w:eastAsia="標楷體"/>
                <w:color w:val="000000" w:themeColor="text1"/>
              </w:rPr>
            </w:pPr>
            <w:r w:rsidRPr="00DA52C9">
              <w:rPr>
                <w:rFonts w:ascii="標楷體" w:eastAsia="標楷體" w:hint="eastAsia"/>
                <w:color w:val="000000" w:themeColor="text1"/>
              </w:rPr>
              <w:t>一、現金權益</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（一）本公司於發放日之五個營業日前經由證券商通知借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（二）借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人於發放當日經由證券商將現金存入本公司指定銀行帳戶，並由證券商將權益返還明細輸入本公司借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系統，本公司確認無誤後，於當日或次一營業日經由證券商轉付給出借人。</w:t>
            </w:r>
          </w:p>
          <w:p w:rsidR="00817863" w:rsidRPr="00DA52C9" w:rsidRDefault="00817863" w:rsidP="00D011B8">
            <w:pPr>
              <w:kinsoku w:val="0"/>
              <w:overflowPunct w:val="0"/>
              <w:spacing w:line="380" w:lineRule="exact"/>
              <w:jc w:val="both"/>
              <w:rPr>
                <w:rFonts w:ascii="標楷體" w:eastAsia="標楷體"/>
                <w:color w:val="000000" w:themeColor="text1"/>
              </w:rPr>
            </w:pPr>
            <w:r w:rsidRPr="00DA52C9">
              <w:rPr>
                <w:rFonts w:ascii="標楷體" w:eastAsia="標楷體" w:hint="eastAsia"/>
                <w:color w:val="000000" w:themeColor="text1"/>
              </w:rPr>
              <w:t>二、有價證券權益</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（一）本公司於最後過戶日後經由證券商通知出借人，出借人於本公司通知日起三個營業日內，將其選擇以有價證券或等值現金歸還之訊息輸入本公司借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系統者，本公司經由證券商通知借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人；另於發放日之三個營業日前經由證券商通知借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人。出借人若逾期未輸入其選擇訊</w:t>
            </w:r>
            <w:r w:rsidRPr="00DA52C9">
              <w:rPr>
                <w:rFonts w:ascii="標楷體" w:eastAsia="標楷體" w:hint="eastAsia"/>
                <w:color w:val="000000" w:themeColor="text1"/>
              </w:rPr>
              <w:lastRenderedPageBreak/>
              <w:t>息，本公司即歸還有價證券。</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（二）借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人歸還有價證券必須在發放日起三個營業日內，經由證券商透過本公司借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系統轉知證券集保事業，自借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人之證券集保帳戶中撥付給出借人；若歸還等值之現金，則應以除權參考價計算金額，於發放日依現金權益處理方式歸還。</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432" w:hangingChars="180" w:hanging="432"/>
              <w:jc w:val="both"/>
              <w:rPr>
                <w:rFonts w:ascii="標楷體" w:eastAsia="標楷體"/>
                <w:color w:val="000000" w:themeColor="text1"/>
              </w:rPr>
            </w:pPr>
            <w:r w:rsidRPr="00DA52C9">
              <w:rPr>
                <w:rFonts w:ascii="標楷體" w:eastAsia="標楷體" w:hint="eastAsia"/>
                <w:color w:val="000000" w:themeColor="text1"/>
              </w:rPr>
              <w:t>三、新發行有價證券認購權利</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（一）本公司於新發行有價證券認購期限屆滿前五</w:t>
            </w:r>
            <w:proofErr w:type="gramStart"/>
            <w:r w:rsidRPr="00DA52C9">
              <w:rPr>
                <w:rFonts w:ascii="標楷體" w:eastAsia="標楷體" w:hint="eastAsia"/>
                <w:color w:val="000000" w:themeColor="text1"/>
              </w:rPr>
              <w:t>個</w:t>
            </w:r>
            <w:proofErr w:type="gramEnd"/>
            <w:r w:rsidRPr="00DA52C9">
              <w:rPr>
                <w:rFonts w:ascii="標楷體" w:eastAsia="標楷體" w:hint="eastAsia"/>
                <w:color w:val="000000" w:themeColor="text1"/>
              </w:rPr>
              <w:t>營業日，經由證券商通知出借人，出借人應於認購期限屆滿前三</w:t>
            </w:r>
            <w:proofErr w:type="gramStart"/>
            <w:r w:rsidRPr="00DA52C9">
              <w:rPr>
                <w:rFonts w:ascii="標楷體" w:eastAsia="標楷體" w:hint="eastAsia"/>
                <w:color w:val="000000" w:themeColor="text1"/>
              </w:rPr>
              <w:t>個</w:t>
            </w:r>
            <w:proofErr w:type="gramEnd"/>
            <w:r w:rsidRPr="00DA52C9">
              <w:rPr>
                <w:rFonts w:ascii="標楷體" w:eastAsia="標楷體" w:hint="eastAsia"/>
                <w:color w:val="000000" w:themeColor="text1"/>
              </w:rPr>
              <w:t>營業日經由證券商向本公司表示認購意思，並將價款經由證券商存入本公司指定銀行帳戶，由本公司借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系統透過證券商轉交借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人代為認購或於市場補回。</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細明體" w:eastAsia="細明體" w:hAnsi="細明體" w:cs="細明體" w:hint="eastAsia"/>
                <w:color w:val="000000" w:themeColor="text1"/>
                <w:kern w:val="0"/>
                <w:szCs w:val="24"/>
              </w:rPr>
              <w:t>（</w:t>
            </w:r>
            <w:r w:rsidRPr="00DA52C9">
              <w:rPr>
                <w:rFonts w:ascii="標楷體" w:eastAsia="標楷體" w:hint="eastAsia"/>
                <w:color w:val="000000" w:themeColor="text1"/>
              </w:rPr>
              <w:t>二）本公司於新發行有價證券發放日之三個營業日前經由證券商通知借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人必須在發放日起三個營業日內，經由證券商透</w:t>
            </w:r>
            <w:r w:rsidRPr="00DA52C9">
              <w:rPr>
                <w:rFonts w:ascii="標楷體" w:eastAsia="標楷體" w:hint="eastAsia"/>
                <w:color w:val="000000" w:themeColor="text1"/>
              </w:rPr>
              <w:lastRenderedPageBreak/>
              <w:t>過本公司借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系統轉知證券集保事業，自借</w:t>
            </w:r>
            <w:proofErr w:type="gramStart"/>
            <w:r w:rsidRPr="00DA52C9">
              <w:rPr>
                <w:rFonts w:ascii="標楷體" w:eastAsia="標楷體" w:hint="eastAsia"/>
                <w:color w:val="000000" w:themeColor="text1"/>
              </w:rPr>
              <w:t>券</w:t>
            </w:r>
            <w:proofErr w:type="gramEnd"/>
            <w:r w:rsidRPr="00DA52C9">
              <w:rPr>
                <w:rFonts w:ascii="標楷體" w:eastAsia="標楷體" w:hint="eastAsia"/>
                <w:color w:val="000000" w:themeColor="text1"/>
              </w:rPr>
              <w:t>人之證券集保帳戶中撥付出借人。</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（三）若出借人逾期或未表示認購意思，或表明認購意思後未於規定期限內繳交認購價款，即視同放棄新股認購權利。</w:t>
            </w:r>
          </w:p>
          <w:p w:rsidR="00817863" w:rsidRPr="00DA52C9" w:rsidRDefault="00817863" w:rsidP="00DA1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ind w:left="600" w:hangingChars="250" w:hanging="600"/>
              <w:jc w:val="both"/>
              <w:rPr>
                <w:rFonts w:ascii="標楷體" w:eastAsia="標楷體"/>
                <w:color w:val="000000" w:themeColor="text1"/>
              </w:rPr>
            </w:pPr>
            <w:r w:rsidRPr="00DA52C9">
              <w:rPr>
                <w:rFonts w:ascii="標楷體" w:eastAsia="標楷體" w:hint="eastAsia"/>
                <w:color w:val="000000" w:themeColor="text1"/>
              </w:rPr>
              <w:t>(</w:t>
            </w:r>
            <w:r>
              <w:rPr>
                <w:rFonts w:ascii="標楷體" w:eastAsia="標楷體" w:hint="eastAsia"/>
                <w:color w:val="000000" w:themeColor="text1"/>
              </w:rPr>
              <w:t>以下</w:t>
            </w:r>
            <w:r w:rsidRPr="00DA52C9">
              <w:rPr>
                <w:rFonts w:ascii="標楷體" w:eastAsia="標楷體" w:hint="eastAsia"/>
                <w:color w:val="000000" w:themeColor="text1"/>
              </w:rPr>
              <w:t>略)</w:t>
            </w:r>
          </w:p>
          <w:p w:rsidR="00817863" w:rsidRPr="00DA52C9" w:rsidRDefault="00817863" w:rsidP="00D011B8">
            <w:pPr>
              <w:kinsoku w:val="0"/>
              <w:overflowPunct w:val="0"/>
              <w:spacing w:line="380" w:lineRule="exact"/>
              <w:ind w:left="240" w:hanging="240"/>
              <w:jc w:val="both"/>
              <w:rPr>
                <w:rFonts w:ascii="標楷體" w:eastAsia="標楷體"/>
                <w:color w:val="000000" w:themeColor="text1"/>
              </w:rPr>
            </w:pPr>
          </w:p>
        </w:tc>
        <w:tc>
          <w:tcPr>
            <w:tcW w:w="2788" w:type="dxa"/>
          </w:tcPr>
          <w:p w:rsidR="00817863" w:rsidRPr="00DA52C9" w:rsidRDefault="00817863" w:rsidP="00572B80">
            <w:pPr>
              <w:jc w:val="both"/>
              <w:rPr>
                <w:rFonts w:ascii="標楷體" w:eastAsia="標楷體"/>
                <w:color w:val="000000" w:themeColor="text1"/>
                <w:sz w:val="20"/>
                <w:szCs w:val="20"/>
              </w:rPr>
            </w:pPr>
            <w:r w:rsidRPr="00DA52C9">
              <w:rPr>
                <w:rFonts w:ascii="標楷體" w:eastAsia="標楷體" w:hint="eastAsia"/>
                <w:color w:val="000000" w:themeColor="text1"/>
              </w:rPr>
              <w:lastRenderedPageBreak/>
              <w:t>考量現行上市(櫃)公司處理現金股息發放之作業流程，必須於股息發放日之前一營業日進行票據交換，若發生天然災害而停止上班時，票據交換作業則須順延辦理，</w:t>
            </w:r>
            <w:proofErr w:type="gramStart"/>
            <w:r w:rsidRPr="00DA52C9">
              <w:rPr>
                <w:rFonts w:ascii="標楷體" w:eastAsia="標楷體" w:hint="eastAsia"/>
                <w:color w:val="000000" w:themeColor="text1"/>
              </w:rPr>
              <w:t>爰</w:t>
            </w:r>
            <w:proofErr w:type="gramEnd"/>
            <w:r w:rsidRPr="00DA52C9">
              <w:rPr>
                <w:rFonts w:ascii="標楷體" w:eastAsia="標楷體" w:hint="eastAsia"/>
                <w:color w:val="000000" w:themeColor="text1"/>
              </w:rPr>
              <w:t>修訂第一項第一款第二目之規定。</w:t>
            </w:r>
          </w:p>
        </w:tc>
      </w:tr>
      <w:tr w:rsidR="00817863" w:rsidRPr="00DA52C9" w:rsidTr="00CA3C91">
        <w:tc>
          <w:tcPr>
            <w:tcW w:w="2788" w:type="dxa"/>
          </w:tcPr>
          <w:p w:rsidR="00817863" w:rsidRPr="00DA52C9" w:rsidRDefault="00817863" w:rsidP="00D011B8">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lastRenderedPageBreak/>
              <w:t>第四十八條</w:t>
            </w:r>
          </w:p>
          <w:p w:rsidR="00817863" w:rsidRPr="00DA52C9" w:rsidRDefault="00817863">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證券商受託辦理有價證券借貸交易，應收取手續費，本公司提供有價證券市場借貸服務，應收取借貸服務費。</w:t>
            </w:r>
          </w:p>
          <w:p w:rsidR="00817863" w:rsidRPr="00DA52C9" w:rsidRDefault="00817863">
            <w:pPr>
              <w:kinsoku w:val="0"/>
              <w:overflowPunct w:val="0"/>
              <w:spacing w:line="380" w:lineRule="exact"/>
              <w:ind w:firstLineChars="200" w:firstLine="480"/>
              <w:jc w:val="both"/>
              <w:rPr>
                <w:rFonts w:ascii="標楷體" w:eastAsia="標楷體"/>
                <w:color w:val="000000" w:themeColor="text1"/>
              </w:rPr>
            </w:pPr>
            <w:r w:rsidRPr="00DA52C9">
              <w:rPr>
                <w:rFonts w:ascii="標楷體" w:eastAsia="標楷體" w:hint="eastAsia"/>
                <w:color w:val="000000" w:themeColor="text1"/>
              </w:rPr>
              <w:t>有價證券借貸交易之手續費及借貸服務費及其費率由本公司會同證券商業同業公會協議後，報請主管機關核定施行。</w:t>
            </w:r>
          </w:p>
          <w:p w:rsidR="00817863" w:rsidRPr="005F594B" w:rsidRDefault="00BC3B26">
            <w:pPr>
              <w:tabs>
                <w:tab w:val="center" w:pos="4153"/>
                <w:tab w:val="right" w:pos="8306"/>
              </w:tabs>
              <w:kinsoku w:val="0"/>
              <w:overflowPunct w:val="0"/>
              <w:snapToGrid w:val="0"/>
              <w:spacing w:line="380" w:lineRule="exact"/>
              <w:ind w:firstLineChars="200" w:firstLine="480"/>
              <w:jc w:val="both"/>
              <w:rPr>
                <w:rFonts w:ascii="標楷體" w:eastAsia="標楷體" w:hAnsi="標楷體" w:cs="標楷體"/>
                <w:u w:val="single"/>
                <w:lang w:val="zh-TW"/>
              </w:rPr>
            </w:pPr>
            <w:r w:rsidRPr="00BC3B26">
              <w:rPr>
                <w:rFonts w:ascii="標楷體" w:eastAsia="標楷體" w:hAnsi="標楷體" w:cs="標楷體" w:hint="eastAsia"/>
                <w:u w:val="single"/>
                <w:lang w:val="zh-TW"/>
              </w:rPr>
              <w:t>前項有價證券借貸交易手續費及借貸服務費，依</w:t>
            </w:r>
            <w:r w:rsidRPr="00BC3B26">
              <w:rPr>
                <w:rFonts w:ascii="標楷體" w:eastAsia="標楷體" w:hAnsi="標楷體" w:cs="標楷體"/>
                <w:u w:val="single"/>
                <w:lang w:val="zh-TW"/>
              </w:rPr>
              <w:t>「</w:t>
            </w:r>
            <w:r w:rsidRPr="00BC3B26">
              <w:rPr>
                <w:rFonts w:ascii="標楷體" w:eastAsia="標楷體" w:hAnsi="標楷體" w:hint="eastAsia"/>
                <w:u w:val="single"/>
              </w:rPr>
              <w:t>本公司借</w:t>
            </w:r>
            <w:proofErr w:type="gramStart"/>
            <w:r w:rsidRPr="00BC3B26">
              <w:rPr>
                <w:rFonts w:ascii="標楷體" w:eastAsia="標楷體" w:hAnsi="標楷體" w:hint="eastAsia"/>
                <w:u w:val="single"/>
              </w:rPr>
              <w:t>券</w:t>
            </w:r>
            <w:proofErr w:type="gramEnd"/>
            <w:r w:rsidRPr="00BC3B26">
              <w:rPr>
                <w:rFonts w:ascii="標楷體" w:eastAsia="標楷體" w:hAnsi="標楷體" w:hint="eastAsia"/>
                <w:u w:val="single"/>
              </w:rPr>
              <w:t>系統手續費及借貸服務費計收方式一覽表</w:t>
            </w:r>
            <w:r w:rsidRPr="00BC3B26">
              <w:rPr>
                <w:rFonts w:ascii="標楷體" w:eastAsia="標楷體" w:hAnsi="標楷體" w:cs="標楷體"/>
                <w:u w:val="single"/>
                <w:lang w:val="zh-TW"/>
              </w:rPr>
              <w:t>」（</w:t>
            </w:r>
            <w:r w:rsidRPr="00BC3B26">
              <w:rPr>
                <w:rFonts w:ascii="標楷體" w:eastAsia="標楷體" w:hAnsi="標楷體" w:cs="標楷體" w:hint="eastAsia"/>
                <w:u w:val="single"/>
                <w:lang w:val="zh-TW"/>
              </w:rPr>
              <w:t>附表三</w:t>
            </w:r>
            <w:r w:rsidRPr="00BC3B26">
              <w:rPr>
                <w:rFonts w:ascii="標楷體" w:eastAsia="標楷體" w:hAnsi="標楷體" w:cs="標楷體"/>
                <w:u w:val="single"/>
                <w:lang w:val="zh-TW"/>
              </w:rPr>
              <w:t>）</w:t>
            </w:r>
            <w:r w:rsidRPr="00BC3B26">
              <w:rPr>
                <w:rFonts w:ascii="標楷體" w:eastAsia="標楷體" w:hAnsi="標楷體" w:cs="標楷體" w:hint="eastAsia"/>
                <w:u w:val="single"/>
                <w:lang w:val="zh-TW"/>
              </w:rPr>
              <w:t>計收。</w:t>
            </w:r>
          </w:p>
          <w:p w:rsidR="00817863" w:rsidRPr="00DA52C9" w:rsidRDefault="00817863">
            <w:pPr>
              <w:kinsoku w:val="0"/>
              <w:overflowPunct w:val="0"/>
              <w:spacing w:line="380" w:lineRule="exact"/>
              <w:ind w:left="240" w:hanging="240"/>
              <w:jc w:val="both"/>
              <w:rPr>
                <w:rFonts w:ascii="標楷體" w:eastAsia="標楷體"/>
                <w:color w:val="000000" w:themeColor="text1"/>
              </w:rPr>
            </w:pPr>
          </w:p>
        </w:tc>
        <w:tc>
          <w:tcPr>
            <w:tcW w:w="2787" w:type="dxa"/>
          </w:tcPr>
          <w:p w:rsidR="00817863" w:rsidRPr="00DA52C9" w:rsidRDefault="00817863">
            <w:pPr>
              <w:kinsoku w:val="0"/>
              <w:overflowPunct w:val="0"/>
              <w:spacing w:line="380" w:lineRule="exact"/>
              <w:ind w:left="240" w:hanging="240"/>
              <w:jc w:val="both"/>
              <w:rPr>
                <w:rFonts w:ascii="標楷體" w:eastAsia="標楷體"/>
                <w:color w:val="000000" w:themeColor="text1"/>
              </w:rPr>
            </w:pPr>
            <w:r w:rsidRPr="00DA52C9">
              <w:rPr>
                <w:rFonts w:ascii="標楷體" w:eastAsia="標楷體" w:hint="eastAsia"/>
                <w:color w:val="000000" w:themeColor="text1"/>
              </w:rPr>
              <w:t>第四十八條</w:t>
            </w:r>
          </w:p>
          <w:p w:rsidR="00817863" w:rsidRPr="00DA52C9" w:rsidRDefault="00817863">
            <w:pPr>
              <w:kinsoku w:val="0"/>
              <w:overflowPunct w:val="0"/>
              <w:spacing w:line="380" w:lineRule="exact"/>
              <w:ind w:firstLineChars="200" w:firstLine="480"/>
              <w:jc w:val="both"/>
              <w:rPr>
                <w:rFonts w:ascii="標楷體" w:eastAsia="標楷體"/>
                <w:color w:val="000000" w:themeColor="text1"/>
                <w:sz w:val="20"/>
                <w:szCs w:val="20"/>
              </w:rPr>
            </w:pPr>
            <w:r w:rsidRPr="00DA52C9">
              <w:rPr>
                <w:rFonts w:ascii="標楷體" w:eastAsia="標楷體" w:hint="eastAsia"/>
                <w:color w:val="000000" w:themeColor="text1"/>
              </w:rPr>
              <w:t>證券商受託辦理有價證券借貸交易，應收取手續費，本公司提供有價證券市場借貸服務，應收取借貸服務費。</w:t>
            </w:r>
          </w:p>
          <w:p w:rsidR="00817863" w:rsidRPr="00DA52C9" w:rsidRDefault="00817863">
            <w:pPr>
              <w:kinsoku w:val="0"/>
              <w:overflowPunct w:val="0"/>
              <w:spacing w:line="380" w:lineRule="exact"/>
              <w:ind w:firstLineChars="200" w:firstLine="480"/>
              <w:jc w:val="both"/>
              <w:rPr>
                <w:rFonts w:ascii="標楷體" w:eastAsia="標楷體"/>
                <w:color w:val="000000" w:themeColor="text1"/>
                <w:sz w:val="20"/>
                <w:szCs w:val="20"/>
              </w:rPr>
            </w:pPr>
            <w:r w:rsidRPr="00DA52C9">
              <w:rPr>
                <w:rFonts w:ascii="標楷體" w:eastAsia="標楷體" w:hint="eastAsia"/>
                <w:color w:val="000000" w:themeColor="text1"/>
              </w:rPr>
              <w:t>有價證券借貸交易之手續費及借貸服務費及其費率由本公司會同證券商業同業公會協議後，報請主管機關核定施行。</w:t>
            </w:r>
          </w:p>
          <w:p w:rsidR="00817863" w:rsidRPr="00DA52C9" w:rsidRDefault="00817863">
            <w:pPr>
              <w:kinsoku w:val="0"/>
              <w:overflowPunct w:val="0"/>
              <w:spacing w:line="380" w:lineRule="exact"/>
              <w:ind w:firstLineChars="200" w:firstLine="480"/>
              <w:jc w:val="both"/>
              <w:rPr>
                <w:rFonts w:ascii="標楷體" w:eastAsia="標楷體" w:hAnsi="標楷體" w:cs="標楷體"/>
                <w:color w:val="000000" w:themeColor="text1"/>
                <w:u w:val="single"/>
                <w:lang w:val="zh-TW"/>
              </w:rPr>
            </w:pPr>
          </w:p>
          <w:p w:rsidR="00817863" w:rsidRPr="00DA52C9" w:rsidRDefault="00817863">
            <w:pPr>
              <w:kinsoku w:val="0"/>
              <w:overflowPunct w:val="0"/>
              <w:spacing w:line="380" w:lineRule="exact"/>
              <w:ind w:left="240" w:hanging="240"/>
              <w:jc w:val="both"/>
              <w:rPr>
                <w:rFonts w:ascii="標楷體" w:eastAsia="標楷體"/>
                <w:color w:val="000000" w:themeColor="text1"/>
              </w:rPr>
            </w:pPr>
          </w:p>
        </w:tc>
        <w:tc>
          <w:tcPr>
            <w:tcW w:w="2788" w:type="dxa"/>
          </w:tcPr>
          <w:p w:rsidR="00817863" w:rsidRPr="00DA52C9" w:rsidRDefault="00817863">
            <w:pPr>
              <w:jc w:val="both"/>
              <w:rPr>
                <w:rFonts w:ascii="標楷體" w:eastAsia="標楷體"/>
                <w:color w:val="000000" w:themeColor="text1"/>
              </w:rPr>
            </w:pPr>
            <w:r w:rsidRPr="00DA52C9">
              <w:rPr>
                <w:rFonts w:ascii="標楷體" w:eastAsia="標楷體" w:hint="eastAsia"/>
                <w:color w:val="000000" w:themeColor="text1"/>
              </w:rPr>
              <w:t>為整</w:t>
            </w:r>
            <w:proofErr w:type="gramStart"/>
            <w:r w:rsidRPr="00DA52C9">
              <w:rPr>
                <w:rFonts w:ascii="標楷體" w:eastAsia="標楷體" w:hint="eastAsia"/>
                <w:color w:val="000000" w:themeColor="text1"/>
              </w:rPr>
              <w:t>併</w:t>
            </w:r>
            <w:proofErr w:type="gramEnd"/>
            <w:r w:rsidRPr="00DA52C9">
              <w:rPr>
                <w:rFonts w:ascii="標楷體" w:eastAsia="標楷體" w:hint="eastAsia"/>
                <w:color w:val="000000" w:themeColor="text1"/>
              </w:rPr>
              <w:t>規章，增訂第三項納入</w:t>
            </w:r>
            <w:r>
              <w:rPr>
                <w:rFonts w:ascii="標楷體" w:eastAsia="標楷體" w:hint="eastAsia"/>
                <w:color w:val="000000" w:themeColor="text1"/>
              </w:rPr>
              <w:t>92年6月27日</w:t>
            </w:r>
            <w:proofErr w:type="gramStart"/>
            <w:r w:rsidRPr="00DA52C9">
              <w:rPr>
                <w:rFonts w:ascii="標楷體" w:eastAsia="標楷體" w:hint="eastAsia"/>
                <w:color w:val="000000" w:themeColor="text1"/>
              </w:rPr>
              <w:t>臺證結</w:t>
            </w:r>
            <w:proofErr w:type="gramEnd"/>
            <w:r w:rsidRPr="00DA52C9">
              <w:rPr>
                <w:rFonts w:ascii="標楷體" w:eastAsia="標楷體" w:hint="eastAsia"/>
                <w:color w:val="000000" w:themeColor="text1"/>
              </w:rPr>
              <w:t>字第</w:t>
            </w:r>
            <w:r w:rsidRPr="00DA52C9">
              <w:rPr>
                <w:color w:val="000000" w:themeColor="text1"/>
              </w:rPr>
              <w:t>0920014608</w:t>
            </w:r>
            <w:r w:rsidRPr="00DA52C9">
              <w:rPr>
                <w:rFonts w:ascii="標楷體" w:eastAsia="標楷體" w:hint="eastAsia"/>
                <w:color w:val="000000" w:themeColor="text1"/>
              </w:rPr>
              <w:t>號有關定價、競價交易借貸服務費與手續費之計算方式</w:t>
            </w:r>
            <w:r w:rsidRPr="00DA52C9">
              <w:rPr>
                <w:rFonts w:hint="eastAsia"/>
                <w:color w:val="000000" w:themeColor="text1"/>
              </w:rPr>
              <w:t>、</w:t>
            </w:r>
            <w:r w:rsidRPr="006E3DA9">
              <w:rPr>
                <w:rFonts w:ascii="標楷體" w:eastAsia="標楷體"/>
                <w:color w:val="000000" w:themeColor="text1"/>
              </w:rPr>
              <w:t>96</w:t>
            </w:r>
            <w:r w:rsidRPr="006E3DA9">
              <w:rPr>
                <w:rFonts w:ascii="標楷體" w:eastAsia="標楷體" w:hint="eastAsia"/>
                <w:color w:val="000000" w:themeColor="text1"/>
              </w:rPr>
              <w:t>年</w:t>
            </w:r>
            <w:r>
              <w:rPr>
                <w:rFonts w:ascii="標楷體" w:eastAsia="標楷體" w:hint="eastAsia"/>
                <w:color w:val="000000" w:themeColor="text1"/>
              </w:rPr>
              <w:t>8月30日</w:t>
            </w:r>
            <w:proofErr w:type="gramStart"/>
            <w:r w:rsidRPr="00DA52C9">
              <w:rPr>
                <w:rFonts w:ascii="標楷體" w:eastAsia="標楷體" w:hint="eastAsia"/>
                <w:color w:val="000000" w:themeColor="text1"/>
              </w:rPr>
              <w:t>臺證交字第0960025181號有關議借交易</w:t>
            </w:r>
            <w:proofErr w:type="gramEnd"/>
            <w:r w:rsidRPr="00DA52C9">
              <w:rPr>
                <w:rFonts w:ascii="標楷體" w:eastAsia="標楷體" w:hint="eastAsia"/>
                <w:color w:val="000000" w:themeColor="text1"/>
              </w:rPr>
              <w:t>借貸服務費之計價與手續費收取方式、</w:t>
            </w:r>
            <w:r>
              <w:rPr>
                <w:rFonts w:ascii="標楷體" w:eastAsia="標楷體" w:hint="eastAsia"/>
                <w:color w:val="000000" w:themeColor="text1"/>
              </w:rPr>
              <w:t>99年8月20日</w:t>
            </w:r>
            <w:proofErr w:type="gramStart"/>
            <w:r w:rsidRPr="00DA52C9">
              <w:rPr>
                <w:rFonts w:ascii="標楷體" w:eastAsia="標楷體" w:hint="eastAsia"/>
                <w:color w:val="000000" w:themeColor="text1"/>
              </w:rPr>
              <w:t>臺證結</w:t>
            </w:r>
            <w:proofErr w:type="gramEnd"/>
            <w:r w:rsidRPr="00DA52C9">
              <w:rPr>
                <w:rFonts w:ascii="標楷體" w:eastAsia="標楷體" w:hint="eastAsia"/>
                <w:color w:val="000000" w:themeColor="text1"/>
              </w:rPr>
              <w:t>字第</w:t>
            </w:r>
            <w:r w:rsidRPr="00DA52C9">
              <w:rPr>
                <w:rFonts w:hint="eastAsia"/>
                <w:color w:val="000000" w:themeColor="text1"/>
              </w:rPr>
              <w:t>0990301448</w:t>
            </w:r>
            <w:r w:rsidRPr="00DA52C9">
              <w:rPr>
                <w:rFonts w:ascii="標楷體" w:eastAsia="標楷體" w:hint="eastAsia"/>
                <w:color w:val="000000" w:themeColor="text1"/>
              </w:rPr>
              <w:t>號有關定價、競價交易手續費計價方式</w:t>
            </w:r>
            <w:proofErr w:type="gramStart"/>
            <w:r w:rsidRPr="00DA52C9">
              <w:rPr>
                <w:rFonts w:ascii="標楷體" w:eastAsia="標楷體" w:hint="eastAsia"/>
                <w:color w:val="000000" w:themeColor="text1"/>
              </w:rPr>
              <w:t>與議借交易</w:t>
            </w:r>
            <w:proofErr w:type="gramEnd"/>
            <w:r w:rsidRPr="00DA52C9">
              <w:rPr>
                <w:rFonts w:ascii="標楷體" w:eastAsia="標楷體" w:hint="eastAsia"/>
                <w:color w:val="000000" w:themeColor="text1"/>
              </w:rPr>
              <w:t>借貸服務費收取方式等規定，並將各項費用之</w:t>
            </w:r>
            <w:r w:rsidRPr="00DA52C9">
              <w:rPr>
                <w:rFonts w:ascii="標楷體" w:eastAsia="標楷體" w:hAnsi="標楷體" w:cs="標楷體" w:hint="eastAsia"/>
                <w:color w:val="000000" w:themeColor="text1"/>
                <w:lang w:val="zh-TW"/>
              </w:rPr>
              <w:t>計算及</w:t>
            </w:r>
            <w:r w:rsidRPr="00DA52C9">
              <w:rPr>
                <w:rFonts w:ascii="標楷體" w:eastAsia="標楷體" w:hAnsi="標楷體" w:cs="標楷體"/>
                <w:color w:val="000000" w:themeColor="text1"/>
                <w:lang w:val="zh-TW"/>
              </w:rPr>
              <w:t>收</w:t>
            </w:r>
            <w:r w:rsidRPr="00DA52C9">
              <w:rPr>
                <w:rFonts w:ascii="標楷體" w:eastAsia="標楷體" w:hAnsi="標楷體" w:cs="標楷體" w:hint="eastAsia"/>
                <w:color w:val="000000" w:themeColor="text1"/>
                <w:lang w:val="zh-TW"/>
              </w:rPr>
              <w:t>取</w:t>
            </w:r>
            <w:r w:rsidRPr="00DA52C9">
              <w:rPr>
                <w:rFonts w:ascii="標楷體" w:eastAsia="標楷體" w:hAnsi="標楷體" w:cs="標楷體"/>
                <w:color w:val="000000" w:themeColor="text1"/>
                <w:lang w:val="zh-TW"/>
              </w:rPr>
              <w:t>方式</w:t>
            </w:r>
            <w:r w:rsidRPr="00DA52C9">
              <w:rPr>
                <w:rFonts w:ascii="標楷體" w:eastAsia="標楷體" w:hAnsi="標楷體" w:cs="標楷體" w:hint="eastAsia"/>
                <w:color w:val="000000" w:themeColor="text1"/>
                <w:lang w:val="zh-TW"/>
              </w:rPr>
              <w:t>細部規定，</w:t>
            </w:r>
            <w:proofErr w:type="gramStart"/>
            <w:r w:rsidRPr="00DA52C9">
              <w:rPr>
                <w:rFonts w:ascii="標楷體" w:eastAsia="標楷體" w:hint="eastAsia"/>
                <w:color w:val="000000" w:themeColor="text1"/>
              </w:rPr>
              <w:t>採</w:t>
            </w:r>
            <w:proofErr w:type="gramEnd"/>
            <w:r w:rsidRPr="00DA52C9">
              <w:rPr>
                <w:rFonts w:ascii="標楷體" w:eastAsia="標楷體" w:hint="eastAsia"/>
                <w:color w:val="000000" w:themeColor="text1"/>
              </w:rPr>
              <w:t>行附表之規範架構。</w:t>
            </w:r>
          </w:p>
        </w:tc>
      </w:tr>
    </w:tbl>
    <w:p w:rsidR="006635CA" w:rsidRPr="006635CA" w:rsidRDefault="000C52E5" w:rsidP="00A32481">
      <w:pPr>
        <w:spacing w:beforeLines="100"/>
        <w:jc w:val="center"/>
        <w:rPr>
          <w:rFonts w:ascii="標楷體" w:eastAsia="標楷體" w:hAnsi="標楷體"/>
          <w:b/>
          <w:sz w:val="30"/>
          <w:szCs w:val="30"/>
        </w:rPr>
      </w:pPr>
      <w:r w:rsidRPr="006635CA">
        <w:rPr>
          <w:rFonts w:ascii="標楷體" w:eastAsia="標楷體" w:hAnsi="標楷體" w:hint="eastAsia"/>
          <w:b/>
          <w:sz w:val="30"/>
          <w:szCs w:val="30"/>
        </w:rPr>
        <w:lastRenderedPageBreak/>
        <w:t>證券商辦理有價證券借貸操作辦法第七條之二</w:t>
      </w:r>
      <w:r w:rsidR="006635CA" w:rsidRPr="006635CA">
        <w:rPr>
          <w:rFonts w:ascii="標楷體" w:eastAsia="標楷體" w:hAnsi="標楷體" w:hint="eastAsia"/>
          <w:b/>
          <w:sz w:val="30"/>
          <w:szCs w:val="30"/>
        </w:rPr>
        <w:t>及第十九條之</w:t>
      </w:r>
      <w:proofErr w:type="gramStart"/>
      <w:r w:rsidR="006635CA" w:rsidRPr="006635CA">
        <w:rPr>
          <w:rFonts w:ascii="標楷體" w:eastAsia="標楷體" w:hAnsi="標楷體" w:hint="eastAsia"/>
          <w:b/>
          <w:sz w:val="30"/>
          <w:szCs w:val="30"/>
        </w:rPr>
        <w:t>一</w:t>
      </w:r>
      <w:proofErr w:type="gramEnd"/>
    </w:p>
    <w:p w:rsidR="00D21F0F" w:rsidRPr="006635CA" w:rsidRDefault="000C52E5" w:rsidP="00A32481">
      <w:pPr>
        <w:spacing w:afterLines="50" w:line="300" w:lineRule="exact"/>
        <w:jc w:val="center"/>
        <w:rPr>
          <w:rFonts w:ascii="標楷體" w:eastAsia="標楷體" w:hAnsi="標楷體"/>
          <w:b/>
          <w:sz w:val="30"/>
          <w:szCs w:val="30"/>
        </w:rPr>
        <w:pPrChange w:id="0" w:author="00" w:date="2017-02-08T16:13:00Z">
          <w:pPr>
            <w:spacing w:afterLines="50" w:line="300" w:lineRule="exact"/>
            <w:jc w:val="center"/>
          </w:pPr>
        </w:pPrChange>
      </w:pPr>
      <w:r w:rsidRPr="006635CA">
        <w:rPr>
          <w:rFonts w:ascii="標楷體" w:eastAsia="標楷體" w:hAnsi="標楷體" w:hint="eastAsia"/>
          <w:b/>
          <w:sz w:val="30"/>
          <w:szCs w:val="30"/>
        </w:rPr>
        <w:t>修正條文對照表</w:t>
      </w:r>
    </w:p>
    <w:tbl>
      <w:tblPr>
        <w:tblStyle w:val="a3"/>
        <w:tblW w:w="0" w:type="auto"/>
        <w:tblLook w:val="04A0"/>
      </w:tblPr>
      <w:tblGrid>
        <w:gridCol w:w="2787"/>
        <w:gridCol w:w="2787"/>
        <w:gridCol w:w="2788"/>
      </w:tblGrid>
      <w:tr w:rsidR="00150C2E" w:rsidRPr="00A81113" w:rsidTr="00CC563C">
        <w:tc>
          <w:tcPr>
            <w:tcW w:w="2787" w:type="dxa"/>
          </w:tcPr>
          <w:p w:rsidR="00150C2E" w:rsidRPr="00A81113" w:rsidRDefault="00150C2E" w:rsidP="00CC563C">
            <w:pPr>
              <w:rPr>
                <w:rFonts w:ascii="標楷體" w:eastAsia="標楷體" w:hAnsi="標楷體"/>
              </w:rPr>
            </w:pPr>
            <w:r w:rsidRPr="00A81113">
              <w:rPr>
                <w:rFonts w:ascii="標楷體" w:eastAsia="標楷體" w:hAnsi="標楷體" w:hint="eastAsia"/>
              </w:rPr>
              <w:t>修正條文</w:t>
            </w:r>
          </w:p>
        </w:tc>
        <w:tc>
          <w:tcPr>
            <w:tcW w:w="2787" w:type="dxa"/>
          </w:tcPr>
          <w:p w:rsidR="00150C2E" w:rsidRPr="00A81113" w:rsidRDefault="00150C2E" w:rsidP="00CC563C">
            <w:pPr>
              <w:rPr>
                <w:rFonts w:ascii="標楷體" w:eastAsia="標楷體" w:hAnsi="標楷體"/>
              </w:rPr>
            </w:pPr>
            <w:r w:rsidRPr="00A81113">
              <w:rPr>
                <w:rFonts w:ascii="標楷體" w:eastAsia="標楷體" w:hAnsi="標楷體" w:hint="eastAsia"/>
              </w:rPr>
              <w:t>現行條文</w:t>
            </w:r>
          </w:p>
        </w:tc>
        <w:tc>
          <w:tcPr>
            <w:tcW w:w="2788" w:type="dxa"/>
          </w:tcPr>
          <w:p w:rsidR="00150C2E" w:rsidRPr="00A81113" w:rsidRDefault="00150C2E" w:rsidP="00CC563C">
            <w:pPr>
              <w:rPr>
                <w:rFonts w:ascii="標楷體" w:eastAsia="標楷體" w:hAnsi="標楷體"/>
              </w:rPr>
            </w:pPr>
            <w:r w:rsidRPr="00A81113">
              <w:rPr>
                <w:rFonts w:ascii="標楷體" w:eastAsia="標楷體" w:hAnsi="標楷體" w:hint="eastAsia"/>
              </w:rPr>
              <w:t>說明</w:t>
            </w:r>
          </w:p>
        </w:tc>
      </w:tr>
      <w:tr w:rsidR="00150C2E" w:rsidRPr="00A81113" w:rsidTr="00CC563C">
        <w:tc>
          <w:tcPr>
            <w:tcW w:w="2787" w:type="dxa"/>
          </w:tcPr>
          <w:p w:rsidR="00150C2E" w:rsidRPr="005F594B" w:rsidRDefault="00BC3B26" w:rsidP="00CC563C">
            <w:pPr>
              <w:rPr>
                <w:rFonts w:ascii="標楷體" w:eastAsia="標楷體" w:hAnsi="標楷體"/>
              </w:rPr>
            </w:pPr>
            <w:r w:rsidRPr="00BC3B26">
              <w:rPr>
                <w:rFonts w:ascii="標楷體" w:eastAsia="標楷體" w:hAnsi="標楷體" w:hint="eastAsia"/>
              </w:rPr>
              <w:t>第七條之二</w:t>
            </w:r>
          </w:p>
          <w:p w:rsidR="00150C2E" w:rsidRDefault="00BC3B26" w:rsidP="00CC563C">
            <w:pPr>
              <w:jc w:val="distribute"/>
              <w:rPr>
                <w:rFonts w:ascii="標楷體" w:eastAsia="標楷體" w:hAnsi="標楷體"/>
                <w:sz w:val="20"/>
                <w:szCs w:val="20"/>
              </w:rPr>
            </w:pPr>
            <w:r w:rsidRPr="00BC3B26">
              <w:rPr>
                <w:rFonts w:ascii="標楷體" w:eastAsia="標楷體" w:hAnsi="標楷體" w:cs="標楷體"/>
                <w:lang w:val="zh-TW"/>
              </w:rPr>
              <w:t xml:space="preserve">    </w:t>
            </w:r>
            <w:r w:rsidRPr="00BC3B26">
              <w:rPr>
                <w:rFonts w:ascii="標楷體" w:eastAsia="標楷體" w:hAnsi="標楷體" w:cs="標楷體" w:hint="eastAsia"/>
                <w:lang w:val="zh-TW"/>
              </w:rPr>
              <w:t>證券商辦理有價證券借貸業務，得以其出借</w:t>
            </w:r>
            <w:proofErr w:type="gramStart"/>
            <w:r w:rsidRPr="00BC3B26">
              <w:rPr>
                <w:rFonts w:ascii="標楷體" w:eastAsia="標楷體" w:hAnsi="標楷體" w:cs="標楷體" w:hint="eastAsia"/>
                <w:lang w:val="zh-TW"/>
              </w:rPr>
              <w:t>券源按</w:t>
            </w:r>
            <w:proofErr w:type="gramEnd"/>
            <w:r w:rsidRPr="00BC3B26">
              <w:rPr>
                <w:rFonts w:ascii="標楷體" w:eastAsia="標楷體" w:hAnsi="標楷體" w:cs="標楷體" w:hint="eastAsia"/>
                <w:lang w:val="zh-TW"/>
              </w:rPr>
              <w:t>「</w:t>
            </w:r>
            <w:r w:rsidRPr="00BC3B26">
              <w:rPr>
                <w:rFonts w:ascii="標楷體" w:eastAsia="標楷體" w:hAnsi="標楷體" w:hint="eastAsia"/>
              </w:rPr>
              <w:t>證券借貸專戶撥</w:t>
            </w:r>
            <w:proofErr w:type="gramStart"/>
            <w:r w:rsidRPr="00BC3B26">
              <w:rPr>
                <w:rFonts w:ascii="標楷體" w:eastAsia="標楷體" w:hAnsi="標楷體" w:hint="eastAsia"/>
              </w:rPr>
              <w:t>券</w:t>
            </w:r>
            <w:proofErr w:type="gramEnd"/>
            <w:r w:rsidRPr="00BC3B26">
              <w:rPr>
                <w:rFonts w:ascii="標楷體" w:eastAsia="標楷體" w:hAnsi="標楷體" w:hint="eastAsia"/>
              </w:rPr>
              <w:t>予其自營及期貨部門撥入帳號注意事項一覽表</w:t>
            </w:r>
            <w:r w:rsidRPr="00BC3B26">
              <w:rPr>
                <w:rFonts w:ascii="標楷體" w:eastAsia="標楷體" w:hAnsi="標楷體" w:cs="標楷體" w:hint="eastAsia"/>
                <w:lang w:val="zh-TW"/>
              </w:rPr>
              <w:t>」（附表一），</w:t>
            </w:r>
            <w:proofErr w:type="gramStart"/>
            <w:r w:rsidRPr="00BC3B26">
              <w:rPr>
                <w:rFonts w:ascii="標楷體" w:eastAsia="標楷體" w:hAnsi="標楷體" w:cs="標楷體" w:hint="eastAsia"/>
                <w:lang w:val="zh-TW"/>
              </w:rPr>
              <w:t>撥入表列</w:t>
            </w:r>
            <w:proofErr w:type="gramEnd"/>
            <w:r w:rsidRPr="00BC3B26">
              <w:rPr>
                <w:rFonts w:ascii="標楷體" w:eastAsia="標楷體" w:hAnsi="標楷體" w:cs="標楷體" w:hint="eastAsia"/>
                <w:lang w:val="zh-TW"/>
              </w:rPr>
              <w:t>之證券交易帳號，供其自營及期貨部門因應不同之業務需求。</w:t>
            </w:r>
          </w:p>
        </w:tc>
        <w:tc>
          <w:tcPr>
            <w:tcW w:w="2787" w:type="dxa"/>
          </w:tcPr>
          <w:p w:rsidR="00150C2E" w:rsidRPr="0040018F" w:rsidRDefault="00150C2E" w:rsidP="00CC563C">
            <w:pPr>
              <w:rPr>
                <w:rFonts w:ascii="標楷體" w:eastAsia="標楷體" w:hAnsi="標楷體"/>
              </w:rPr>
            </w:pPr>
          </w:p>
        </w:tc>
        <w:tc>
          <w:tcPr>
            <w:tcW w:w="2788" w:type="dxa"/>
          </w:tcPr>
          <w:p w:rsidR="00150C2E" w:rsidRDefault="00150C2E" w:rsidP="00CC563C">
            <w:pPr>
              <w:jc w:val="both"/>
              <w:rPr>
                <w:rFonts w:ascii="標楷體" w:eastAsia="標楷體" w:hAnsi="標楷體"/>
              </w:rPr>
            </w:pPr>
            <w:r w:rsidRPr="00597ED8">
              <w:rPr>
                <w:rFonts w:ascii="標楷體" w:eastAsia="標楷體" w:hAnsi="標楷體" w:hint="eastAsia"/>
              </w:rPr>
              <w:t>一、</w:t>
            </w:r>
            <w:r w:rsidRPr="009771FB">
              <w:rPr>
                <w:rFonts w:ascii="標楷體" w:eastAsia="標楷體" w:hAnsi="標楷體" w:hint="eastAsia"/>
                <w:u w:val="single"/>
              </w:rPr>
              <w:t>本條新增</w:t>
            </w:r>
            <w:r w:rsidRPr="00597ED8">
              <w:rPr>
                <w:rFonts w:ascii="標楷體" w:eastAsia="標楷體" w:hAnsi="標楷體" w:hint="eastAsia"/>
              </w:rPr>
              <w:t>。</w:t>
            </w:r>
          </w:p>
          <w:p w:rsidR="00150C2E" w:rsidRDefault="00150C2E" w:rsidP="00CC563C">
            <w:pPr>
              <w:ind w:left="480" w:hangingChars="200" w:hanging="480"/>
              <w:rPr>
                <w:rFonts w:ascii="標楷體" w:eastAsia="標楷體" w:hAnsi="標楷體"/>
                <w:sz w:val="20"/>
                <w:szCs w:val="20"/>
              </w:rPr>
            </w:pPr>
            <w:r>
              <w:rPr>
                <w:rFonts w:ascii="標楷體" w:eastAsia="標楷體" w:hAnsi="標楷體" w:hint="eastAsia"/>
              </w:rPr>
              <w:t>二、</w:t>
            </w:r>
            <w:r>
              <w:rPr>
                <w:rFonts w:ascii="標楷體" w:eastAsia="標楷體" w:hint="eastAsia"/>
              </w:rPr>
              <w:t>為整</w:t>
            </w:r>
            <w:proofErr w:type="gramStart"/>
            <w:r>
              <w:rPr>
                <w:rFonts w:ascii="標楷體" w:eastAsia="標楷體" w:hint="eastAsia"/>
              </w:rPr>
              <w:t>併</w:t>
            </w:r>
            <w:proofErr w:type="gramEnd"/>
            <w:r>
              <w:rPr>
                <w:rFonts w:ascii="標楷體" w:eastAsia="標楷體" w:hint="eastAsia"/>
              </w:rPr>
              <w:t>規章</w:t>
            </w:r>
            <w:r>
              <w:rPr>
                <w:rFonts w:ascii="標楷體" w:eastAsia="標楷體" w:hAnsi="標楷體" w:hint="eastAsia"/>
              </w:rPr>
              <w:t>，增訂納入101年5月24日</w:t>
            </w:r>
            <w:proofErr w:type="gramStart"/>
            <w:r>
              <w:rPr>
                <w:rFonts w:ascii="標楷體" w:eastAsia="標楷體" w:hAnsi="標楷體" w:hint="eastAsia"/>
              </w:rPr>
              <w:t>臺</w:t>
            </w:r>
            <w:r w:rsidRPr="004808DC">
              <w:rPr>
                <w:rFonts w:ascii="標楷體" w:eastAsia="標楷體" w:hAnsi="標楷體" w:hint="eastAsia"/>
              </w:rPr>
              <w:t>證交字第</w:t>
            </w:r>
            <w:r>
              <w:rPr>
                <w:rFonts w:ascii="標楷體" w:eastAsia="標楷體" w:hAnsi="標楷體" w:hint="eastAsia"/>
              </w:rPr>
              <w:t>1010203381</w:t>
            </w:r>
            <w:proofErr w:type="gramEnd"/>
            <w:r>
              <w:rPr>
                <w:rFonts w:ascii="標楷體" w:eastAsia="標楷體" w:hAnsi="標楷體" w:hint="eastAsia"/>
              </w:rPr>
              <w:t>及102年2月7日</w:t>
            </w:r>
            <w:proofErr w:type="gramStart"/>
            <w:r>
              <w:rPr>
                <w:rFonts w:ascii="標楷體" w:eastAsia="標楷體" w:hAnsi="標楷體" w:hint="eastAsia"/>
              </w:rPr>
              <w:t>臺</w:t>
            </w:r>
            <w:r w:rsidRPr="004808DC">
              <w:rPr>
                <w:rFonts w:ascii="標楷體" w:eastAsia="標楷體" w:hAnsi="標楷體" w:hint="eastAsia"/>
              </w:rPr>
              <w:t>證交字第</w:t>
            </w:r>
            <w:r w:rsidRPr="00430EBB">
              <w:rPr>
                <w:rFonts w:ascii="標楷體" w:eastAsia="標楷體" w:hAnsi="標楷體" w:hint="eastAsia"/>
              </w:rPr>
              <w:t>10</w:t>
            </w:r>
            <w:r>
              <w:rPr>
                <w:rFonts w:ascii="標楷體" w:eastAsia="標楷體" w:hAnsi="標楷體" w:hint="eastAsia"/>
              </w:rPr>
              <w:t>2</w:t>
            </w:r>
            <w:r w:rsidRPr="00430EBB">
              <w:rPr>
                <w:rFonts w:ascii="標楷體" w:eastAsia="標楷體" w:hAnsi="標楷體" w:hint="eastAsia"/>
              </w:rPr>
              <w:t>0</w:t>
            </w:r>
            <w:r>
              <w:rPr>
                <w:rFonts w:ascii="標楷體" w:eastAsia="標楷體" w:hAnsi="標楷體" w:hint="eastAsia"/>
              </w:rPr>
              <w:t>2</w:t>
            </w:r>
            <w:r w:rsidRPr="00430EBB">
              <w:rPr>
                <w:rFonts w:ascii="標楷體" w:eastAsia="標楷體" w:hAnsi="標楷體" w:hint="eastAsia"/>
              </w:rPr>
              <w:t>00</w:t>
            </w:r>
            <w:r>
              <w:rPr>
                <w:rFonts w:ascii="標楷體" w:eastAsia="標楷體" w:hAnsi="標楷體" w:hint="eastAsia"/>
              </w:rPr>
              <w:t>984</w:t>
            </w:r>
            <w:r w:rsidRPr="00430EBB">
              <w:rPr>
                <w:rFonts w:ascii="標楷體" w:eastAsia="標楷體" w:hAnsi="標楷體" w:hint="eastAsia"/>
              </w:rPr>
              <w:t>號</w:t>
            </w:r>
            <w:proofErr w:type="gramEnd"/>
            <w:r>
              <w:rPr>
                <w:rFonts w:ascii="標楷體" w:eastAsia="標楷體" w:hAnsi="標楷體" w:hint="eastAsia"/>
              </w:rPr>
              <w:t>函有關辦理有價證券借貸業務之證券商撥</w:t>
            </w:r>
            <w:proofErr w:type="gramStart"/>
            <w:r>
              <w:rPr>
                <w:rFonts w:ascii="標楷體" w:eastAsia="標楷體" w:hAnsi="標楷體" w:hint="eastAsia"/>
              </w:rPr>
              <w:t>券</w:t>
            </w:r>
            <w:proofErr w:type="gramEnd"/>
            <w:r>
              <w:rPr>
                <w:rFonts w:ascii="標楷體" w:eastAsia="標楷體" w:hAnsi="標楷體" w:hint="eastAsia"/>
              </w:rPr>
              <w:t>供其自營部門使用之帳號規定、101年9月18日</w:t>
            </w:r>
            <w:proofErr w:type="gramStart"/>
            <w:r>
              <w:rPr>
                <w:rFonts w:ascii="標楷體" w:eastAsia="標楷體" w:hAnsi="標楷體" w:hint="eastAsia"/>
              </w:rPr>
              <w:t>臺證交字第1010206400</w:t>
            </w:r>
            <w:proofErr w:type="gramEnd"/>
            <w:r>
              <w:rPr>
                <w:rFonts w:ascii="標楷體" w:eastAsia="標楷體" w:hAnsi="標楷體" w:hint="eastAsia"/>
              </w:rPr>
              <w:t>及102年10月7日</w:t>
            </w:r>
            <w:proofErr w:type="gramStart"/>
            <w:r>
              <w:rPr>
                <w:rFonts w:ascii="標楷體" w:eastAsia="標楷體" w:hAnsi="標楷體" w:hint="eastAsia"/>
              </w:rPr>
              <w:t>臺證結</w:t>
            </w:r>
            <w:proofErr w:type="gramEnd"/>
            <w:r>
              <w:rPr>
                <w:rFonts w:ascii="標楷體" w:eastAsia="標楷體" w:hAnsi="標楷體" w:hint="eastAsia"/>
              </w:rPr>
              <w:t>字第1020301958號函有關辦理有價證券借貸業務之證券商撥</w:t>
            </w:r>
            <w:proofErr w:type="gramStart"/>
            <w:r>
              <w:rPr>
                <w:rFonts w:ascii="標楷體" w:eastAsia="標楷體" w:hAnsi="標楷體" w:hint="eastAsia"/>
              </w:rPr>
              <w:t>券</w:t>
            </w:r>
            <w:proofErr w:type="gramEnd"/>
            <w:r>
              <w:rPr>
                <w:rFonts w:ascii="標楷體" w:eastAsia="標楷體" w:hAnsi="標楷體" w:hint="eastAsia"/>
              </w:rPr>
              <w:t>供其期貨部門使用之帳號規定，</w:t>
            </w:r>
            <w:r>
              <w:rPr>
                <w:rFonts w:ascii="標楷體" w:eastAsia="標楷體" w:hint="eastAsia"/>
              </w:rPr>
              <w:t>並就其作業細節部分，</w:t>
            </w:r>
            <w:proofErr w:type="gramStart"/>
            <w:r>
              <w:rPr>
                <w:rFonts w:ascii="標楷體" w:eastAsia="標楷體" w:hint="eastAsia"/>
              </w:rPr>
              <w:t>採</w:t>
            </w:r>
            <w:proofErr w:type="gramEnd"/>
            <w:r>
              <w:rPr>
                <w:rFonts w:ascii="標楷體" w:eastAsia="標楷體" w:hint="eastAsia"/>
              </w:rPr>
              <w:t>行附表之規範架構</w:t>
            </w:r>
            <w:r w:rsidRPr="002F2A0E">
              <w:rPr>
                <w:rFonts w:ascii="標楷體" w:eastAsia="標楷體" w:hAnsi="標楷體" w:hint="eastAsia"/>
              </w:rPr>
              <w:t>。</w:t>
            </w:r>
          </w:p>
          <w:p w:rsidR="00150C2E" w:rsidRDefault="00150C2E" w:rsidP="00CC563C">
            <w:pPr>
              <w:ind w:left="480" w:hangingChars="200" w:hanging="480"/>
              <w:rPr>
                <w:rFonts w:ascii="標楷體" w:eastAsia="標楷體" w:hAnsi="標楷體"/>
              </w:rPr>
            </w:pPr>
          </w:p>
        </w:tc>
      </w:tr>
      <w:tr w:rsidR="008A2F09" w:rsidRPr="00A81113" w:rsidTr="00CC563C">
        <w:tc>
          <w:tcPr>
            <w:tcW w:w="2787" w:type="dxa"/>
          </w:tcPr>
          <w:p w:rsidR="008A2F09" w:rsidRPr="008A2F09" w:rsidRDefault="008A2F09" w:rsidP="008A2F09">
            <w:pPr>
              <w:rPr>
                <w:rFonts w:ascii="標楷體" w:eastAsia="標楷體" w:hAnsi="標楷體"/>
              </w:rPr>
            </w:pPr>
            <w:r w:rsidRPr="008A2F09">
              <w:rPr>
                <w:rFonts w:ascii="標楷體" w:eastAsia="標楷體" w:hAnsi="標楷體" w:hint="eastAsia"/>
              </w:rPr>
              <w:t>第十九條之</w:t>
            </w:r>
            <w:proofErr w:type="gramStart"/>
            <w:r w:rsidRPr="008A2F09">
              <w:rPr>
                <w:rFonts w:ascii="標楷體" w:eastAsia="標楷體" w:hAnsi="標楷體" w:hint="eastAsia"/>
              </w:rPr>
              <w:t>一</w:t>
            </w:r>
            <w:proofErr w:type="gramEnd"/>
          </w:p>
          <w:p w:rsidR="008A2F09" w:rsidRPr="008A2F09" w:rsidRDefault="008A2F09" w:rsidP="008A2F09">
            <w:pPr>
              <w:pStyle w:val="HTML"/>
              <w:rPr>
                <w:rFonts w:ascii="標楷體" w:eastAsia="標楷體" w:hAnsi="標楷體" w:cstheme="minorBidi"/>
                <w:kern w:val="2"/>
                <w:szCs w:val="22"/>
              </w:rPr>
            </w:pPr>
            <w:r w:rsidRPr="008A2F09">
              <w:rPr>
                <w:rFonts w:ascii="標楷體" w:eastAsia="標楷體" w:hAnsi="標楷體" w:cstheme="minorBidi" w:hint="eastAsia"/>
                <w:kern w:val="2"/>
                <w:szCs w:val="22"/>
              </w:rPr>
              <w:t xml:space="preserve">    前條第二項第一款所列擔保品，應設專戶管理，並以新臺幣為限。但境外華僑及外國人得以</w:t>
            </w:r>
            <w:r w:rsidR="00BC3B26" w:rsidRPr="00BC3B26">
              <w:rPr>
                <w:rFonts w:ascii="標楷體" w:eastAsia="標楷體" w:hAnsi="標楷體" w:cstheme="minorBidi" w:hint="eastAsia"/>
                <w:kern w:val="2"/>
                <w:szCs w:val="22"/>
                <w:u w:val="single"/>
              </w:rPr>
              <w:t>外幣為擔保品；外幣種類以</w:t>
            </w:r>
            <w:r w:rsidR="00BC3B26">
              <w:rPr>
                <w:rFonts w:ascii="標楷體" w:eastAsia="標楷體" w:hAnsi="標楷體" w:cstheme="minorBidi" w:hint="eastAsia"/>
                <w:kern w:val="2"/>
                <w:szCs w:val="22"/>
              </w:rPr>
              <w:t>美元、歐元、日幣、</w:t>
            </w:r>
            <w:proofErr w:type="gramStart"/>
            <w:r w:rsidR="00BC3B26">
              <w:rPr>
                <w:rFonts w:ascii="標楷體" w:eastAsia="標楷體" w:hAnsi="標楷體" w:cstheme="minorBidi" w:hint="eastAsia"/>
                <w:kern w:val="2"/>
                <w:szCs w:val="22"/>
              </w:rPr>
              <w:t>英鎊、</w:t>
            </w:r>
            <w:proofErr w:type="gramEnd"/>
            <w:r w:rsidR="00BC3B26">
              <w:rPr>
                <w:rFonts w:ascii="標楷體" w:eastAsia="標楷體" w:hAnsi="標楷體" w:cstheme="minorBidi" w:hint="eastAsia"/>
                <w:kern w:val="2"/>
                <w:szCs w:val="22"/>
              </w:rPr>
              <w:t>澳幣及港幣</w:t>
            </w:r>
            <w:r w:rsidR="00BC3B26" w:rsidRPr="00BC3B26">
              <w:rPr>
                <w:rFonts w:ascii="標楷體" w:eastAsia="標楷體" w:hAnsi="標楷體" w:cstheme="minorBidi" w:hint="eastAsia"/>
                <w:kern w:val="2"/>
                <w:szCs w:val="22"/>
                <w:u w:val="single"/>
              </w:rPr>
              <w:t>為限</w:t>
            </w:r>
            <w:r w:rsidRPr="008A2F09">
              <w:rPr>
                <w:rFonts w:ascii="標楷體" w:eastAsia="標楷體" w:hAnsi="標楷體" w:cstheme="minorBidi" w:hint="eastAsia"/>
                <w:kern w:val="2"/>
                <w:szCs w:val="22"/>
              </w:rPr>
              <w:t>；外幣擔保品專戶應於中央銀行許可辦理外匯業務之銀行（以下簡稱指定銀</w:t>
            </w:r>
            <w:r w:rsidRPr="008A2F09">
              <w:rPr>
                <w:rFonts w:ascii="標楷體" w:eastAsia="標楷體" w:hAnsi="標楷體" w:cstheme="minorBidi" w:hint="eastAsia"/>
                <w:kern w:val="2"/>
                <w:szCs w:val="22"/>
              </w:rPr>
              <w:lastRenderedPageBreak/>
              <w:t>行）開立。</w:t>
            </w:r>
          </w:p>
          <w:p w:rsidR="008A2F09" w:rsidRDefault="008A2F09" w:rsidP="00CC563C">
            <w:pPr>
              <w:rPr>
                <w:rFonts w:ascii="標楷體" w:eastAsia="標楷體" w:hAnsi="標楷體"/>
              </w:rPr>
            </w:pPr>
            <w:r w:rsidRPr="008A2F09">
              <w:rPr>
                <w:rFonts w:ascii="標楷體" w:eastAsia="標楷體" w:hAnsi="標楷體" w:hint="eastAsia"/>
              </w:rPr>
              <w:t>(以下略)</w:t>
            </w:r>
          </w:p>
          <w:p w:rsidR="006635CA" w:rsidRPr="008A2F09" w:rsidRDefault="006635CA" w:rsidP="00CC563C">
            <w:pPr>
              <w:rPr>
                <w:rFonts w:ascii="標楷體" w:eastAsia="標楷體" w:hAnsi="標楷體"/>
              </w:rPr>
            </w:pPr>
          </w:p>
        </w:tc>
        <w:tc>
          <w:tcPr>
            <w:tcW w:w="2787" w:type="dxa"/>
          </w:tcPr>
          <w:p w:rsidR="008A2F09" w:rsidRPr="008A2F09" w:rsidRDefault="008A2F09" w:rsidP="00CD499F">
            <w:pPr>
              <w:rPr>
                <w:rFonts w:ascii="標楷體" w:eastAsia="標楷體" w:hAnsi="標楷體"/>
              </w:rPr>
            </w:pPr>
            <w:r w:rsidRPr="008A2F09">
              <w:rPr>
                <w:rFonts w:ascii="標楷體" w:eastAsia="標楷體" w:hAnsi="標楷體" w:hint="eastAsia"/>
              </w:rPr>
              <w:lastRenderedPageBreak/>
              <w:t>第十九條之</w:t>
            </w:r>
            <w:proofErr w:type="gramStart"/>
            <w:r w:rsidRPr="008A2F09">
              <w:rPr>
                <w:rFonts w:ascii="標楷體" w:eastAsia="標楷體" w:hAnsi="標楷體" w:hint="eastAsia"/>
              </w:rPr>
              <w:t>一</w:t>
            </w:r>
            <w:proofErr w:type="gramEnd"/>
          </w:p>
          <w:p w:rsidR="008A2F09" w:rsidRPr="008A2F09" w:rsidRDefault="008A2F09" w:rsidP="00CD499F">
            <w:pPr>
              <w:pStyle w:val="HTML"/>
              <w:rPr>
                <w:rFonts w:ascii="標楷體" w:eastAsia="標楷體" w:hAnsi="標楷體" w:cstheme="minorBidi"/>
                <w:kern w:val="2"/>
                <w:szCs w:val="22"/>
              </w:rPr>
            </w:pPr>
            <w:r w:rsidRPr="008A2F09">
              <w:rPr>
                <w:rFonts w:ascii="標楷體" w:eastAsia="標楷體" w:hAnsi="標楷體" w:cstheme="minorBidi" w:hint="eastAsia"/>
                <w:kern w:val="2"/>
                <w:szCs w:val="22"/>
              </w:rPr>
              <w:t xml:space="preserve">    前條第二項第一款所列擔保品，應設專戶管理，並以新臺幣為限。但境外華僑及外國人得以美元、歐元、日幣、</w:t>
            </w:r>
            <w:proofErr w:type="gramStart"/>
            <w:r w:rsidRPr="008A2F09">
              <w:rPr>
                <w:rFonts w:ascii="標楷體" w:eastAsia="標楷體" w:hAnsi="標楷體" w:cstheme="minorBidi" w:hint="eastAsia"/>
                <w:kern w:val="2"/>
                <w:szCs w:val="22"/>
              </w:rPr>
              <w:t>英鎊、</w:t>
            </w:r>
            <w:proofErr w:type="gramEnd"/>
            <w:r w:rsidRPr="008A2F09">
              <w:rPr>
                <w:rFonts w:ascii="標楷體" w:eastAsia="標楷體" w:hAnsi="標楷體" w:cstheme="minorBidi" w:hint="eastAsia"/>
                <w:kern w:val="2"/>
                <w:szCs w:val="22"/>
              </w:rPr>
              <w:t>澳幣及港幣</w:t>
            </w:r>
            <w:r w:rsidRPr="004279B9">
              <w:rPr>
                <w:rFonts w:ascii="標楷體" w:eastAsia="標楷體" w:hAnsi="標楷體" w:cstheme="minorBidi" w:hint="eastAsia"/>
                <w:kern w:val="2"/>
                <w:szCs w:val="22"/>
                <w:u w:val="single"/>
              </w:rPr>
              <w:t>等六種外幣為現金擔保品（下稱「外幣擔保品」）</w:t>
            </w:r>
            <w:r w:rsidRPr="008A2F09">
              <w:rPr>
                <w:rFonts w:ascii="標楷體" w:eastAsia="標楷體" w:hAnsi="標楷體" w:cstheme="minorBidi" w:hint="eastAsia"/>
                <w:kern w:val="2"/>
                <w:szCs w:val="22"/>
              </w:rPr>
              <w:t>；外幣擔保品專戶應於中央銀行許可辦理外匯業務之銀行（以</w:t>
            </w:r>
            <w:r w:rsidRPr="008A2F09">
              <w:rPr>
                <w:rFonts w:ascii="標楷體" w:eastAsia="標楷體" w:hAnsi="標楷體" w:cstheme="minorBidi" w:hint="eastAsia"/>
                <w:kern w:val="2"/>
                <w:szCs w:val="22"/>
              </w:rPr>
              <w:lastRenderedPageBreak/>
              <w:t>下簡稱指定銀行）開立。</w:t>
            </w:r>
          </w:p>
          <w:p w:rsidR="008A2F09" w:rsidRPr="0040018F" w:rsidRDefault="008A2F09" w:rsidP="00CC563C">
            <w:pPr>
              <w:rPr>
                <w:rFonts w:ascii="標楷體" w:eastAsia="標楷體" w:hAnsi="標楷體"/>
              </w:rPr>
            </w:pPr>
            <w:r w:rsidRPr="008A2F09">
              <w:rPr>
                <w:rFonts w:ascii="標楷體" w:eastAsia="標楷體" w:hAnsi="標楷體" w:hint="eastAsia"/>
              </w:rPr>
              <w:t>(以下略)</w:t>
            </w:r>
          </w:p>
        </w:tc>
        <w:tc>
          <w:tcPr>
            <w:tcW w:w="2788" w:type="dxa"/>
          </w:tcPr>
          <w:p w:rsidR="008A2F09" w:rsidRPr="00597ED8" w:rsidRDefault="00D3076F" w:rsidP="00C31AB0">
            <w:pPr>
              <w:jc w:val="both"/>
              <w:rPr>
                <w:rFonts w:ascii="標楷體" w:eastAsia="標楷體" w:hAnsi="標楷體"/>
              </w:rPr>
            </w:pPr>
            <w:r>
              <w:rPr>
                <w:rFonts w:ascii="標楷體" w:eastAsia="標楷體" w:hAnsi="標楷體" w:hint="eastAsia"/>
              </w:rPr>
              <w:lastRenderedPageBreak/>
              <w:t>為與證券交易所有價證券借貸辦法第</w:t>
            </w:r>
            <w:r w:rsidR="00C31AB0">
              <w:rPr>
                <w:rFonts w:ascii="標楷體" w:eastAsia="標楷體" w:hAnsi="標楷體" w:hint="eastAsia"/>
              </w:rPr>
              <w:t>三十三</w:t>
            </w:r>
            <w:r>
              <w:rPr>
                <w:rFonts w:ascii="標楷體" w:eastAsia="標楷體" w:hAnsi="標楷體" w:hint="eastAsia"/>
              </w:rPr>
              <w:t>條第</w:t>
            </w:r>
            <w:r w:rsidR="00C31AB0">
              <w:rPr>
                <w:rFonts w:ascii="標楷體" w:eastAsia="標楷體" w:hAnsi="標楷體" w:hint="eastAsia"/>
              </w:rPr>
              <w:t>一</w:t>
            </w:r>
            <w:r>
              <w:rPr>
                <w:rFonts w:ascii="標楷體" w:eastAsia="標楷體" w:hAnsi="標楷體" w:hint="eastAsia"/>
              </w:rPr>
              <w:t>項第</w:t>
            </w:r>
            <w:r w:rsidR="00C31AB0">
              <w:rPr>
                <w:rFonts w:ascii="標楷體" w:eastAsia="標楷體" w:hAnsi="標楷體" w:hint="eastAsia"/>
              </w:rPr>
              <w:t>一</w:t>
            </w:r>
            <w:r>
              <w:rPr>
                <w:rFonts w:ascii="標楷體" w:eastAsia="標楷體" w:hAnsi="標楷體" w:hint="eastAsia"/>
              </w:rPr>
              <w:t>款之用語一致，</w:t>
            </w:r>
            <w:proofErr w:type="gramStart"/>
            <w:r>
              <w:rPr>
                <w:rFonts w:ascii="標楷體" w:eastAsia="標楷體" w:hAnsi="標楷體" w:hint="eastAsia"/>
              </w:rPr>
              <w:t>爰</w:t>
            </w:r>
            <w:proofErr w:type="gramEnd"/>
            <w:r>
              <w:rPr>
                <w:rFonts w:ascii="標楷體" w:eastAsia="標楷體" w:hAnsi="標楷體" w:hint="eastAsia"/>
              </w:rPr>
              <w:t>配合調整第一項文字。</w:t>
            </w:r>
          </w:p>
        </w:tc>
      </w:tr>
    </w:tbl>
    <w:p w:rsidR="00D21F0F" w:rsidRDefault="00150C2E" w:rsidP="00A32481">
      <w:pPr>
        <w:spacing w:beforeLines="100"/>
        <w:ind w:leftChars="100" w:left="240"/>
        <w:jc w:val="both"/>
        <w:rPr>
          <w:rFonts w:ascii="標楷體" w:eastAsia="標楷體" w:hAnsi="標楷體"/>
          <w:b/>
          <w:color w:val="000000" w:themeColor="text1"/>
          <w:sz w:val="32"/>
        </w:rPr>
      </w:pPr>
      <w:r w:rsidRPr="00300FCE">
        <w:rPr>
          <w:rFonts w:ascii="標楷體" w:eastAsia="標楷體" w:hAnsi="標楷體" w:hint="eastAsia"/>
          <w:b/>
          <w:color w:val="000000" w:themeColor="text1"/>
          <w:sz w:val="32"/>
        </w:rPr>
        <w:lastRenderedPageBreak/>
        <w:t>證券商及證券金融事業辦理有價證券借貸履約保證金</w:t>
      </w:r>
    </w:p>
    <w:p w:rsidR="00D21F0F" w:rsidRDefault="00150C2E" w:rsidP="00A32481">
      <w:pPr>
        <w:spacing w:afterLines="50" w:line="320" w:lineRule="exact"/>
        <w:ind w:rightChars="100" w:right="240"/>
        <w:jc w:val="center"/>
        <w:rPr>
          <w:rFonts w:ascii="標楷體" w:eastAsia="標楷體" w:hAnsi="標楷體"/>
          <w:b/>
          <w:color w:val="000000" w:themeColor="text1"/>
          <w:sz w:val="32"/>
        </w:rPr>
        <w:pPrChange w:id="1" w:author="00" w:date="2017-02-08T16:13:00Z">
          <w:pPr>
            <w:spacing w:afterLines="50" w:line="320" w:lineRule="exact"/>
            <w:ind w:rightChars="100" w:right="240"/>
            <w:jc w:val="center"/>
          </w:pPr>
        </w:pPrChange>
      </w:pPr>
      <w:r w:rsidRPr="00300FCE">
        <w:rPr>
          <w:rFonts w:ascii="標楷體" w:eastAsia="標楷體" w:hAnsi="標楷體" w:hint="eastAsia"/>
          <w:b/>
          <w:color w:val="000000" w:themeColor="text1"/>
          <w:sz w:val="32"/>
        </w:rPr>
        <w:t>管理辦法第三條修正條文對照表</w:t>
      </w:r>
    </w:p>
    <w:tbl>
      <w:tblPr>
        <w:tblStyle w:val="a3"/>
        <w:tblW w:w="0" w:type="auto"/>
        <w:tblLook w:val="04A0"/>
      </w:tblPr>
      <w:tblGrid>
        <w:gridCol w:w="2788"/>
        <w:gridCol w:w="2787"/>
        <w:gridCol w:w="2788"/>
      </w:tblGrid>
      <w:tr w:rsidR="00150C2E" w:rsidRPr="00300FCE" w:rsidTr="00CC563C">
        <w:tc>
          <w:tcPr>
            <w:tcW w:w="2788" w:type="dxa"/>
          </w:tcPr>
          <w:p w:rsidR="00150C2E" w:rsidRPr="00300FCE" w:rsidRDefault="00150C2E" w:rsidP="00CC563C">
            <w:pPr>
              <w:jc w:val="both"/>
              <w:rPr>
                <w:rFonts w:ascii="標楷體" w:eastAsia="標楷體" w:hAnsi="標楷體"/>
                <w:color w:val="000000" w:themeColor="text1"/>
              </w:rPr>
            </w:pPr>
            <w:r w:rsidRPr="00300FCE">
              <w:rPr>
                <w:rFonts w:ascii="標楷體" w:eastAsia="標楷體" w:hAnsi="標楷體" w:hint="eastAsia"/>
                <w:color w:val="000000" w:themeColor="text1"/>
              </w:rPr>
              <w:t>修正條文</w:t>
            </w:r>
          </w:p>
        </w:tc>
        <w:tc>
          <w:tcPr>
            <w:tcW w:w="2787" w:type="dxa"/>
          </w:tcPr>
          <w:p w:rsidR="00150C2E" w:rsidRPr="00300FCE" w:rsidRDefault="00150C2E" w:rsidP="00CC563C">
            <w:pPr>
              <w:jc w:val="both"/>
              <w:rPr>
                <w:rFonts w:ascii="標楷體" w:eastAsia="標楷體" w:hAnsi="標楷體"/>
                <w:color w:val="000000" w:themeColor="text1"/>
              </w:rPr>
            </w:pPr>
            <w:r w:rsidRPr="00300FCE">
              <w:rPr>
                <w:rFonts w:ascii="標楷體" w:eastAsia="標楷體" w:hAnsi="標楷體" w:hint="eastAsia"/>
                <w:color w:val="000000" w:themeColor="text1"/>
              </w:rPr>
              <w:t>現行條文</w:t>
            </w:r>
          </w:p>
        </w:tc>
        <w:tc>
          <w:tcPr>
            <w:tcW w:w="2788" w:type="dxa"/>
          </w:tcPr>
          <w:p w:rsidR="00150C2E" w:rsidRPr="00300FCE" w:rsidRDefault="00150C2E" w:rsidP="00CC563C">
            <w:pPr>
              <w:jc w:val="both"/>
              <w:rPr>
                <w:rFonts w:ascii="標楷體" w:eastAsia="標楷體" w:hAnsi="標楷體"/>
                <w:color w:val="000000" w:themeColor="text1"/>
              </w:rPr>
            </w:pPr>
            <w:r w:rsidRPr="00300FCE">
              <w:rPr>
                <w:rFonts w:ascii="標楷體" w:eastAsia="標楷體" w:hAnsi="標楷體" w:hint="eastAsia"/>
                <w:color w:val="000000" w:themeColor="text1"/>
              </w:rPr>
              <w:t>說明</w:t>
            </w:r>
          </w:p>
        </w:tc>
      </w:tr>
      <w:tr w:rsidR="00150C2E" w:rsidRPr="00300FCE" w:rsidTr="00CC563C">
        <w:tc>
          <w:tcPr>
            <w:tcW w:w="2788" w:type="dxa"/>
          </w:tcPr>
          <w:p w:rsidR="00150C2E" w:rsidRPr="00300FCE" w:rsidRDefault="00150C2E" w:rsidP="00CC563C">
            <w:pPr>
              <w:tabs>
                <w:tab w:val="left" w:pos="8040"/>
              </w:tabs>
              <w:kinsoku w:val="0"/>
              <w:spacing w:line="380" w:lineRule="exact"/>
              <w:jc w:val="both"/>
              <w:rPr>
                <w:rFonts w:ascii="標楷體" w:eastAsia="標楷體"/>
                <w:color w:val="000000" w:themeColor="text1"/>
              </w:rPr>
            </w:pPr>
            <w:r w:rsidRPr="00300FCE">
              <w:rPr>
                <w:rFonts w:ascii="標楷體" w:eastAsia="標楷體" w:hint="eastAsia"/>
                <w:color w:val="000000" w:themeColor="text1"/>
              </w:rPr>
              <w:t>第三條</w:t>
            </w:r>
          </w:p>
          <w:p w:rsidR="00150C2E" w:rsidRPr="00300FCE" w:rsidRDefault="00150C2E" w:rsidP="00CC563C">
            <w:pPr>
              <w:kinsoku w:val="0"/>
              <w:overflowPunct w:val="0"/>
              <w:spacing w:line="380" w:lineRule="exact"/>
              <w:ind w:firstLineChars="200" w:firstLine="480"/>
              <w:jc w:val="both"/>
              <w:rPr>
                <w:rFonts w:ascii="標楷體" w:eastAsia="標楷體" w:hAnsi="Times New Roman" w:cs="Times New Roman"/>
                <w:color w:val="000000" w:themeColor="text1"/>
              </w:rPr>
            </w:pPr>
            <w:r w:rsidRPr="00300FCE">
              <w:rPr>
                <w:rFonts w:ascii="標楷體" w:eastAsia="標楷體" w:hAnsi="Times New Roman" w:cs="Times New Roman" w:hint="eastAsia"/>
                <w:color w:val="000000" w:themeColor="text1"/>
              </w:rPr>
              <w:t>證券商或證券金融事業以現金繳存履約保證金者，</w:t>
            </w:r>
            <w:r w:rsidRPr="00300FCE">
              <w:rPr>
                <w:rFonts w:ascii="標楷體" w:eastAsia="標楷體" w:hAnsi="標楷體" w:cs="標楷體" w:hint="eastAsia"/>
                <w:color w:val="000000" w:themeColor="text1"/>
                <w:lang w:val="zh-TW"/>
              </w:rPr>
              <w:t>應</w:t>
            </w:r>
            <w:r w:rsidR="00BC3B26" w:rsidRPr="00BC3B26">
              <w:rPr>
                <w:rFonts w:ascii="標楷體" w:eastAsia="標楷體" w:hAnsi="標楷體" w:cs="標楷體" w:hint="eastAsia"/>
                <w:u w:val="single"/>
                <w:lang w:val="zh-TW"/>
              </w:rPr>
              <w:t>依「</w:t>
            </w:r>
            <w:r w:rsidR="00BC3B26" w:rsidRPr="00BC3B26">
              <w:rPr>
                <w:rFonts w:ascii="標楷體" w:eastAsia="標楷體" w:hAnsi="標楷體" w:hint="eastAsia"/>
                <w:u w:val="single"/>
              </w:rPr>
              <w:t>繳存履約保證金虛擬帳號匯款作業說明一覽表</w:t>
            </w:r>
            <w:r w:rsidR="00BC3B26" w:rsidRPr="00BC3B26">
              <w:rPr>
                <w:rFonts w:ascii="標楷體" w:eastAsia="標楷體" w:hAnsi="標楷體" w:cs="標楷體" w:hint="eastAsia"/>
                <w:u w:val="single"/>
                <w:lang w:val="zh-TW"/>
              </w:rPr>
              <w:t>」（附表一）規定，以</w:t>
            </w:r>
            <w:r w:rsidR="00BC3B26" w:rsidRPr="00BC3B26">
              <w:rPr>
                <w:rFonts w:ascii="標楷體" w:eastAsia="標楷體" w:hAnsi="標楷體" w:cs="標楷體"/>
                <w:u w:val="single"/>
                <w:lang w:val="zh-TW"/>
              </w:rPr>
              <w:t>虛擬帳號</w:t>
            </w:r>
            <w:r w:rsidR="00BC3B26" w:rsidRPr="00BC3B26">
              <w:rPr>
                <w:rFonts w:ascii="標楷體" w:eastAsia="標楷體" w:hAnsi="標楷體" w:cs="標楷體" w:hint="eastAsia"/>
                <w:u w:val="single"/>
                <w:lang w:val="zh-TW"/>
              </w:rPr>
              <w:t>形式</w:t>
            </w:r>
            <w:r w:rsidRPr="00300FCE">
              <w:rPr>
                <w:rFonts w:ascii="標楷體" w:eastAsia="標楷體" w:hAnsi="Times New Roman" w:cs="Times New Roman" w:hint="eastAsia"/>
                <w:color w:val="000000" w:themeColor="text1"/>
              </w:rPr>
              <w:t>自行</w:t>
            </w:r>
            <w:proofErr w:type="gramStart"/>
            <w:r w:rsidRPr="00300FCE">
              <w:rPr>
                <w:rFonts w:ascii="標楷體" w:eastAsia="標楷體" w:hAnsi="Times New Roman" w:cs="Times New Roman" w:hint="eastAsia"/>
                <w:color w:val="000000" w:themeColor="text1"/>
              </w:rPr>
              <w:t>匯</w:t>
            </w:r>
            <w:proofErr w:type="gramEnd"/>
            <w:r w:rsidRPr="00300FCE">
              <w:rPr>
                <w:rFonts w:ascii="標楷體" w:eastAsia="標楷體" w:hAnsi="Times New Roman" w:cs="Times New Roman" w:hint="eastAsia"/>
                <w:color w:val="000000" w:themeColor="text1"/>
              </w:rPr>
              <w:t>撥存入證券交易所指定之銀行帳戶，並經由證券商有價證券借貸系統申報相關作業。</w:t>
            </w:r>
          </w:p>
          <w:p w:rsidR="00150C2E" w:rsidRPr="00300FCE" w:rsidRDefault="00150C2E" w:rsidP="00CC563C">
            <w:pPr>
              <w:kinsoku w:val="0"/>
              <w:overflowPunct w:val="0"/>
              <w:spacing w:line="380" w:lineRule="exact"/>
              <w:ind w:firstLineChars="200" w:firstLine="480"/>
              <w:jc w:val="both"/>
              <w:rPr>
                <w:rFonts w:ascii="標楷體" w:eastAsia="標楷體" w:hAnsi="Times New Roman" w:cs="Times New Roman"/>
                <w:color w:val="000000" w:themeColor="text1"/>
              </w:rPr>
            </w:pPr>
            <w:r w:rsidRPr="00300FCE">
              <w:rPr>
                <w:rFonts w:ascii="標楷體" w:eastAsia="標楷體" w:hAnsi="Times New Roman" w:cs="Times New Roman" w:hint="eastAsia"/>
                <w:color w:val="000000" w:themeColor="text1"/>
              </w:rPr>
              <w:t>證券商或證券金融事業以銀行保證繳存履約保證金者，應先行向銀行辦妥保證手續後，向證券交易所申請，將保證書正本交付證券交易所，由證券交易所輸入銀行名稱、保證金額及到期日後，始可作為辦理借入有價證券之使用。</w:t>
            </w:r>
          </w:p>
          <w:p w:rsidR="00150C2E" w:rsidRPr="00300FCE" w:rsidRDefault="00150C2E" w:rsidP="00301C6B">
            <w:pPr>
              <w:kinsoku w:val="0"/>
              <w:overflowPunct w:val="0"/>
              <w:spacing w:line="380" w:lineRule="exact"/>
              <w:rPr>
                <w:rFonts w:ascii="標楷體" w:eastAsia="標楷體"/>
                <w:color w:val="000000" w:themeColor="text1"/>
              </w:rPr>
            </w:pPr>
            <w:r w:rsidRPr="00300FCE">
              <w:rPr>
                <w:rFonts w:ascii="標楷體" w:eastAsia="標楷體" w:hint="eastAsia"/>
                <w:color w:val="000000" w:themeColor="text1"/>
              </w:rPr>
              <w:t>(</w:t>
            </w:r>
            <w:r w:rsidR="00301C6B">
              <w:rPr>
                <w:rFonts w:ascii="標楷體" w:eastAsia="標楷體" w:hint="eastAsia"/>
                <w:color w:val="000000" w:themeColor="text1"/>
              </w:rPr>
              <w:t>以下</w:t>
            </w:r>
            <w:r w:rsidRPr="00300FCE">
              <w:rPr>
                <w:rFonts w:ascii="標楷體" w:eastAsia="標楷體" w:hint="eastAsia"/>
                <w:color w:val="000000" w:themeColor="text1"/>
              </w:rPr>
              <w:t>略)</w:t>
            </w:r>
          </w:p>
          <w:p w:rsidR="00150C2E" w:rsidRPr="00300FCE" w:rsidRDefault="00150C2E" w:rsidP="00CC563C">
            <w:pPr>
              <w:kinsoku w:val="0"/>
              <w:overflowPunct w:val="0"/>
              <w:spacing w:line="380" w:lineRule="exact"/>
              <w:jc w:val="center"/>
              <w:rPr>
                <w:rFonts w:ascii="標楷體" w:eastAsia="標楷體"/>
                <w:color w:val="000000" w:themeColor="text1"/>
              </w:rPr>
            </w:pPr>
          </w:p>
        </w:tc>
        <w:tc>
          <w:tcPr>
            <w:tcW w:w="2787" w:type="dxa"/>
          </w:tcPr>
          <w:p w:rsidR="00150C2E" w:rsidRPr="00300FCE" w:rsidRDefault="00150C2E" w:rsidP="00CC563C">
            <w:pPr>
              <w:tabs>
                <w:tab w:val="left" w:pos="8040"/>
              </w:tabs>
              <w:kinsoku w:val="0"/>
              <w:spacing w:line="380" w:lineRule="exact"/>
              <w:jc w:val="both"/>
              <w:rPr>
                <w:rFonts w:ascii="標楷體" w:eastAsia="標楷體"/>
                <w:color w:val="000000" w:themeColor="text1"/>
              </w:rPr>
            </w:pPr>
            <w:r w:rsidRPr="00300FCE">
              <w:rPr>
                <w:rFonts w:ascii="標楷體" w:eastAsia="標楷體" w:hint="eastAsia"/>
                <w:color w:val="000000" w:themeColor="text1"/>
              </w:rPr>
              <w:t>第三條</w:t>
            </w:r>
          </w:p>
          <w:p w:rsidR="00150C2E" w:rsidRPr="00300FCE" w:rsidRDefault="00150C2E" w:rsidP="00CC563C">
            <w:pPr>
              <w:kinsoku w:val="0"/>
              <w:overflowPunct w:val="0"/>
              <w:spacing w:line="380" w:lineRule="exact"/>
              <w:ind w:firstLineChars="200" w:firstLine="480"/>
              <w:jc w:val="both"/>
              <w:rPr>
                <w:rFonts w:ascii="標楷體" w:eastAsia="標楷體" w:hAnsi="Times New Roman" w:cs="Times New Roman"/>
                <w:color w:val="000000" w:themeColor="text1"/>
              </w:rPr>
            </w:pPr>
            <w:r w:rsidRPr="00300FCE">
              <w:rPr>
                <w:rFonts w:ascii="標楷體" w:eastAsia="標楷體" w:hAnsi="Times New Roman" w:cs="Times New Roman" w:hint="eastAsia"/>
                <w:color w:val="000000" w:themeColor="text1"/>
              </w:rPr>
              <w:t>證券商或證券金融事業以現金繳存履約保證金者，應自行</w:t>
            </w:r>
            <w:proofErr w:type="gramStart"/>
            <w:r w:rsidRPr="00300FCE">
              <w:rPr>
                <w:rFonts w:ascii="標楷體" w:eastAsia="標楷體" w:hAnsi="Times New Roman" w:cs="Times New Roman" w:hint="eastAsia"/>
                <w:color w:val="000000" w:themeColor="text1"/>
              </w:rPr>
              <w:t>匯</w:t>
            </w:r>
            <w:proofErr w:type="gramEnd"/>
            <w:r w:rsidRPr="00300FCE">
              <w:rPr>
                <w:rFonts w:ascii="標楷體" w:eastAsia="標楷體" w:hAnsi="Times New Roman" w:cs="Times New Roman" w:hint="eastAsia"/>
                <w:color w:val="000000" w:themeColor="text1"/>
              </w:rPr>
              <w:t>撥存入證券交易所指定之銀行帳戶，並經由證券商有價證券借貸系統申報相關作業。</w:t>
            </w:r>
          </w:p>
          <w:p w:rsidR="00150C2E" w:rsidRPr="00300FCE" w:rsidRDefault="00150C2E" w:rsidP="00CC563C">
            <w:pPr>
              <w:kinsoku w:val="0"/>
              <w:overflowPunct w:val="0"/>
              <w:spacing w:line="380" w:lineRule="exact"/>
              <w:ind w:firstLineChars="200" w:firstLine="480"/>
              <w:jc w:val="both"/>
              <w:rPr>
                <w:rFonts w:ascii="標楷體" w:eastAsia="標楷體" w:hAnsi="Times New Roman" w:cs="Times New Roman"/>
                <w:color w:val="000000" w:themeColor="text1"/>
              </w:rPr>
            </w:pPr>
            <w:r w:rsidRPr="00300FCE">
              <w:rPr>
                <w:rFonts w:ascii="標楷體" w:eastAsia="標楷體" w:hAnsi="Times New Roman" w:cs="Times New Roman" w:hint="eastAsia"/>
                <w:color w:val="000000" w:themeColor="text1"/>
              </w:rPr>
              <w:t>證券商或證券金融事業以銀行保證繳存履約保證金者，應先行向銀行辦妥保證手續後，向證券交易所申請，將保證書正本交付證券交易所，由證券交易所輸入銀行名稱、保證金額及到期日後，始可作為辦理借入有價證券之使用。</w:t>
            </w:r>
          </w:p>
          <w:p w:rsidR="00150C2E" w:rsidRPr="00300FCE" w:rsidRDefault="00150C2E" w:rsidP="00CC563C">
            <w:pPr>
              <w:kinsoku w:val="0"/>
              <w:overflowPunct w:val="0"/>
              <w:spacing w:line="380" w:lineRule="exact"/>
              <w:jc w:val="both"/>
              <w:rPr>
                <w:rFonts w:ascii="標楷體" w:eastAsia="標楷體"/>
                <w:color w:val="000000" w:themeColor="text1"/>
              </w:rPr>
            </w:pPr>
            <w:r w:rsidRPr="00300FCE">
              <w:rPr>
                <w:rFonts w:ascii="標楷體" w:eastAsia="標楷體" w:hint="eastAsia"/>
                <w:color w:val="000000" w:themeColor="text1"/>
              </w:rPr>
              <w:t>(</w:t>
            </w:r>
            <w:r w:rsidR="00301C6B">
              <w:rPr>
                <w:rFonts w:ascii="標楷體" w:eastAsia="標楷體" w:hint="eastAsia"/>
                <w:color w:val="000000" w:themeColor="text1"/>
              </w:rPr>
              <w:t>以下</w:t>
            </w:r>
            <w:r w:rsidRPr="00300FCE">
              <w:rPr>
                <w:rFonts w:ascii="標楷體" w:eastAsia="標楷體" w:hint="eastAsia"/>
                <w:color w:val="000000" w:themeColor="text1"/>
              </w:rPr>
              <w:t>略)</w:t>
            </w:r>
          </w:p>
          <w:p w:rsidR="00150C2E" w:rsidRPr="00300FCE" w:rsidRDefault="00150C2E" w:rsidP="00CC563C">
            <w:pPr>
              <w:kinsoku w:val="0"/>
              <w:overflowPunct w:val="0"/>
              <w:spacing w:line="380" w:lineRule="exact"/>
              <w:jc w:val="both"/>
              <w:rPr>
                <w:rFonts w:ascii="標楷體" w:eastAsia="標楷體"/>
                <w:color w:val="000000" w:themeColor="text1"/>
              </w:rPr>
            </w:pPr>
          </w:p>
        </w:tc>
        <w:tc>
          <w:tcPr>
            <w:tcW w:w="2788" w:type="dxa"/>
          </w:tcPr>
          <w:p w:rsidR="00150C2E" w:rsidRPr="00300FCE" w:rsidRDefault="00150C2E" w:rsidP="00CC563C">
            <w:pPr>
              <w:tabs>
                <w:tab w:val="left" w:pos="8040"/>
              </w:tabs>
              <w:kinsoku w:val="0"/>
              <w:spacing w:line="380" w:lineRule="exact"/>
              <w:jc w:val="both"/>
              <w:rPr>
                <w:rFonts w:ascii="標楷體" w:eastAsia="標楷體"/>
                <w:color w:val="000000" w:themeColor="text1"/>
                <w:sz w:val="20"/>
                <w:szCs w:val="20"/>
              </w:rPr>
            </w:pPr>
            <w:r w:rsidRPr="00300FCE">
              <w:rPr>
                <w:rFonts w:ascii="標楷體" w:eastAsia="標楷體" w:hint="eastAsia"/>
                <w:color w:val="000000" w:themeColor="text1"/>
              </w:rPr>
              <w:t>為整</w:t>
            </w:r>
            <w:proofErr w:type="gramStart"/>
            <w:r w:rsidRPr="00300FCE">
              <w:rPr>
                <w:rFonts w:ascii="標楷體" w:eastAsia="標楷體" w:hint="eastAsia"/>
                <w:color w:val="000000" w:themeColor="text1"/>
              </w:rPr>
              <w:t>併</w:t>
            </w:r>
            <w:proofErr w:type="gramEnd"/>
            <w:r w:rsidRPr="00300FCE">
              <w:rPr>
                <w:rFonts w:ascii="標楷體" w:eastAsia="標楷體" w:hint="eastAsia"/>
                <w:color w:val="000000" w:themeColor="text1"/>
              </w:rPr>
              <w:t>規章，第一項修正納入本公司</w:t>
            </w:r>
            <w:r>
              <w:rPr>
                <w:rFonts w:ascii="標楷體" w:eastAsia="標楷體" w:hint="eastAsia"/>
                <w:color w:val="000000" w:themeColor="text1"/>
              </w:rPr>
              <w:t>105年1月20日</w:t>
            </w:r>
            <w:proofErr w:type="gramStart"/>
            <w:r w:rsidRPr="00300FCE">
              <w:rPr>
                <w:rFonts w:ascii="標楷體" w:eastAsia="標楷體" w:hint="eastAsia"/>
                <w:color w:val="000000" w:themeColor="text1"/>
              </w:rPr>
              <w:t>臺證交字第10500008082號</w:t>
            </w:r>
            <w:proofErr w:type="gramEnd"/>
            <w:r w:rsidRPr="00300FCE">
              <w:rPr>
                <w:rFonts w:ascii="標楷體" w:eastAsia="標楷體" w:hint="eastAsia"/>
                <w:color w:val="000000" w:themeColor="text1"/>
              </w:rPr>
              <w:t>函之規定。</w:t>
            </w:r>
          </w:p>
        </w:tc>
      </w:tr>
    </w:tbl>
    <w:p w:rsidR="00F67035" w:rsidRDefault="00F67035" w:rsidP="00A32481">
      <w:pPr>
        <w:spacing w:beforeLines="100"/>
        <w:jc w:val="both"/>
        <w:rPr>
          <w:rFonts w:ascii="標楷體" w:eastAsia="標楷體" w:hAnsi="標楷體"/>
          <w:color w:val="000000" w:themeColor="text1"/>
          <w:sz w:val="28"/>
        </w:rPr>
      </w:pPr>
    </w:p>
    <w:sectPr w:rsidR="00F67035" w:rsidSect="00150C2E">
      <w:footerReference w:type="default" r:id="rId8"/>
      <w:pgSz w:w="11906" w:h="16838"/>
      <w:pgMar w:top="1021" w:right="1758" w:bottom="1021" w:left="175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529" w:rsidRDefault="00677529" w:rsidP="005D1FAD">
      <w:r>
        <w:separator/>
      </w:r>
    </w:p>
  </w:endnote>
  <w:endnote w:type="continuationSeparator" w:id="0">
    <w:p w:rsidR="00677529" w:rsidRDefault="00677529" w:rsidP="005D1F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5873"/>
      <w:docPartObj>
        <w:docPartGallery w:val="Page Numbers (Bottom of Page)"/>
        <w:docPartUnique/>
      </w:docPartObj>
    </w:sdtPr>
    <w:sdtContent>
      <w:p w:rsidR="00150C2E" w:rsidRDefault="0076772F">
        <w:pPr>
          <w:pStyle w:val="a6"/>
        </w:pPr>
        <w:r>
          <w:fldChar w:fldCharType="begin"/>
        </w:r>
        <w:r w:rsidR="00150C2E">
          <w:instrText xml:space="preserve"> PAGE   \* MERGEFORMAT </w:instrText>
        </w:r>
        <w:r>
          <w:fldChar w:fldCharType="separate"/>
        </w:r>
        <w:r w:rsidR="00A32481" w:rsidRPr="00A32481">
          <w:rPr>
            <w:noProof/>
            <w:lang w:val="zh-TW"/>
          </w:rPr>
          <w:t>1</w:t>
        </w:r>
        <w:r>
          <w:fldChar w:fldCharType="end"/>
        </w:r>
      </w:p>
    </w:sdtContent>
  </w:sdt>
  <w:p w:rsidR="00150C2E" w:rsidRDefault="00150C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529" w:rsidRDefault="00677529" w:rsidP="005D1FAD">
      <w:r>
        <w:separator/>
      </w:r>
    </w:p>
  </w:footnote>
  <w:footnote w:type="continuationSeparator" w:id="0">
    <w:p w:rsidR="00677529" w:rsidRDefault="00677529" w:rsidP="005D1F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C2C2D"/>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FD11E4F"/>
    <w:multiLevelType w:val="hybridMultilevel"/>
    <w:tmpl w:val="1804A5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536985"/>
    <w:multiLevelType w:val="hybridMultilevel"/>
    <w:tmpl w:val="A9162B5E"/>
    <w:lvl w:ilvl="0" w:tplc="76C4E18E">
      <w:start w:val="1"/>
      <w:numFmt w:val="taiwaneseCountingThousand"/>
      <w:lvlText w:val="%1、"/>
      <w:lvlJc w:val="left"/>
      <w:pPr>
        <w:ind w:left="480" w:hanging="480"/>
      </w:pPr>
      <w:rPr>
        <w:rFonts w:ascii="標楷體" w:eastAsia="標楷體" w:hAnsi="標楷體" w:cs="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1D600A9"/>
    <w:multiLevelType w:val="hybridMultilevel"/>
    <w:tmpl w:val="3E7ED348"/>
    <w:lvl w:ilvl="0" w:tplc="22603B08">
      <w:start w:val="1"/>
      <w:numFmt w:val="taiwaneseCountingThousand"/>
      <w:lvlText w:val="%1、"/>
      <w:lvlJc w:val="left"/>
      <w:pPr>
        <w:ind w:left="420" w:hanging="420"/>
      </w:pPr>
      <w:rPr>
        <w:rFonts w:ascii="標楷體" w:eastAsia="標楷體" w:hAnsi="標楷體" w:cs="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2A3BE2"/>
    <w:multiLevelType w:val="hybridMultilevel"/>
    <w:tmpl w:val="57A23F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1840529"/>
    <w:multiLevelType w:val="hybridMultilevel"/>
    <w:tmpl w:val="8236B2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FDA6B43"/>
    <w:multiLevelType w:val="hybridMultilevel"/>
    <w:tmpl w:val="8C5C2C00"/>
    <w:lvl w:ilvl="0" w:tplc="2D6000A2">
      <w:start w:val="1"/>
      <w:numFmt w:val="taiwaneseCountingThousand"/>
      <w:lvlText w:val="%1、"/>
      <w:lvlJc w:val="left"/>
      <w:pPr>
        <w:ind w:left="1704" w:hanging="480"/>
      </w:pPr>
      <w:rPr>
        <w:rFonts w:hint="default"/>
      </w:rPr>
    </w:lvl>
    <w:lvl w:ilvl="1" w:tplc="04090019" w:tentative="1">
      <w:start w:val="1"/>
      <w:numFmt w:val="ideographTraditional"/>
      <w:lvlText w:val="%2、"/>
      <w:lvlJc w:val="left"/>
      <w:pPr>
        <w:ind w:left="2184" w:hanging="480"/>
      </w:pPr>
    </w:lvl>
    <w:lvl w:ilvl="2" w:tplc="0409001B" w:tentative="1">
      <w:start w:val="1"/>
      <w:numFmt w:val="lowerRoman"/>
      <w:lvlText w:val="%3."/>
      <w:lvlJc w:val="right"/>
      <w:pPr>
        <w:ind w:left="2664" w:hanging="480"/>
      </w:pPr>
    </w:lvl>
    <w:lvl w:ilvl="3" w:tplc="0409000F" w:tentative="1">
      <w:start w:val="1"/>
      <w:numFmt w:val="decimal"/>
      <w:lvlText w:val="%4."/>
      <w:lvlJc w:val="left"/>
      <w:pPr>
        <w:ind w:left="3144" w:hanging="480"/>
      </w:pPr>
    </w:lvl>
    <w:lvl w:ilvl="4" w:tplc="04090019" w:tentative="1">
      <w:start w:val="1"/>
      <w:numFmt w:val="ideographTraditional"/>
      <w:lvlText w:val="%5、"/>
      <w:lvlJc w:val="left"/>
      <w:pPr>
        <w:ind w:left="3624" w:hanging="480"/>
      </w:pPr>
    </w:lvl>
    <w:lvl w:ilvl="5" w:tplc="0409001B" w:tentative="1">
      <w:start w:val="1"/>
      <w:numFmt w:val="lowerRoman"/>
      <w:lvlText w:val="%6."/>
      <w:lvlJc w:val="right"/>
      <w:pPr>
        <w:ind w:left="4104" w:hanging="480"/>
      </w:pPr>
    </w:lvl>
    <w:lvl w:ilvl="6" w:tplc="0409000F" w:tentative="1">
      <w:start w:val="1"/>
      <w:numFmt w:val="decimal"/>
      <w:lvlText w:val="%7."/>
      <w:lvlJc w:val="left"/>
      <w:pPr>
        <w:ind w:left="4584" w:hanging="480"/>
      </w:pPr>
    </w:lvl>
    <w:lvl w:ilvl="7" w:tplc="04090019" w:tentative="1">
      <w:start w:val="1"/>
      <w:numFmt w:val="ideographTraditional"/>
      <w:lvlText w:val="%8、"/>
      <w:lvlJc w:val="left"/>
      <w:pPr>
        <w:ind w:left="5064" w:hanging="480"/>
      </w:pPr>
    </w:lvl>
    <w:lvl w:ilvl="8" w:tplc="0409001B" w:tentative="1">
      <w:start w:val="1"/>
      <w:numFmt w:val="lowerRoman"/>
      <w:lvlText w:val="%9."/>
      <w:lvlJc w:val="right"/>
      <w:pPr>
        <w:ind w:left="5544" w:hanging="480"/>
      </w:pPr>
    </w:lvl>
  </w:abstractNum>
  <w:abstractNum w:abstractNumId="7">
    <w:nsid w:val="7F913F86"/>
    <w:multiLevelType w:val="hybridMultilevel"/>
    <w:tmpl w:val="D89090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0"/>
  </w:num>
  <w:num w:numId="4">
    <w:abstractNumId w:val="3"/>
  </w:num>
  <w:num w:numId="5">
    <w:abstractNumId w:val="7"/>
  </w:num>
  <w:num w:numId="6">
    <w:abstractNumId w:val="6"/>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169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134F"/>
    <w:rsid w:val="00004A87"/>
    <w:rsid w:val="000106F5"/>
    <w:rsid w:val="00027611"/>
    <w:rsid w:val="000373D3"/>
    <w:rsid w:val="0004218A"/>
    <w:rsid w:val="00046B7A"/>
    <w:rsid w:val="00047765"/>
    <w:rsid w:val="000553EF"/>
    <w:rsid w:val="00062E43"/>
    <w:rsid w:val="00064A40"/>
    <w:rsid w:val="00072B6A"/>
    <w:rsid w:val="0007427C"/>
    <w:rsid w:val="000820D6"/>
    <w:rsid w:val="00085828"/>
    <w:rsid w:val="000909AF"/>
    <w:rsid w:val="00095328"/>
    <w:rsid w:val="00096B5B"/>
    <w:rsid w:val="000A7706"/>
    <w:rsid w:val="000C52E5"/>
    <w:rsid w:val="000C67E5"/>
    <w:rsid w:val="000D0D98"/>
    <w:rsid w:val="000D12E8"/>
    <w:rsid w:val="000E5A25"/>
    <w:rsid w:val="000E77BF"/>
    <w:rsid w:val="000F09BC"/>
    <w:rsid w:val="001022C7"/>
    <w:rsid w:val="0010470B"/>
    <w:rsid w:val="00110E45"/>
    <w:rsid w:val="00111D63"/>
    <w:rsid w:val="00113933"/>
    <w:rsid w:val="00117818"/>
    <w:rsid w:val="00133E49"/>
    <w:rsid w:val="00140A03"/>
    <w:rsid w:val="00150C2E"/>
    <w:rsid w:val="00152959"/>
    <w:rsid w:val="00161E7D"/>
    <w:rsid w:val="00163248"/>
    <w:rsid w:val="001742E7"/>
    <w:rsid w:val="00174983"/>
    <w:rsid w:val="00182C20"/>
    <w:rsid w:val="00185D75"/>
    <w:rsid w:val="0019494D"/>
    <w:rsid w:val="00194C4D"/>
    <w:rsid w:val="001A1009"/>
    <w:rsid w:val="001A709E"/>
    <w:rsid w:val="001C53BC"/>
    <w:rsid w:val="001C77B2"/>
    <w:rsid w:val="001D4644"/>
    <w:rsid w:val="001E1C04"/>
    <w:rsid w:val="001E2C8B"/>
    <w:rsid w:val="001E2D96"/>
    <w:rsid w:val="001E4E14"/>
    <w:rsid w:val="001F1D2F"/>
    <w:rsid w:val="001F2A07"/>
    <w:rsid w:val="001F2E6D"/>
    <w:rsid w:val="001F5DBB"/>
    <w:rsid w:val="00220486"/>
    <w:rsid w:val="00221514"/>
    <w:rsid w:val="00227111"/>
    <w:rsid w:val="00240AEA"/>
    <w:rsid w:val="00243690"/>
    <w:rsid w:val="00252988"/>
    <w:rsid w:val="00257A30"/>
    <w:rsid w:val="00264C05"/>
    <w:rsid w:val="00266F81"/>
    <w:rsid w:val="0028265F"/>
    <w:rsid w:val="002B2947"/>
    <w:rsid w:val="002B60C0"/>
    <w:rsid w:val="002B66D6"/>
    <w:rsid w:val="002C0D64"/>
    <w:rsid w:val="002C2827"/>
    <w:rsid w:val="002C6637"/>
    <w:rsid w:val="002F2A0E"/>
    <w:rsid w:val="00301C6B"/>
    <w:rsid w:val="0030278C"/>
    <w:rsid w:val="003052EC"/>
    <w:rsid w:val="00306513"/>
    <w:rsid w:val="00320E4E"/>
    <w:rsid w:val="0032565D"/>
    <w:rsid w:val="00326356"/>
    <w:rsid w:val="00331BCF"/>
    <w:rsid w:val="0033347F"/>
    <w:rsid w:val="00334F68"/>
    <w:rsid w:val="00335309"/>
    <w:rsid w:val="00357CF0"/>
    <w:rsid w:val="003647F8"/>
    <w:rsid w:val="00365B13"/>
    <w:rsid w:val="00370440"/>
    <w:rsid w:val="00370E66"/>
    <w:rsid w:val="00371279"/>
    <w:rsid w:val="003742C3"/>
    <w:rsid w:val="00377C04"/>
    <w:rsid w:val="0039305C"/>
    <w:rsid w:val="00397FD2"/>
    <w:rsid w:val="003A0722"/>
    <w:rsid w:val="003A1394"/>
    <w:rsid w:val="003A1B65"/>
    <w:rsid w:val="003A1B82"/>
    <w:rsid w:val="003B3BDD"/>
    <w:rsid w:val="003B4D61"/>
    <w:rsid w:val="003B7766"/>
    <w:rsid w:val="003D49DA"/>
    <w:rsid w:val="003D6AF7"/>
    <w:rsid w:val="00401CB8"/>
    <w:rsid w:val="0042231F"/>
    <w:rsid w:val="0042337D"/>
    <w:rsid w:val="004279B9"/>
    <w:rsid w:val="00430EBB"/>
    <w:rsid w:val="004349B8"/>
    <w:rsid w:val="00435FA4"/>
    <w:rsid w:val="00440C29"/>
    <w:rsid w:val="00441501"/>
    <w:rsid w:val="00445045"/>
    <w:rsid w:val="0044582C"/>
    <w:rsid w:val="00454C2C"/>
    <w:rsid w:val="00455690"/>
    <w:rsid w:val="00460963"/>
    <w:rsid w:val="00466F98"/>
    <w:rsid w:val="00477649"/>
    <w:rsid w:val="004808DC"/>
    <w:rsid w:val="00490ED5"/>
    <w:rsid w:val="0049203B"/>
    <w:rsid w:val="0049236C"/>
    <w:rsid w:val="00492B90"/>
    <w:rsid w:val="00496A13"/>
    <w:rsid w:val="004B13C7"/>
    <w:rsid w:val="004C48E1"/>
    <w:rsid w:val="004C5942"/>
    <w:rsid w:val="004D001E"/>
    <w:rsid w:val="004D1099"/>
    <w:rsid w:val="004D4BDA"/>
    <w:rsid w:val="004D60EA"/>
    <w:rsid w:val="004D705A"/>
    <w:rsid w:val="004E4025"/>
    <w:rsid w:val="004F7CEE"/>
    <w:rsid w:val="00502365"/>
    <w:rsid w:val="005077B4"/>
    <w:rsid w:val="00524E4D"/>
    <w:rsid w:val="00526AF6"/>
    <w:rsid w:val="005303E0"/>
    <w:rsid w:val="005502A9"/>
    <w:rsid w:val="00552BFC"/>
    <w:rsid w:val="00553A0B"/>
    <w:rsid w:val="0055598F"/>
    <w:rsid w:val="00556264"/>
    <w:rsid w:val="00556C3D"/>
    <w:rsid w:val="005623B6"/>
    <w:rsid w:val="00572B80"/>
    <w:rsid w:val="00585E50"/>
    <w:rsid w:val="005942B6"/>
    <w:rsid w:val="005951D6"/>
    <w:rsid w:val="00597ED8"/>
    <w:rsid w:val="005A284E"/>
    <w:rsid w:val="005B212F"/>
    <w:rsid w:val="005B62FB"/>
    <w:rsid w:val="005B6383"/>
    <w:rsid w:val="005C1ED5"/>
    <w:rsid w:val="005C3601"/>
    <w:rsid w:val="005C64C0"/>
    <w:rsid w:val="005C6B59"/>
    <w:rsid w:val="005D1FAD"/>
    <w:rsid w:val="005D6630"/>
    <w:rsid w:val="005E4D1F"/>
    <w:rsid w:val="005F594B"/>
    <w:rsid w:val="005F5C1F"/>
    <w:rsid w:val="00600E59"/>
    <w:rsid w:val="006031DD"/>
    <w:rsid w:val="00603BD1"/>
    <w:rsid w:val="0060657E"/>
    <w:rsid w:val="00606F37"/>
    <w:rsid w:val="006109ED"/>
    <w:rsid w:val="00613B2E"/>
    <w:rsid w:val="006204C3"/>
    <w:rsid w:val="00620C33"/>
    <w:rsid w:val="00634C19"/>
    <w:rsid w:val="00634C56"/>
    <w:rsid w:val="00637C31"/>
    <w:rsid w:val="00637FB3"/>
    <w:rsid w:val="0065088E"/>
    <w:rsid w:val="00654369"/>
    <w:rsid w:val="00655F68"/>
    <w:rsid w:val="006635CA"/>
    <w:rsid w:val="00676555"/>
    <w:rsid w:val="00676C90"/>
    <w:rsid w:val="00677529"/>
    <w:rsid w:val="00681C0F"/>
    <w:rsid w:val="00687989"/>
    <w:rsid w:val="00691139"/>
    <w:rsid w:val="006A7412"/>
    <w:rsid w:val="006B5CAE"/>
    <w:rsid w:val="006B677D"/>
    <w:rsid w:val="006B6C54"/>
    <w:rsid w:val="006B7A38"/>
    <w:rsid w:val="006C0F6D"/>
    <w:rsid w:val="006C1F7F"/>
    <w:rsid w:val="006D1435"/>
    <w:rsid w:val="006D17C7"/>
    <w:rsid w:val="006D2DD1"/>
    <w:rsid w:val="006D735F"/>
    <w:rsid w:val="006E1D42"/>
    <w:rsid w:val="006E3DA9"/>
    <w:rsid w:val="00706EB6"/>
    <w:rsid w:val="00716918"/>
    <w:rsid w:val="00717A4D"/>
    <w:rsid w:val="00724318"/>
    <w:rsid w:val="0073580F"/>
    <w:rsid w:val="00737038"/>
    <w:rsid w:val="007501F8"/>
    <w:rsid w:val="007558B3"/>
    <w:rsid w:val="00757881"/>
    <w:rsid w:val="007579B9"/>
    <w:rsid w:val="007605AF"/>
    <w:rsid w:val="00761E75"/>
    <w:rsid w:val="00762B5A"/>
    <w:rsid w:val="0076772F"/>
    <w:rsid w:val="007704A9"/>
    <w:rsid w:val="0079186D"/>
    <w:rsid w:val="00792D9E"/>
    <w:rsid w:val="00793C99"/>
    <w:rsid w:val="00793CD8"/>
    <w:rsid w:val="007A00C5"/>
    <w:rsid w:val="007A08E6"/>
    <w:rsid w:val="007A18C5"/>
    <w:rsid w:val="007B1009"/>
    <w:rsid w:val="007B2072"/>
    <w:rsid w:val="007B4048"/>
    <w:rsid w:val="007B5B48"/>
    <w:rsid w:val="007C7FC1"/>
    <w:rsid w:val="007D3A44"/>
    <w:rsid w:val="007D7025"/>
    <w:rsid w:val="007E7D22"/>
    <w:rsid w:val="007F4851"/>
    <w:rsid w:val="008019D3"/>
    <w:rsid w:val="00805F47"/>
    <w:rsid w:val="00815558"/>
    <w:rsid w:val="00817863"/>
    <w:rsid w:val="00820229"/>
    <w:rsid w:val="00827C6E"/>
    <w:rsid w:val="0083149B"/>
    <w:rsid w:val="00832998"/>
    <w:rsid w:val="00837A72"/>
    <w:rsid w:val="00846AF9"/>
    <w:rsid w:val="00846C69"/>
    <w:rsid w:val="00850CE8"/>
    <w:rsid w:val="008659F8"/>
    <w:rsid w:val="0088259B"/>
    <w:rsid w:val="00883C4E"/>
    <w:rsid w:val="00886ECD"/>
    <w:rsid w:val="00891040"/>
    <w:rsid w:val="008A2F09"/>
    <w:rsid w:val="008B3AE5"/>
    <w:rsid w:val="008C69E3"/>
    <w:rsid w:val="008E5C7C"/>
    <w:rsid w:val="008E615E"/>
    <w:rsid w:val="008F07EE"/>
    <w:rsid w:val="008F1BBF"/>
    <w:rsid w:val="00915343"/>
    <w:rsid w:val="00921C15"/>
    <w:rsid w:val="00924A81"/>
    <w:rsid w:val="00933D68"/>
    <w:rsid w:val="00934ADE"/>
    <w:rsid w:val="00941CF8"/>
    <w:rsid w:val="00943DF6"/>
    <w:rsid w:val="00957203"/>
    <w:rsid w:val="009660A3"/>
    <w:rsid w:val="00972B49"/>
    <w:rsid w:val="00975A5E"/>
    <w:rsid w:val="009836B0"/>
    <w:rsid w:val="0098434A"/>
    <w:rsid w:val="009861D4"/>
    <w:rsid w:val="00992664"/>
    <w:rsid w:val="00996153"/>
    <w:rsid w:val="009A67A9"/>
    <w:rsid w:val="009C3A41"/>
    <w:rsid w:val="009D4AFE"/>
    <w:rsid w:val="009D7F0E"/>
    <w:rsid w:val="00A127EF"/>
    <w:rsid w:val="00A151F0"/>
    <w:rsid w:val="00A31774"/>
    <w:rsid w:val="00A32481"/>
    <w:rsid w:val="00A35571"/>
    <w:rsid w:val="00A471CA"/>
    <w:rsid w:val="00A57D5F"/>
    <w:rsid w:val="00A615BB"/>
    <w:rsid w:val="00A61A2F"/>
    <w:rsid w:val="00A6339A"/>
    <w:rsid w:val="00A65B7D"/>
    <w:rsid w:val="00A704F7"/>
    <w:rsid w:val="00A71D8B"/>
    <w:rsid w:val="00A74617"/>
    <w:rsid w:val="00A81113"/>
    <w:rsid w:val="00A84266"/>
    <w:rsid w:val="00A90C0C"/>
    <w:rsid w:val="00A97C84"/>
    <w:rsid w:val="00AB1920"/>
    <w:rsid w:val="00AB5F22"/>
    <w:rsid w:val="00AC3F04"/>
    <w:rsid w:val="00AD2F8E"/>
    <w:rsid w:val="00AD4824"/>
    <w:rsid w:val="00AD632B"/>
    <w:rsid w:val="00AE05E1"/>
    <w:rsid w:val="00AE0CE7"/>
    <w:rsid w:val="00AE4D7D"/>
    <w:rsid w:val="00AF7AC4"/>
    <w:rsid w:val="00B01DB8"/>
    <w:rsid w:val="00B050FE"/>
    <w:rsid w:val="00B058C5"/>
    <w:rsid w:val="00B21545"/>
    <w:rsid w:val="00B2754E"/>
    <w:rsid w:val="00B33277"/>
    <w:rsid w:val="00B345CD"/>
    <w:rsid w:val="00B41CBA"/>
    <w:rsid w:val="00B54970"/>
    <w:rsid w:val="00B55651"/>
    <w:rsid w:val="00B60C33"/>
    <w:rsid w:val="00B6341F"/>
    <w:rsid w:val="00B6656D"/>
    <w:rsid w:val="00B6679D"/>
    <w:rsid w:val="00B704CB"/>
    <w:rsid w:val="00B7437C"/>
    <w:rsid w:val="00B858B5"/>
    <w:rsid w:val="00B904D0"/>
    <w:rsid w:val="00B929CC"/>
    <w:rsid w:val="00B95068"/>
    <w:rsid w:val="00B957C5"/>
    <w:rsid w:val="00BA0830"/>
    <w:rsid w:val="00BA2616"/>
    <w:rsid w:val="00BB37E1"/>
    <w:rsid w:val="00BB3878"/>
    <w:rsid w:val="00BC2049"/>
    <w:rsid w:val="00BC2179"/>
    <w:rsid w:val="00BC3B26"/>
    <w:rsid w:val="00BF19B8"/>
    <w:rsid w:val="00C0080B"/>
    <w:rsid w:val="00C1256E"/>
    <w:rsid w:val="00C31AB0"/>
    <w:rsid w:val="00C373EA"/>
    <w:rsid w:val="00C412AE"/>
    <w:rsid w:val="00C4399E"/>
    <w:rsid w:val="00C4639E"/>
    <w:rsid w:val="00C468F7"/>
    <w:rsid w:val="00C514B0"/>
    <w:rsid w:val="00C53CFC"/>
    <w:rsid w:val="00C604ED"/>
    <w:rsid w:val="00C61D16"/>
    <w:rsid w:val="00C66C13"/>
    <w:rsid w:val="00C759A7"/>
    <w:rsid w:val="00C86318"/>
    <w:rsid w:val="00C872E4"/>
    <w:rsid w:val="00C94179"/>
    <w:rsid w:val="00CA264A"/>
    <w:rsid w:val="00CA3C91"/>
    <w:rsid w:val="00CB45CD"/>
    <w:rsid w:val="00CB567E"/>
    <w:rsid w:val="00CB7B97"/>
    <w:rsid w:val="00CD3664"/>
    <w:rsid w:val="00CD5E4B"/>
    <w:rsid w:val="00CD61BC"/>
    <w:rsid w:val="00CE2ED6"/>
    <w:rsid w:val="00CE669B"/>
    <w:rsid w:val="00CF3BF7"/>
    <w:rsid w:val="00CF5078"/>
    <w:rsid w:val="00D011B8"/>
    <w:rsid w:val="00D04024"/>
    <w:rsid w:val="00D063B7"/>
    <w:rsid w:val="00D067DC"/>
    <w:rsid w:val="00D0761A"/>
    <w:rsid w:val="00D11E85"/>
    <w:rsid w:val="00D14070"/>
    <w:rsid w:val="00D21F0F"/>
    <w:rsid w:val="00D239D4"/>
    <w:rsid w:val="00D260F9"/>
    <w:rsid w:val="00D3076F"/>
    <w:rsid w:val="00D30E26"/>
    <w:rsid w:val="00D364D6"/>
    <w:rsid w:val="00D373F6"/>
    <w:rsid w:val="00D417D2"/>
    <w:rsid w:val="00D4307A"/>
    <w:rsid w:val="00D53140"/>
    <w:rsid w:val="00D71440"/>
    <w:rsid w:val="00D731FF"/>
    <w:rsid w:val="00D838A9"/>
    <w:rsid w:val="00D845B4"/>
    <w:rsid w:val="00DA1FEA"/>
    <w:rsid w:val="00DA4638"/>
    <w:rsid w:val="00DA52C9"/>
    <w:rsid w:val="00DA7227"/>
    <w:rsid w:val="00DC3FED"/>
    <w:rsid w:val="00DD17FF"/>
    <w:rsid w:val="00DD4EE8"/>
    <w:rsid w:val="00DD6613"/>
    <w:rsid w:val="00DF08A7"/>
    <w:rsid w:val="00DF4F1A"/>
    <w:rsid w:val="00DF597A"/>
    <w:rsid w:val="00DF713B"/>
    <w:rsid w:val="00E0134F"/>
    <w:rsid w:val="00E01B93"/>
    <w:rsid w:val="00E36790"/>
    <w:rsid w:val="00E44C91"/>
    <w:rsid w:val="00E453F9"/>
    <w:rsid w:val="00E459D1"/>
    <w:rsid w:val="00E47FA5"/>
    <w:rsid w:val="00E54E2E"/>
    <w:rsid w:val="00E613B5"/>
    <w:rsid w:val="00E65D39"/>
    <w:rsid w:val="00E7018B"/>
    <w:rsid w:val="00E70822"/>
    <w:rsid w:val="00E740BF"/>
    <w:rsid w:val="00E7725D"/>
    <w:rsid w:val="00E82830"/>
    <w:rsid w:val="00E86D72"/>
    <w:rsid w:val="00E87C01"/>
    <w:rsid w:val="00E909C0"/>
    <w:rsid w:val="00EA3BE5"/>
    <w:rsid w:val="00EB1930"/>
    <w:rsid w:val="00EB1B8F"/>
    <w:rsid w:val="00EB3138"/>
    <w:rsid w:val="00EC0DFB"/>
    <w:rsid w:val="00ED2DA0"/>
    <w:rsid w:val="00ED3924"/>
    <w:rsid w:val="00ED4C3D"/>
    <w:rsid w:val="00EF0840"/>
    <w:rsid w:val="00EF0B6E"/>
    <w:rsid w:val="00EF0DEB"/>
    <w:rsid w:val="00EF3A27"/>
    <w:rsid w:val="00EF5389"/>
    <w:rsid w:val="00F05169"/>
    <w:rsid w:val="00F051C8"/>
    <w:rsid w:val="00F150BA"/>
    <w:rsid w:val="00F159A2"/>
    <w:rsid w:val="00F16C0F"/>
    <w:rsid w:val="00F22FE5"/>
    <w:rsid w:val="00F240EB"/>
    <w:rsid w:val="00F36528"/>
    <w:rsid w:val="00F367AC"/>
    <w:rsid w:val="00F41A10"/>
    <w:rsid w:val="00F55C9D"/>
    <w:rsid w:val="00F605CA"/>
    <w:rsid w:val="00F67035"/>
    <w:rsid w:val="00F90F9A"/>
    <w:rsid w:val="00F91955"/>
    <w:rsid w:val="00F93E96"/>
    <w:rsid w:val="00F97086"/>
    <w:rsid w:val="00FA15DC"/>
    <w:rsid w:val="00FA55B6"/>
    <w:rsid w:val="00FA69B1"/>
    <w:rsid w:val="00FB4FC1"/>
    <w:rsid w:val="00FD6B5F"/>
    <w:rsid w:val="00FE12AD"/>
    <w:rsid w:val="00FE6CE7"/>
    <w:rsid w:val="00FF1881"/>
    <w:rsid w:val="00FF1DF7"/>
    <w:rsid w:val="00FF739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9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F0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5D1FAD"/>
    <w:pPr>
      <w:tabs>
        <w:tab w:val="center" w:pos="4153"/>
        <w:tab w:val="right" w:pos="8306"/>
      </w:tabs>
      <w:snapToGrid w:val="0"/>
    </w:pPr>
    <w:rPr>
      <w:sz w:val="20"/>
      <w:szCs w:val="20"/>
    </w:rPr>
  </w:style>
  <w:style w:type="character" w:customStyle="1" w:styleId="a5">
    <w:name w:val="頁首 字元"/>
    <w:basedOn w:val="a0"/>
    <w:link w:val="a4"/>
    <w:uiPriority w:val="99"/>
    <w:semiHidden/>
    <w:rsid w:val="005D1FAD"/>
    <w:rPr>
      <w:sz w:val="20"/>
      <w:szCs w:val="20"/>
    </w:rPr>
  </w:style>
  <w:style w:type="paragraph" w:styleId="a6">
    <w:name w:val="footer"/>
    <w:basedOn w:val="a"/>
    <w:link w:val="a7"/>
    <w:uiPriority w:val="99"/>
    <w:unhideWhenUsed/>
    <w:rsid w:val="005D1FAD"/>
    <w:pPr>
      <w:tabs>
        <w:tab w:val="center" w:pos="4153"/>
        <w:tab w:val="right" w:pos="8306"/>
      </w:tabs>
      <w:snapToGrid w:val="0"/>
    </w:pPr>
    <w:rPr>
      <w:sz w:val="20"/>
      <w:szCs w:val="20"/>
    </w:rPr>
  </w:style>
  <w:style w:type="character" w:customStyle="1" w:styleId="a7">
    <w:name w:val="頁尾 字元"/>
    <w:basedOn w:val="a0"/>
    <w:link w:val="a6"/>
    <w:uiPriority w:val="99"/>
    <w:rsid w:val="005D1FAD"/>
    <w:rPr>
      <w:sz w:val="20"/>
      <w:szCs w:val="20"/>
    </w:rPr>
  </w:style>
  <w:style w:type="character" w:styleId="a8">
    <w:name w:val="annotation reference"/>
    <w:basedOn w:val="a0"/>
    <w:uiPriority w:val="99"/>
    <w:semiHidden/>
    <w:unhideWhenUsed/>
    <w:rsid w:val="00D260F9"/>
    <w:rPr>
      <w:sz w:val="18"/>
      <w:szCs w:val="18"/>
    </w:rPr>
  </w:style>
  <w:style w:type="paragraph" w:styleId="a9">
    <w:name w:val="annotation text"/>
    <w:basedOn w:val="a"/>
    <w:link w:val="aa"/>
    <w:uiPriority w:val="99"/>
    <w:unhideWhenUsed/>
    <w:rsid w:val="00D260F9"/>
  </w:style>
  <w:style w:type="character" w:customStyle="1" w:styleId="aa">
    <w:name w:val="註解文字 字元"/>
    <w:basedOn w:val="a0"/>
    <w:link w:val="a9"/>
    <w:uiPriority w:val="99"/>
    <w:rsid w:val="00D260F9"/>
  </w:style>
  <w:style w:type="paragraph" w:styleId="ab">
    <w:name w:val="annotation subject"/>
    <w:basedOn w:val="a9"/>
    <w:next w:val="a9"/>
    <w:link w:val="ac"/>
    <w:uiPriority w:val="99"/>
    <w:semiHidden/>
    <w:unhideWhenUsed/>
    <w:rsid w:val="00D260F9"/>
    <w:rPr>
      <w:b/>
      <w:bCs/>
    </w:rPr>
  </w:style>
  <w:style w:type="character" w:customStyle="1" w:styleId="ac">
    <w:name w:val="註解主旨 字元"/>
    <w:basedOn w:val="aa"/>
    <w:link w:val="ab"/>
    <w:uiPriority w:val="99"/>
    <w:semiHidden/>
    <w:rsid w:val="00D260F9"/>
    <w:rPr>
      <w:b/>
      <w:bCs/>
    </w:rPr>
  </w:style>
  <w:style w:type="paragraph" w:styleId="ad">
    <w:name w:val="Balloon Text"/>
    <w:basedOn w:val="a"/>
    <w:link w:val="ae"/>
    <w:uiPriority w:val="99"/>
    <w:semiHidden/>
    <w:unhideWhenUsed/>
    <w:rsid w:val="00D260F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D260F9"/>
    <w:rPr>
      <w:rFonts w:asciiTheme="majorHAnsi" w:eastAsiaTheme="majorEastAsia" w:hAnsiTheme="majorHAnsi" w:cstheme="majorBidi"/>
      <w:sz w:val="18"/>
      <w:szCs w:val="18"/>
    </w:rPr>
  </w:style>
  <w:style w:type="paragraph" w:styleId="af">
    <w:name w:val="List Paragraph"/>
    <w:basedOn w:val="a"/>
    <w:uiPriority w:val="34"/>
    <w:qFormat/>
    <w:rsid w:val="000A7706"/>
    <w:pPr>
      <w:ind w:leftChars="200" w:left="480"/>
    </w:pPr>
  </w:style>
  <w:style w:type="paragraph" w:styleId="af0">
    <w:name w:val="footnote text"/>
    <w:basedOn w:val="a"/>
    <w:link w:val="af1"/>
    <w:uiPriority w:val="99"/>
    <w:semiHidden/>
    <w:unhideWhenUsed/>
    <w:rsid w:val="0083149B"/>
    <w:pPr>
      <w:snapToGrid w:val="0"/>
    </w:pPr>
    <w:rPr>
      <w:sz w:val="20"/>
      <w:szCs w:val="20"/>
    </w:rPr>
  </w:style>
  <w:style w:type="character" w:customStyle="1" w:styleId="af1">
    <w:name w:val="註腳文字 字元"/>
    <w:basedOn w:val="a0"/>
    <w:link w:val="af0"/>
    <w:uiPriority w:val="99"/>
    <w:semiHidden/>
    <w:rsid w:val="0083149B"/>
    <w:rPr>
      <w:sz w:val="20"/>
      <w:szCs w:val="20"/>
    </w:rPr>
  </w:style>
  <w:style w:type="character" w:styleId="af2">
    <w:name w:val="footnote reference"/>
    <w:basedOn w:val="a0"/>
    <w:uiPriority w:val="99"/>
    <w:semiHidden/>
    <w:unhideWhenUsed/>
    <w:rsid w:val="0083149B"/>
    <w:rPr>
      <w:vertAlign w:val="superscript"/>
    </w:rPr>
  </w:style>
  <w:style w:type="paragraph" w:styleId="HTML">
    <w:name w:val="HTML Preformatted"/>
    <w:basedOn w:val="a"/>
    <w:link w:val="HTML0"/>
    <w:uiPriority w:val="99"/>
    <w:unhideWhenUsed/>
    <w:rsid w:val="00E90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E909C0"/>
    <w:rPr>
      <w:rFonts w:ascii="細明體" w:eastAsia="細明體" w:hAnsi="細明體" w:cs="細明體"/>
      <w:kern w:val="0"/>
      <w:szCs w:val="24"/>
    </w:rPr>
  </w:style>
  <w:style w:type="character" w:customStyle="1" w:styleId="txt-keyword1">
    <w:name w:val="txt-keyword1"/>
    <w:basedOn w:val="a0"/>
    <w:rsid w:val="00585E50"/>
    <w:rPr>
      <w:color w:val="FF0000"/>
    </w:rPr>
  </w:style>
</w:styles>
</file>

<file path=word/webSettings.xml><?xml version="1.0" encoding="utf-8"?>
<w:webSettings xmlns:r="http://schemas.openxmlformats.org/officeDocument/2006/relationships" xmlns:w="http://schemas.openxmlformats.org/wordprocessingml/2006/main">
  <w:divs>
    <w:div w:id="270860359">
      <w:bodyDiv w:val="1"/>
      <w:marLeft w:val="0"/>
      <w:marRight w:val="0"/>
      <w:marTop w:val="0"/>
      <w:marBottom w:val="0"/>
      <w:divBdr>
        <w:top w:val="none" w:sz="0" w:space="0" w:color="auto"/>
        <w:left w:val="none" w:sz="0" w:space="0" w:color="auto"/>
        <w:bottom w:val="none" w:sz="0" w:space="0" w:color="auto"/>
        <w:right w:val="none" w:sz="0" w:space="0" w:color="auto"/>
      </w:divBdr>
      <w:divsChild>
        <w:div w:id="731973589">
          <w:marLeft w:val="0"/>
          <w:marRight w:val="0"/>
          <w:marTop w:val="120"/>
          <w:marBottom w:val="0"/>
          <w:divBdr>
            <w:top w:val="none" w:sz="0" w:space="0" w:color="auto"/>
            <w:left w:val="none" w:sz="0" w:space="0" w:color="auto"/>
            <w:bottom w:val="none" w:sz="0" w:space="0" w:color="auto"/>
            <w:right w:val="none" w:sz="0" w:space="0" w:color="auto"/>
          </w:divBdr>
          <w:divsChild>
            <w:div w:id="1336418491">
              <w:marLeft w:val="0"/>
              <w:marRight w:val="0"/>
              <w:marTop w:val="0"/>
              <w:marBottom w:val="0"/>
              <w:divBdr>
                <w:top w:val="none" w:sz="0" w:space="0" w:color="auto"/>
                <w:left w:val="none" w:sz="0" w:space="0" w:color="auto"/>
                <w:bottom w:val="none" w:sz="0" w:space="0" w:color="auto"/>
                <w:right w:val="none" w:sz="0" w:space="0" w:color="auto"/>
              </w:divBdr>
              <w:divsChild>
                <w:div w:id="1685740506">
                  <w:marLeft w:val="0"/>
                  <w:marRight w:val="0"/>
                  <w:marTop w:val="0"/>
                  <w:marBottom w:val="0"/>
                  <w:divBdr>
                    <w:top w:val="none" w:sz="0" w:space="0" w:color="auto"/>
                    <w:left w:val="none" w:sz="0" w:space="0" w:color="auto"/>
                    <w:bottom w:val="none" w:sz="0" w:space="0" w:color="auto"/>
                    <w:right w:val="none" w:sz="0" w:space="0" w:color="auto"/>
                  </w:divBdr>
                  <w:divsChild>
                    <w:div w:id="26881867">
                      <w:marLeft w:val="0"/>
                      <w:marRight w:val="0"/>
                      <w:marTop w:val="0"/>
                      <w:marBottom w:val="0"/>
                      <w:divBdr>
                        <w:top w:val="none" w:sz="0" w:space="0" w:color="auto"/>
                        <w:left w:val="none" w:sz="0" w:space="0" w:color="auto"/>
                        <w:bottom w:val="none" w:sz="0" w:space="0" w:color="auto"/>
                        <w:right w:val="none" w:sz="0" w:space="0" w:color="auto"/>
                      </w:divBdr>
                      <w:divsChild>
                        <w:div w:id="1916623795">
                          <w:marLeft w:val="0"/>
                          <w:marRight w:val="0"/>
                          <w:marTop w:val="0"/>
                          <w:marBottom w:val="0"/>
                          <w:divBdr>
                            <w:top w:val="none" w:sz="0" w:space="0" w:color="auto"/>
                            <w:left w:val="none" w:sz="0" w:space="0" w:color="auto"/>
                            <w:bottom w:val="none" w:sz="0" w:space="0" w:color="auto"/>
                            <w:right w:val="none" w:sz="0" w:space="0" w:color="auto"/>
                          </w:divBdr>
                          <w:divsChild>
                            <w:div w:id="29914767">
                              <w:marLeft w:val="0"/>
                              <w:marRight w:val="0"/>
                              <w:marTop w:val="0"/>
                              <w:marBottom w:val="0"/>
                              <w:divBdr>
                                <w:top w:val="none" w:sz="0" w:space="0" w:color="auto"/>
                                <w:left w:val="none" w:sz="0" w:space="0" w:color="auto"/>
                                <w:bottom w:val="none" w:sz="0" w:space="0" w:color="auto"/>
                                <w:right w:val="none" w:sz="0" w:space="0" w:color="auto"/>
                              </w:divBdr>
                              <w:divsChild>
                                <w:div w:id="1632788156">
                                  <w:marLeft w:val="0"/>
                                  <w:marRight w:val="0"/>
                                  <w:marTop w:val="0"/>
                                  <w:marBottom w:val="0"/>
                                  <w:divBdr>
                                    <w:top w:val="none" w:sz="0" w:space="0" w:color="auto"/>
                                    <w:left w:val="none" w:sz="0" w:space="0" w:color="auto"/>
                                    <w:bottom w:val="none" w:sz="0" w:space="0" w:color="auto"/>
                                    <w:right w:val="none" w:sz="0" w:space="0" w:color="auto"/>
                                  </w:divBdr>
                                  <w:divsChild>
                                    <w:div w:id="110310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348341">
      <w:bodyDiv w:val="1"/>
      <w:marLeft w:val="0"/>
      <w:marRight w:val="0"/>
      <w:marTop w:val="0"/>
      <w:marBottom w:val="0"/>
      <w:divBdr>
        <w:top w:val="none" w:sz="0" w:space="0" w:color="auto"/>
        <w:left w:val="none" w:sz="0" w:space="0" w:color="auto"/>
        <w:bottom w:val="none" w:sz="0" w:space="0" w:color="auto"/>
        <w:right w:val="none" w:sz="0" w:space="0" w:color="auto"/>
      </w:divBdr>
    </w:div>
    <w:div w:id="474488862">
      <w:bodyDiv w:val="1"/>
      <w:marLeft w:val="0"/>
      <w:marRight w:val="0"/>
      <w:marTop w:val="0"/>
      <w:marBottom w:val="0"/>
      <w:divBdr>
        <w:top w:val="none" w:sz="0" w:space="0" w:color="auto"/>
        <w:left w:val="none" w:sz="0" w:space="0" w:color="auto"/>
        <w:bottom w:val="none" w:sz="0" w:space="0" w:color="auto"/>
        <w:right w:val="none" w:sz="0" w:space="0" w:color="auto"/>
      </w:divBdr>
      <w:divsChild>
        <w:div w:id="1827284788">
          <w:marLeft w:val="0"/>
          <w:marRight w:val="0"/>
          <w:marTop w:val="120"/>
          <w:marBottom w:val="0"/>
          <w:divBdr>
            <w:top w:val="none" w:sz="0" w:space="0" w:color="auto"/>
            <w:left w:val="none" w:sz="0" w:space="0" w:color="auto"/>
            <w:bottom w:val="none" w:sz="0" w:space="0" w:color="auto"/>
            <w:right w:val="none" w:sz="0" w:space="0" w:color="auto"/>
          </w:divBdr>
          <w:divsChild>
            <w:div w:id="1711761595">
              <w:marLeft w:val="0"/>
              <w:marRight w:val="0"/>
              <w:marTop w:val="0"/>
              <w:marBottom w:val="0"/>
              <w:divBdr>
                <w:top w:val="none" w:sz="0" w:space="0" w:color="auto"/>
                <w:left w:val="none" w:sz="0" w:space="0" w:color="auto"/>
                <w:bottom w:val="none" w:sz="0" w:space="0" w:color="auto"/>
                <w:right w:val="none" w:sz="0" w:space="0" w:color="auto"/>
              </w:divBdr>
              <w:divsChild>
                <w:div w:id="696320590">
                  <w:marLeft w:val="0"/>
                  <w:marRight w:val="0"/>
                  <w:marTop w:val="0"/>
                  <w:marBottom w:val="0"/>
                  <w:divBdr>
                    <w:top w:val="none" w:sz="0" w:space="0" w:color="auto"/>
                    <w:left w:val="none" w:sz="0" w:space="0" w:color="auto"/>
                    <w:bottom w:val="none" w:sz="0" w:space="0" w:color="auto"/>
                    <w:right w:val="none" w:sz="0" w:space="0" w:color="auto"/>
                  </w:divBdr>
                  <w:divsChild>
                    <w:div w:id="353574431">
                      <w:marLeft w:val="0"/>
                      <w:marRight w:val="0"/>
                      <w:marTop w:val="0"/>
                      <w:marBottom w:val="0"/>
                      <w:divBdr>
                        <w:top w:val="none" w:sz="0" w:space="0" w:color="auto"/>
                        <w:left w:val="none" w:sz="0" w:space="0" w:color="auto"/>
                        <w:bottom w:val="none" w:sz="0" w:space="0" w:color="auto"/>
                        <w:right w:val="none" w:sz="0" w:space="0" w:color="auto"/>
                      </w:divBdr>
                      <w:divsChild>
                        <w:div w:id="854996556">
                          <w:marLeft w:val="0"/>
                          <w:marRight w:val="0"/>
                          <w:marTop w:val="0"/>
                          <w:marBottom w:val="0"/>
                          <w:divBdr>
                            <w:top w:val="none" w:sz="0" w:space="0" w:color="auto"/>
                            <w:left w:val="none" w:sz="0" w:space="0" w:color="auto"/>
                            <w:bottom w:val="none" w:sz="0" w:space="0" w:color="auto"/>
                            <w:right w:val="none" w:sz="0" w:space="0" w:color="auto"/>
                          </w:divBdr>
                          <w:divsChild>
                            <w:div w:id="17450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148116">
      <w:bodyDiv w:val="1"/>
      <w:marLeft w:val="0"/>
      <w:marRight w:val="0"/>
      <w:marTop w:val="0"/>
      <w:marBottom w:val="0"/>
      <w:divBdr>
        <w:top w:val="none" w:sz="0" w:space="0" w:color="auto"/>
        <w:left w:val="none" w:sz="0" w:space="0" w:color="auto"/>
        <w:bottom w:val="none" w:sz="0" w:space="0" w:color="auto"/>
        <w:right w:val="none" w:sz="0" w:space="0" w:color="auto"/>
      </w:divBdr>
      <w:divsChild>
        <w:div w:id="778261023">
          <w:marLeft w:val="0"/>
          <w:marRight w:val="0"/>
          <w:marTop w:val="120"/>
          <w:marBottom w:val="0"/>
          <w:divBdr>
            <w:top w:val="none" w:sz="0" w:space="0" w:color="auto"/>
            <w:left w:val="none" w:sz="0" w:space="0" w:color="auto"/>
            <w:bottom w:val="none" w:sz="0" w:space="0" w:color="auto"/>
            <w:right w:val="none" w:sz="0" w:space="0" w:color="auto"/>
          </w:divBdr>
          <w:divsChild>
            <w:div w:id="1532769572">
              <w:marLeft w:val="0"/>
              <w:marRight w:val="0"/>
              <w:marTop w:val="0"/>
              <w:marBottom w:val="0"/>
              <w:divBdr>
                <w:top w:val="none" w:sz="0" w:space="0" w:color="auto"/>
                <w:left w:val="none" w:sz="0" w:space="0" w:color="auto"/>
                <w:bottom w:val="none" w:sz="0" w:space="0" w:color="auto"/>
                <w:right w:val="none" w:sz="0" w:space="0" w:color="auto"/>
              </w:divBdr>
              <w:divsChild>
                <w:div w:id="1070351564">
                  <w:marLeft w:val="0"/>
                  <w:marRight w:val="0"/>
                  <w:marTop w:val="0"/>
                  <w:marBottom w:val="0"/>
                  <w:divBdr>
                    <w:top w:val="none" w:sz="0" w:space="0" w:color="auto"/>
                    <w:left w:val="none" w:sz="0" w:space="0" w:color="auto"/>
                    <w:bottom w:val="none" w:sz="0" w:space="0" w:color="auto"/>
                    <w:right w:val="none" w:sz="0" w:space="0" w:color="auto"/>
                  </w:divBdr>
                  <w:divsChild>
                    <w:div w:id="1902713619">
                      <w:marLeft w:val="0"/>
                      <w:marRight w:val="0"/>
                      <w:marTop w:val="0"/>
                      <w:marBottom w:val="0"/>
                      <w:divBdr>
                        <w:top w:val="none" w:sz="0" w:space="0" w:color="auto"/>
                        <w:left w:val="none" w:sz="0" w:space="0" w:color="auto"/>
                        <w:bottom w:val="none" w:sz="0" w:space="0" w:color="auto"/>
                        <w:right w:val="none" w:sz="0" w:space="0" w:color="auto"/>
                      </w:divBdr>
                      <w:divsChild>
                        <w:div w:id="819729075">
                          <w:marLeft w:val="0"/>
                          <w:marRight w:val="0"/>
                          <w:marTop w:val="0"/>
                          <w:marBottom w:val="0"/>
                          <w:divBdr>
                            <w:top w:val="none" w:sz="0" w:space="0" w:color="auto"/>
                            <w:left w:val="none" w:sz="0" w:space="0" w:color="auto"/>
                            <w:bottom w:val="none" w:sz="0" w:space="0" w:color="auto"/>
                            <w:right w:val="none" w:sz="0" w:space="0" w:color="auto"/>
                          </w:divBdr>
                          <w:divsChild>
                            <w:div w:id="993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746378">
      <w:bodyDiv w:val="1"/>
      <w:marLeft w:val="0"/>
      <w:marRight w:val="0"/>
      <w:marTop w:val="0"/>
      <w:marBottom w:val="0"/>
      <w:divBdr>
        <w:top w:val="none" w:sz="0" w:space="0" w:color="auto"/>
        <w:left w:val="none" w:sz="0" w:space="0" w:color="auto"/>
        <w:bottom w:val="none" w:sz="0" w:space="0" w:color="auto"/>
        <w:right w:val="none" w:sz="0" w:space="0" w:color="auto"/>
      </w:divBdr>
    </w:div>
    <w:div w:id="1158182364">
      <w:bodyDiv w:val="1"/>
      <w:marLeft w:val="0"/>
      <w:marRight w:val="0"/>
      <w:marTop w:val="0"/>
      <w:marBottom w:val="0"/>
      <w:divBdr>
        <w:top w:val="none" w:sz="0" w:space="0" w:color="auto"/>
        <w:left w:val="none" w:sz="0" w:space="0" w:color="auto"/>
        <w:bottom w:val="none" w:sz="0" w:space="0" w:color="auto"/>
        <w:right w:val="none" w:sz="0" w:space="0" w:color="auto"/>
      </w:divBdr>
    </w:div>
    <w:div w:id="1168982316">
      <w:bodyDiv w:val="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120"/>
          <w:marBottom w:val="0"/>
          <w:divBdr>
            <w:top w:val="none" w:sz="0" w:space="0" w:color="auto"/>
            <w:left w:val="none" w:sz="0" w:space="0" w:color="auto"/>
            <w:bottom w:val="none" w:sz="0" w:space="0" w:color="auto"/>
            <w:right w:val="none" w:sz="0" w:space="0" w:color="auto"/>
          </w:divBdr>
          <w:divsChild>
            <w:div w:id="350650212">
              <w:marLeft w:val="0"/>
              <w:marRight w:val="0"/>
              <w:marTop w:val="0"/>
              <w:marBottom w:val="0"/>
              <w:divBdr>
                <w:top w:val="none" w:sz="0" w:space="0" w:color="auto"/>
                <w:left w:val="none" w:sz="0" w:space="0" w:color="auto"/>
                <w:bottom w:val="none" w:sz="0" w:space="0" w:color="auto"/>
                <w:right w:val="none" w:sz="0" w:space="0" w:color="auto"/>
              </w:divBdr>
              <w:divsChild>
                <w:div w:id="1989162645">
                  <w:marLeft w:val="0"/>
                  <w:marRight w:val="0"/>
                  <w:marTop w:val="0"/>
                  <w:marBottom w:val="0"/>
                  <w:divBdr>
                    <w:top w:val="none" w:sz="0" w:space="0" w:color="auto"/>
                    <w:left w:val="none" w:sz="0" w:space="0" w:color="auto"/>
                    <w:bottom w:val="none" w:sz="0" w:space="0" w:color="auto"/>
                    <w:right w:val="none" w:sz="0" w:space="0" w:color="auto"/>
                  </w:divBdr>
                  <w:divsChild>
                    <w:div w:id="1557666324">
                      <w:marLeft w:val="0"/>
                      <w:marRight w:val="0"/>
                      <w:marTop w:val="0"/>
                      <w:marBottom w:val="0"/>
                      <w:divBdr>
                        <w:top w:val="none" w:sz="0" w:space="0" w:color="auto"/>
                        <w:left w:val="none" w:sz="0" w:space="0" w:color="auto"/>
                        <w:bottom w:val="none" w:sz="0" w:space="0" w:color="auto"/>
                        <w:right w:val="none" w:sz="0" w:space="0" w:color="auto"/>
                      </w:divBdr>
                      <w:divsChild>
                        <w:div w:id="480997780">
                          <w:marLeft w:val="0"/>
                          <w:marRight w:val="0"/>
                          <w:marTop w:val="0"/>
                          <w:marBottom w:val="0"/>
                          <w:divBdr>
                            <w:top w:val="none" w:sz="0" w:space="0" w:color="auto"/>
                            <w:left w:val="none" w:sz="0" w:space="0" w:color="auto"/>
                            <w:bottom w:val="none" w:sz="0" w:space="0" w:color="auto"/>
                            <w:right w:val="none" w:sz="0" w:space="0" w:color="auto"/>
                          </w:divBdr>
                          <w:divsChild>
                            <w:div w:id="12249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11616">
      <w:bodyDiv w:val="1"/>
      <w:marLeft w:val="0"/>
      <w:marRight w:val="0"/>
      <w:marTop w:val="0"/>
      <w:marBottom w:val="0"/>
      <w:divBdr>
        <w:top w:val="none" w:sz="0" w:space="0" w:color="auto"/>
        <w:left w:val="none" w:sz="0" w:space="0" w:color="auto"/>
        <w:bottom w:val="none" w:sz="0" w:space="0" w:color="auto"/>
        <w:right w:val="none" w:sz="0" w:space="0" w:color="auto"/>
      </w:divBdr>
    </w:div>
    <w:div w:id="1737434689">
      <w:bodyDiv w:val="1"/>
      <w:marLeft w:val="0"/>
      <w:marRight w:val="0"/>
      <w:marTop w:val="0"/>
      <w:marBottom w:val="0"/>
      <w:divBdr>
        <w:top w:val="none" w:sz="0" w:space="0" w:color="auto"/>
        <w:left w:val="none" w:sz="0" w:space="0" w:color="auto"/>
        <w:bottom w:val="none" w:sz="0" w:space="0" w:color="auto"/>
        <w:right w:val="none" w:sz="0" w:space="0" w:color="auto"/>
      </w:divBdr>
      <w:divsChild>
        <w:div w:id="822503314">
          <w:marLeft w:val="0"/>
          <w:marRight w:val="0"/>
          <w:marTop w:val="120"/>
          <w:marBottom w:val="0"/>
          <w:divBdr>
            <w:top w:val="none" w:sz="0" w:space="0" w:color="auto"/>
            <w:left w:val="none" w:sz="0" w:space="0" w:color="auto"/>
            <w:bottom w:val="none" w:sz="0" w:space="0" w:color="auto"/>
            <w:right w:val="none" w:sz="0" w:space="0" w:color="auto"/>
          </w:divBdr>
          <w:divsChild>
            <w:div w:id="1761367381">
              <w:marLeft w:val="0"/>
              <w:marRight w:val="0"/>
              <w:marTop w:val="0"/>
              <w:marBottom w:val="0"/>
              <w:divBdr>
                <w:top w:val="none" w:sz="0" w:space="0" w:color="auto"/>
                <w:left w:val="none" w:sz="0" w:space="0" w:color="auto"/>
                <w:bottom w:val="none" w:sz="0" w:space="0" w:color="auto"/>
                <w:right w:val="none" w:sz="0" w:space="0" w:color="auto"/>
              </w:divBdr>
              <w:divsChild>
                <w:div w:id="703599406">
                  <w:marLeft w:val="0"/>
                  <w:marRight w:val="0"/>
                  <w:marTop w:val="0"/>
                  <w:marBottom w:val="0"/>
                  <w:divBdr>
                    <w:top w:val="none" w:sz="0" w:space="0" w:color="auto"/>
                    <w:left w:val="none" w:sz="0" w:space="0" w:color="auto"/>
                    <w:bottom w:val="none" w:sz="0" w:space="0" w:color="auto"/>
                    <w:right w:val="none" w:sz="0" w:space="0" w:color="auto"/>
                  </w:divBdr>
                  <w:divsChild>
                    <w:div w:id="761804471">
                      <w:marLeft w:val="0"/>
                      <w:marRight w:val="0"/>
                      <w:marTop w:val="0"/>
                      <w:marBottom w:val="0"/>
                      <w:divBdr>
                        <w:top w:val="none" w:sz="0" w:space="0" w:color="auto"/>
                        <w:left w:val="none" w:sz="0" w:space="0" w:color="auto"/>
                        <w:bottom w:val="none" w:sz="0" w:space="0" w:color="auto"/>
                        <w:right w:val="none" w:sz="0" w:space="0" w:color="auto"/>
                      </w:divBdr>
                      <w:divsChild>
                        <w:div w:id="1289701489">
                          <w:marLeft w:val="0"/>
                          <w:marRight w:val="0"/>
                          <w:marTop w:val="0"/>
                          <w:marBottom w:val="120"/>
                          <w:divBdr>
                            <w:top w:val="none" w:sz="0" w:space="0" w:color="auto"/>
                            <w:left w:val="none" w:sz="0" w:space="0" w:color="auto"/>
                            <w:bottom w:val="none" w:sz="0" w:space="0" w:color="auto"/>
                            <w:right w:val="none" w:sz="0" w:space="0" w:color="auto"/>
                          </w:divBdr>
                          <w:divsChild>
                            <w:div w:id="1581059308">
                              <w:marLeft w:val="0"/>
                              <w:marRight w:val="0"/>
                              <w:marTop w:val="0"/>
                              <w:marBottom w:val="0"/>
                              <w:divBdr>
                                <w:top w:val="none" w:sz="0" w:space="0" w:color="auto"/>
                                <w:left w:val="none" w:sz="0" w:space="0" w:color="auto"/>
                                <w:bottom w:val="none" w:sz="0" w:space="0" w:color="auto"/>
                                <w:right w:val="none" w:sz="0" w:space="0" w:color="auto"/>
                              </w:divBdr>
                              <w:divsChild>
                                <w:div w:id="6345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403064">
      <w:bodyDiv w:val="1"/>
      <w:marLeft w:val="0"/>
      <w:marRight w:val="0"/>
      <w:marTop w:val="0"/>
      <w:marBottom w:val="0"/>
      <w:divBdr>
        <w:top w:val="none" w:sz="0" w:space="0" w:color="auto"/>
        <w:left w:val="none" w:sz="0" w:space="0" w:color="auto"/>
        <w:bottom w:val="none" w:sz="0" w:space="0" w:color="auto"/>
        <w:right w:val="none" w:sz="0" w:space="0" w:color="auto"/>
      </w:divBdr>
      <w:divsChild>
        <w:div w:id="176385454">
          <w:marLeft w:val="0"/>
          <w:marRight w:val="0"/>
          <w:marTop w:val="120"/>
          <w:marBottom w:val="0"/>
          <w:divBdr>
            <w:top w:val="none" w:sz="0" w:space="0" w:color="auto"/>
            <w:left w:val="none" w:sz="0" w:space="0" w:color="auto"/>
            <w:bottom w:val="none" w:sz="0" w:space="0" w:color="auto"/>
            <w:right w:val="none" w:sz="0" w:space="0" w:color="auto"/>
          </w:divBdr>
          <w:divsChild>
            <w:div w:id="1347975407">
              <w:marLeft w:val="0"/>
              <w:marRight w:val="0"/>
              <w:marTop w:val="0"/>
              <w:marBottom w:val="0"/>
              <w:divBdr>
                <w:top w:val="none" w:sz="0" w:space="0" w:color="auto"/>
                <w:left w:val="none" w:sz="0" w:space="0" w:color="auto"/>
                <w:bottom w:val="none" w:sz="0" w:space="0" w:color="auto"/>
                <w:right w:val="none" w:sz="0" w:space="0" w:color="auto"/>
              </w:divBdr>
              <w:divsChild>
                <w:div w:id="1067917983">
                  <w:marLeft w:val="0"/>
                  <w:marRight w:val="0"/>
                  <w:marTop w:val="0"/>
                  <w:marBottom w:val="0"/>
                  <w:divBdr>
                    <w:top w:val="none" w:sz="0" w:space="0" w:color="auto"/>
                    <w:left w:val="none" w:sz="0" w:space="0" w:color="auto"/>
                    <w:bottom w:val="none" w:sz="0" w:space="0" w:color="auto"/>
                    <w:right w:val="none" w:sz="0" w:space="0" w:color="auto"/>
                  </w:divBdr>
                  <w:divsChild>
                    <w:div w:id="1293708300">
                      <w:marLeft w:val="0"/>
                      <w:marRight w:val="0"/>
                      <w:marTop w:val="0"/>
                      <w:marBottom w:val="0"/>
                      <w:divBdr>
                        <w:top w:val="none" w:sz="0" w:space="0" w:color="auto"/>
                        <w:left w:val="none" w:sz="0" w:space="0" w:color="auto"/>
                        <w:bottom w:val="none" w:sz="0" w:space="0" w:color="auto"/>
                        <w:right w:val="none" w:sz="0" w:space="0" w:color="auto"/>
                      </w:divBdr>
                      <w:divsChild>
                        <w:div w:id="823936073">
                          <w:marLeft w:val="0"/>
                          <w:marRight w:val="0"/>
                          <w:marTop w:val="0"/>
                          <w:marBottom w:val="0"/>
                          <w:divBdr>
                            <w:top w:val="none" w:sz="0" w:space="0" w:color="auto"/>
                            <w:left w:val="none" w:sz="0" w:space="0" w:color="auto"/>
                            <w:bottom w:val="none" w:sz="0" w:space="0" w:color="auto"/>
                            <w:right w:val="none" w:sz="0" w:space="0" w:color="auto"/>
                          </w:divBdr>
                          <w:divsChild>
                            <w:div w:id="745764119">
                              <w:marLeft w:val="0"/>
                              <w:marRight w:val="0"/>
                              <w:marTop w:val="0"/>
                              <w:marBottom w:val="0"/>
                              <w:divBdr>
                                <w:top w:val="none" w:sz="0" w:space="0" w:color="auto"/>
                                <w:left w:val="none" w:sz="0" w:space="0" w:color="auto"/>
                                <w:bottom w:val="none" w:sz="0" w:space="0" w:color="auto"/>
                                <w:right w:val="none" w:sz="0" w:space="0" w:color="auto"/>
                              </w:divBdr>
                              <w:divsChild>
                                <w:div w:id="787428186">
                                  <w:marLeft w:val="0"/>
                                  <w:marRight w:val="0"/>
                                  <w:marTop w:val="0"/>
                                  <w:marBottom w:val="0"/>
                                  <w:divBdr>
                                    <w:top w:val="none" w:sz="0" w:space="0" w:color="auto"/>
                                    <w:left w:val="none" w:sz="0" w:space="0" w:color="auto"/>
                                    <w:bottom w:val="none" w:sz="0" w:space="0" w:color="auto"/>
                                    <w:right w:val="none" w:sz="0" w:space="0" w:color="auto"/>
                                  </w:divBdr>
                                  <w:divsChild>
                                    <w:div w:id="12882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B33BD-9D64-4215-9E0D-79301B36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1195</Words>
  <Characters>6814</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2</cp:revision>
  <cp:lastPrinted>2017-01-13T06:01:00Z</cp:lastPrinted>
  <dcterms:created xsi:type="dcterms:W3CDTF">2017-02-08T08:13:00Z</dcterms:created>
  <dcterms:modified xsi:type="dcterms:W3CDTF">2017-02-08T08:13:00Z</dcterms:modified>
</cp:coreProperties>
</file>