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7" w:type="dxa"/>
        <w:jc w:val="center"/>
        <w:tblCellSpacing w:w="0" w:type="dxa"/>
        <w:tblCellMar>
          <w:left w:w="0" w:type="dxa"/>
          <w:right w:w="0" w:type="dxa"/>
        </w:tblCellMar>
        <w:tblLook w:val="04A0"/>
      </w:tblPr>
      <w:tblGrid>
        <w:gridCol w:w="8837"/>
      </w:tblGrid>
      <w:tr w:rsidR="0014597A" w:rsidRPr="0014597A" w:rsidTr="0014597A">
        <w:trPr>
          <w:trHeight w:val="733"/>
          <w:tblCellSpacing w:w="0" w:type="dxa"/>
          <w:jc w:val="center"/>
        </w:trPr>
        <w:tc>
          <w:tcPr>
            <w:tcW w:w="0" w:type="auto"/>
            <w:shd w:val="clear" w:color="auto" w:fill="FFE1CE"/>
            <w:vAlign w:val="center"/>
            <w:hideMark/>
          </w:tcPr>
          <w:p w:rsidR="0014597A" w:rsidRPr="0014597A" w:rsidRDefault="0014597A" w:rsidP="0014597A">
            <w:pPr>
              <w:widowControl/>
              <w:rPr>
                <w:rFonts w:ascii="Verdana" w:eastAsia="新細明體" w:hAnsi="Verdana" w:cs="新細明體"/>
                <w:b/>
                <w:bCs/>
                <w:kern w:val="0"/>
                <w:sz w:val="26"/>
                <w:szCs w:val="26"/>
              </w:rPr>
            </w:pPr>
            <w:r w:rsidRPr="0014597A">
              <w:rPr>
                <w:rFonts w:ascii="Verdana" w:eastAsia="新細明體" w:hAnsi="Verdana" w:cs="新細明體"/>
                <w:b/>
                <w:bCs/>
                <w:kern w:val="0"/>
                <w:sz w:val="26"/>
                <w:szCs w:val="26"/>
              </w:rPr>
              <w:t>發行量加權股價指數及產業分類指數</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733"/>
          <w:tblCellSpacing w:w="0" w:type="dxa"/>
          <w:jc w:val="center"/>
        </w:trPr>
        <w:tc>
          <w:tcPr>
            <w:tcW w:w="0" w:type="auto"/>
            <w:shd w:val="clear" w:color="auto" w:fill="FFF1E8"/>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貳、臺灣證券交易所發行量加權股價指數編製要點</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F86CF7">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一、臺灣證券交易所（以下簡稱本公司）所編製之發行量加權股價指數（以下簡稱加權指數，其英文簡稱為</w:t>
            </w:r>
            <w:r w:rsidRPr="0014597A">
              <w:rPr>
                <w:rFonts w:ascii="Verdana" w:eastAsia="新細明體" w:hAnsi="Verdana" w:cs="新細明體"/>
                <w:kern w:val="0"/>
                <w:sz w:val="26"/>
                <w:szCs w:val="26"/>
              </w:rPr>
              <w:t>TAIEX</w:t>
            </w:r>
            <w:r w:rsidRPr="0014597A">
              <w:rPr>
                <w:rFonts w:ascii="Verdana" w:eastAsia="新細明體" w:hAnsi="Verdana" w:cs="新細明體"/>
                <w:kern w:val="0"/>
                <w:sz w:val="26"/>
                <w:szCs w:val="26"/>
              </w:rPr>
              <w:t>）之採樣樣</w:t>
            </w:r>
            <w:r w:rsidRPr="008A1EAE">
              <w:rPr>
                <w:rFonts w:ascii="Verdana" w:eastAsia="新細明體" w:hAnsi="Verdana" w:cs="新細明體"/>
                <w:kern w:val="0"/>
                <w:sz w:val="26"/>
                <w:szCs w:val="26"/>
              </w:rPr>
              <w:t>本為</w:t>
            </w:r>
            <w:r w:rsidR="00AD6765">
              <w:rPr>
                <w:rFonts w:ascii="Verdana" w:eastAsia="新細明體" w:hAnsi="Verdana" w:cs="新細明體" w:hint="eastAsia"/>
                <w:kern w:val="0"/>
                <w:sz w:val="26"/>
                <w:szCs w:val="26"/>
              </w:rPr>
              <w:t>所有</w:t>
            </w:r>
            <w:r w:rsidR="008A1EAE">
              <w:rPr>
                <w:rFonts w:ascii="Verdana" w:eastAsia="新細明體" w:hAnsi="Verdana" w:cs="新細明體" w:hint="eastAsia"/>
                <w:kern w:val="0"/>
                <w:sz w:val="26"/>
                <w:szCs w:val="26"/>
              </w:rPr>
              <w:t>上市</w:t>
            </w:r>
            <w:r w:rsidRPr="008A1EAE">
              <w:rPr>
                <w:rFonts w:ascii="Verdana" w:eastAsia="新細明體" w:hAnsi="Verdana" w:cs="新細明體"/>
                <w:kern w:val="0"/>
                <w:sz w:val="26"/>
                <w:szCs w:val="26"/>
              </w:rPr>
              <w:t>的普通股，並依下列情況處理：</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4C69D2" w:rsidRPr="006A31B7" w:rsidRDefault="0014597A" w:rsidP="002038AF">
            <w:pPr>
              <w:widowControl/>
              <w:spacing w:line="250" w:lineRule="atLeast"/>
              <w:rPr>
                <w:rFonts w:ascii="Verdana" w:eastAsia="新細明體" w:hAnsi="Verdana" w:cs="新細明體"/>
                <w:kern w:val="0"/>
                <w:sz w:val="26"/>
                <w:szCs w:val="26"/>
              </w:rPr>
            </w:pPr>
            <w:r w:rsidRPr="0014597A">
              <w:rPr>
                <w:rFonts w:ascii="Verdana" w:eastAsia="新細明體" w:hAnsi="Verdana" w:cs="新細明體"/>
                <w:kern w:val="0"/>
                <w:sz w:val="26"/>
                <w:szCs w:val="26"/>
              </w:rPr>
              <w:t xml:space="preserve">( </w:t>
            </w:r>
            <w:proofErr w:type="gramStart"/>
            <w:r w:rsidRPr="0014597A">
              <w:rPr>
                <w:rFonts w:ascii="Verdana" w:eastAsia="新細明體" w:hAnsi="Verdana" w:cs="新細明體"/>
                <w:kern w:val="0"/>
                <w:sz w:val="26"/>
                <w:szCs w:val="26"/>
              </w:rPr>
              <w:t>一</w:t>
            </w:r>
            <w:proofErr w:type="gramEnd"/>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新上市公司股票在上市滿一個日曆月的</w:t>
            </w:r>
            <w:proofErr w:type="gramStart"/>
            <w:r w:rsidRPr="0014597A">
              <w:rPr>
                <w:rFonts w:ascii="Verdana" w:eastAsia="新細明體" w:hAnsi="Verdana" w:cs="新細明體"/>
                <w:kern w:val="0"/>
                <w:sz w:val="26"/>
                <w:szCs w:val="26"/>
              </w:rPr>
              <w:t>次月第一個</w:t>
            </w:r>
            <w:proofErr w:type="gramEnd"/>
            <w:r w:rsidRPr="0014597A">
              <w:rPr>
                <w:rFonts w:ascii="Verdana" w:eastAsia="新細明體" w:hAnsi="Verdana" w:cs="新細明體"/>
                <w:kern w:val="0"/>
                <w:sz w:val="26"/>
                <w:szCs w:val="26"/>
              </w:rPr>
              <w:t>交易日納入樣本，但已上市公司轉換為金融控股公司、投資控股公司，及上櫃轉上市公司，則於上</w:t>
            </w:r>
            <w:r w:rsidRPr="008A1EAE">
              <w:rPr>
                <w:rFonts w:ascii="Verdana" w:eastAsia="新細明體" w:hAnsi="Verdana" w:cs="新細明體"/>
                <w:kern w:val="0"/>
                <w:sz w:val="26"/>
                <w:szCs w:val="26"/>
              </w:rPr>
              <w:t>市當日即納入樣本。</w:t>
            </w:r>
            <w:r w:rsidRPr="008A1EAE">
              <w:rPr>
                <w:rFonts w:ascii="Verdana" w:eastAsia="新細明體" w:hAnsi="Verdana" w:cs="新細明體"/>
                <w:kern w:val="0"/>
                <w:sz w:val="26"/>
                <w:szCs w:val="26"/>
              </w:rPr>
              <w:t xml:space="preserve"> </w:t>
            </w:r>
            <w:r w:rsidRPr="008A1EAE">
              <w:rPr>
                <w:rFonts w:ascii="Verdana" w:eastAsia="新細明體" w:hAnsi="Verdana" w:cs="新細明體"/>
                <w:kern w:val="0"/>
                <w:sz w:val="26"/>
                <w:szCs w:val="26"/>
              </w:rPr>
              <w:br/>
              <w:t xml:space="preserve">( </w:t>
            </w:r>
            <w:r w:rsidRPr="008A1EAE">
              <w:rPr>
                <w:rFonts w:ascii="Verdana" w:eastAsia="新細明體" w:hAnsi="Verdana" w:cs="新細明體"/>
                <w:kern w:val="0"/>
                <w:sz w:val="26"/>
                <w:szCs w:val="26"/>
              </w:rPr>
              <w:t>二</w:t>
            </w:r>
            <w:r w:rsidRPr="008A1EAE">
              <w:rPr>
                <w:rFonts w:ascii="Verdana" w:eastAsia="新細明體" w:hAnsi="Verdana" w:cs="新細明體"/>
                <w:kern w:val="0"/>
                <w:sz w:val="26"/>
                <w:szCs w:val="26"/>
              </w:rPr>
              <w:t xml:space="preserve"> ) </w:t>
            </w:r>
            <w:r w:rsidR="008A1EAE">
              <w:rPr>
                <w:rFonts w:ascii="Verdana" w:eastAsia="新細明體" w:hAnsi="Verdana" w:cs="新細明體" w:hint="eastAsia"/>
                <w:kern w:val="0"/>
                <w:sz w:val="26"/>
                <w:szCs w:val="26"/>
              </w:rPr>
              <w:t>停止買賣</w:t>
            </w:r>
            <w:r w:rsidRPr="008A1EAE">
              <w:rPr>
                <w:rFonts w:ascii="Verdana" w:eastAsia="新細明體" w:hAnsi="Verdana" w:cs="新細明體"/>
                <w:kern w:val="0"/>
                <w:sz w:val="26"/>
                <w:szCs w:val="26"/>
              </w:rPr>
              <w:t>股票</w:t>
            </w:r>
            <w:r w:rsidR="00477699">
              <w:rPr>
                <w:rFonts w:ascii="Verdana" w:eastAsia="新細明體" w:hAnsi="Verdana" w:cs="新細明體" w:hint="eastAsia"/>
                <w:kern w:val="0"/>
                <w:sz w:val="26"/>
                <w:szCs w:val="26"/>
              </w:rPr>
              <w:t>不納入樣本，</w:t>
            </w:r>
            <w:proofErr w:type="gramStart"/>
            <w:r w:rsidR="00477699">
              <w:rPr>
                <w:rFonts w:ascii="Verdana" w:eastAsia="新細明體" w:hAnsi="Verdana" w:cs="新細明體" w:hint="eastAsia"/>
                <w:kern w:val="0"/>
                <w:sz w:val="26"/>
                <w:szCs w:val="26"/>
              </w:rPr>
              <w:t>俟</w:t>
            </w:r>
            <w:proofErr w:type="gramEnd"/>
            <w:r w:rsidRPr="008A1EAE">
              <w:rPr>
                <w:rFonts w:ascii="Verdana" w:eastAsia="新細明體" w:hAnsi="Verdana" w:cs="新細明體"/>
                <w:kern w:val="0"/>
                <w:sz w:val="26"/>
                <w:szCs w:val="26"/>
              </w:rPr>
              <w:t>恢復普通交易滿一個日曆月的</w:t>
            </w:r>
            <w:proofErr w:type="gramStart"/>
            <w:r w:rsidRPr="008A1EAE">
              <w:rPr>
                <w:rFonts w:ascii="Verdana" w:eastAsia="新細明體" w:hAnsi="Verdana" w:cs="新細明體"/>
                <w:kern w:val="0"/>
                <w:sz w:val="26"/>
                <w:szCs w:val="26"/>
              </w:rPr>
              <w:t>次月第一個</w:t>
            </w:r>
            <w:proofErr w:type="gramEnd"/>
            <w:r w:rsidRPr="008A1EAE">
              <w:rPr>
                <w:rFonts w:ascii="Verdana" w:eastAsia="新細明體" w:hAnsi="Verdana" w:cs="新細明體"/>
                <w:kern w:val="0"/>
                <w:sz w:val="26"/>
                <w:szCs w:val="26"/>
              </w:rPr>
              <w:t>交易日納入樣本，但因公司分割辦理減資換發新股而停止買賣的股票，新股恢復買賣當日即納入樣本。</w:t>
            </w:r>
            <w:r w:rsidRPr="008A1EAE">
              <w:rPr>
                <w:rFonts w:ascii="Verdana" w:eastAsia="新細明體" w:hAnsi="Verdana" w:cs="新細明體"/>
                <w:kern w:val="0"/>
                <w:sz w:val="26"/>
                <w:szCs w:val="26"/>
              </w:rPr>
              <w:t xml:space="preserve"> </w:t>
            </w:r>
            <w:r w:rsidRPr="008A1EAE">
              <w:rPr>
                <w:rFonts w:ascii="Verdana" w:eastAsia="新細明體" w:hAnsi="Verdana" w:cs="新細明體"/>
                <w:kern w:val="0"/>
                <w:sz w:val="26"/>
                <w:szCs w:val="26"/>
              </w:rPr>
              <w:br/>
              <w:t xml:space="preserve">( </w:t>
            </w:r>
            <w:r w:rsidRPr="008A1EAE">
              <w:rPr>
                <w:rFonts w:ascii="Verdana" w:eastAsia="新細明體" w:hAnsi="Verdana" w:cs="新細明體"/>
                <w:kern w:val="0"/>
                <w:sz w:val="26"/>
                <w:szCs w:val="26"/>
              </w:rPr>
              <w:t>三</w:t>
            </w:r>
            <w:r w:rsidRPr="008A1EAE">
              <w:rPr>
                <w:rFonts w:ascii="Verdana" w:eastAsia="新細明體" w:hAnsi="Verdana" w:cs="新細明體"/>
                <w:kern w:val="0"/>
                <w:sz w:val="26"/>
                <w:szCs w:val="26"/>
              </w:rPr>
              <w:t xml:space="preserve"> ) </w:t>
            </w:r>
            <w:r w:rsidR="00127523">
              <w:rPr>
                <w:rFonts w:ascii="Verdana" w:eastAsia="新細明體" w:hAnsi="Verdana" w:cs="新細明體" w:hint="eastAsia"/>
                <w:kern w:val="0"/>
                <w:sz w:val="26"/>
                <w:szCs w:val="26"/>
              </w:rPr>
              <w:t>變更交易方法股票</w:t>
            </w:r>
            <w:r w:rsidRPr="008A1EAE">
              <w:rPr>
                <w:rFonts w:ascii="Verdana" w:eastAsia="新細明體" w:hAnsi="Verdana" w:cs="新細明體"/>
                <w:kern w:val="0"/>
                <w:sz w:val="26"/>
                <w:szCs w:val="26"/>
              </w:rPr>
              <w:t>不</w:t>
            </w:r>
            <w:r w:rsidRPr="0014597A">
              <w:rPr>
                <w:rFonts w:ascii="Verdana" w:eastAsia="新細明體" w:hAnsi="Verdana" w:cs="新細明體"/>
                <w:kern w:val="0"/>
                <w:sz w:val="26"/>
                <w:szCs w:val="26"/>
              </w:rPr>
              <w:t>納入樣本，恢復普通交易當日，即納入樣本。</w:t>
            </w:r>
          </w:p>
        </w:tc>
      </w:tr>
      <w:tr w:rsidR="0014597A" w:rsidRPr="0014597A" w:rsidTr="0014597A">
        <w:trPr>
          <w:trHeight w:val="365"/>
          <w:tblCellSpacing w:w="0" w:type="dxa"/>
          <w:jc w:val="center"/>
        </w:trPr>
        <w:tc>
          <w:tcPr>
            <w:tcW w:w="0" w:type="auto"/>
            <w:vAlign w:val="center"/>
            <w:hideMark/>
          </w:tcPr>
          <w:p w:rsidR="0014597A" w:rsidRPr="002038AF"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二、本公司所編製之加權指數，其計算公式為：</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14597A">
            <w:pPr>
              <w:widowControl/>
              <w:spacing w:line="250" w:lineRule="atLeast"/>
              <w:rPr>
                <w:rFonts w:ascii="Verdana" w:eastAsia="新細明體" w:hAnsi="Verdana" w:cs="新細明體"/>
                <w:kern w:val="0"/>
                <w:sz w:val="26"/>
                <w:szCs w:val="26"/>
              </w:rPr>
            </w:pPr>
            <w:r w:rsidRPr="0014597A">
              <w:rPr>
                <w:rFonts w:ascii="Verdana" w:eastAsia="新細明體" w:hAnsi="Verdana" w:cs="新細明體"/>
                <w:kern w:val="0"/>
                <w:sz w:val="26"/>
                <w:szCs w:val="26"/>
              </w:rPr>
              <w:t>指數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總發行市值</w:t>
            </w:r>
            <w:r w:rsidRPr="0014597A">
              <w:rPr>
                <w:rFonts w:ascii="Verdana" w:eastAsia="新細明體" w:hAnsi="Verdana" w:cs="新細明體"/>
                <w:kern w:val="0"/>
                <w:sz w:val="26"/>
                <w:szCs w:val="26"/>
              </w:rPr>
              <w:t xml:space="preserve"> ÷ </w:t>
            </w:r>
            <w:proofErr w:type="gramStart"/>
            <w:r w:rsidRPr="0014597A">
              <w:rPr>
                <w:rFonts w:ascii="Verdana" w:eastAsia="新細明體" w:hAnsi="Verdana" w:cs="新細明體"/>
                <w:kern w:val="0"/>
                <w:sz w:val="26"/>
                <w:szCs w:val="26"/>
              </w:rPr>
              <w:t>當日基值</w:t>
            </w:r>
            <w:proofErr w:type="gramEnd"/>
            <w:r w:rsidRPr="0014597A">
              <w:rPr>
                <w:rFonts w:ascii="Verdana" w:eastAsia="新細明體" w:hAnsi="Verdana" w:cs="新細明體"/>
                <w:kern w:val="0"/>
                <w:sz w:val="26"/>
                <w:szCs w:val="26"/>
              </w:rPr>
              <w:t xml:space="preserve"> × 100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總發行市值為各</w:t>
            </w:r>
            <w:proofErr w:type="gramStart"/>
            <w:r w:rsidRPr="0014597A">
              <w:rPr>
                <w:rFonts w:ascii="Verdana" w:eastAsia="新細明體" w:hAnsi="Verdana" w:cs="新細明體"/>
                <w:kern w:val="0"/>
                <w:sz w:val="26"/>
                <w:szCs w:val="26"/>
              </w:rPr>
              <w:t>採</w:t>
            </w:r>
            <w:proofErr w:type="gramEnd"/>
            <w:r w:rsidRPr="0014597A">
              <w:rPr>
                <w:rFonts w:ascii="Verdana" w:eastAsia="新細明體" w:hAnsi="Verdana" w:cs="新細明體"/>
                <w:kern w:val="0"/>
                <w:sz w:val="26"/>
                <w:szCs w:val="26"/>
              </w:rPr>
              <w:t>樣股票成交價格乘以當日發行股數所得市值之總和，若當日無成交價格時，得以當日開盤競價基準計算。但新上市公司股票納入指數計算，得以當日上市股數為</w:t>
            </w:r>
            <w:proofErr w:type="gramStart"/>
            <w:r w:rsidRPr="0014597A">
              <w:rPr>
                <w:rFonts w:ascii="Verdana" w:eastAsia="新細明體" w:hAnsi="Verdana" w:cs="新細明體"/>
                <w:kern w:val="0"/>
                <w:sz w:val="26"/>
                <w:szCs w:val="26"/>
              </w:rPr>
              <w:t>準</w:t>
            </w:r>
            <w:proofErr w:type="gramEnd"/>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在指數</w:t>
            </w:r>
            <w:proofErr w:type="gramStart"/>
            <w:r w:rsidRPr="0014597A">
              <w:rPr>
                <w:rFonts w:ascii="Verdana" w:eastAsia="新細明體" w:hAnsi="Verdana" w:cs="新細明體"/>
                <w:kern w:val="0"/>
                <w:sz w:val="26"/>
                <w:szCs w:val="26"/>
              </w:rPr>
              <w:t>起算基期</w:t>
            </w:r>
            <w:proofErr w:type="gramEnd"/>
            <w:r w:rsidRPr="0014597A">
              <w:rPr>
                <w:rFonts w:ascii="Verdana" w:eastAsia="新細明體" w:hAnsi="Verdana" w:cs="新細明體"/>
                <w:kern w:val="0"/>
                <w:sz w:val="26"/>
                <w:szCs w:val="26"/>
              </w:rPr>
              <w:t>時</w:t>
            </w:r>
            <w:proofErr w:type="gramStart"/>
            <w:r w:rsidRPr="0014597A">
              <w:rPr>
                <w:rFonts w:ascii="Verdana" w:eastAsia="新細明體" w:hAnsi="Verdana" w:cs="新細明體"/>
                <w:kern w:val="0"/>
                <w:sz w:val="26"/>
                <w:szCs w:val="26"/>
              </w:rPr>
              <w:t>之基值即</w:t>
            </w:r>
            <w:proofErr w:type="gramEnd"/>
            <w:r w:rsidRPr="0014597A">
              <w:rPr>
                <w:rFonts w:ascii="Verdana" w:eastAsia="新細明體" w:hAnsi="Verdana" w:cs="新細明體"/>
                <w:kern w:val="0"/>
                <w:sz w:val="26"/>
                <w:szCs w:val="26"/>
              </w:rPr>
              <w:t>當時總發行市值。</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三、本公司編製加權指數，遇有下列狀況時，應</w:t>
            </w:r>
            <w:proofErr w:type="gramStart"/>
            <w:r w:rsidRPr="0014597A">
              <w:rPr>
                <w:rFonts w:ascii="Verdana" w:eastAsia="新細明體" w:hAnsi="Verdana" w:cs="新細明體"/>
                <w:kern w:val="0"/>
                <w:sz w:val="26"/>
                <w:szCs w:val="26"/>
              </w:rPr>
              <w:t>調整基值</w:t>
            </w:r>
            <w:proofErr w:type="gramEnd"/>
            <w:r w:rsidRPr="0014597A">
              <w:rPr>
                <w:rFonts w:ascii="Verdana" w:eastAsia="新細明體" w:hAnsi="Verdana" w:cs="新細明體"/>
                <w:kern w:val="0"/>
                <w:sz w:val="26"/>
                <w:szCs w:val="26"/>
              </w:rPr>
              <w:t>，以維持加權指數之連續性：</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14597A">
            <w:pPr>
              <w:widowControl/>
              <w:spacing w:line="250" w:lineRule="atLeast"/>
              <w:rPr>
                <w:rFonts w:ascii="Verdana" w:eastAsia="新細明體" w:hAnsi="Verdana" w:cs="新細明體"/>
                <w:kern w:val="0"/>
                <w:sz w:val="26"/>
                <w:szCs w:val="26"/>
              </w:rPr>
            </w:pPr>
            <w:r w:rsidRPr="0014597A">
              <w:rPr>
                <w:rFonts w:ascii="Verdana" w:eastAsia="新細明體" w:hAnsi="Verdana" w:cs="新細明體"/>
                <w:kern w:val="0"/>
                <w:sz w:val="26"/>
                <w:szCs w:val="26"/>
              </w:rPr>
              <w:t>（一）新增或刪除</w:t>
            </w:r>
            <w:proofErr w:type="gramStart"/>
            <w:r w:rsidRPr="0014597A">
              <w:rPr>
                <w:rFonts w:ascii="Verdana" w:eastAsia="新細明體" w:hAnsi="Verdana" w:cs="新細明體"/>
                <w:kern w:val="0"/>
                <w:sz w:val="26"/>
                <w:szCs w:val="26"/>
              </w:rPr>
              <w:t>採</w:t>
            </w:r>
            <w:proofErr w:type="gramEnd"/>
            <w:r w:rsidRPr="0014597A">
              <w:rPr>
                <w:rFonts w:ascii="Verdana" w:eastAsia="新細明體" w:hAnsi="Verdana" w:cs="新細明體"/>
                <w:kern w:val="0"/>
                <w:sz w:val="26"/>
                <w:szCs w:val="26"/>
              </w:rPr>
              <w:t>樣股票生效日。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（二）現金增資認購普通股的除權交易日。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（三）員工紅利增資股或新股權利證書上市日。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（四）特別股無償配發普通股除權交易日。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（五）上市公司持有未辦理減資註銷庫藏股除權交易日。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（六）公司依法註銷股份辦理減資經本公司公告後之除權交易日或次月第三</w:t>
            </w:r>
            <w:proofErr w:type="gramStart"/>
            <w:r w:rsidRPr="0014597A">
              <w:rPr>
                <w:rFonts w:ascii="Verdana" w:eastAsia="新細明體" w:hAnsi="Verdana" w:cs="新細明體"/>
                <w:kern w:val="0"/>
                <w:sz w:val="26"/>
                <w:szCs w:val="26"/>
              </w:rPr>
              <w:t>個</w:t>
            </w:r>
            <w:proofErr w:type="gramEnd"/>
            <w:r w:rsidRPr="0014597A">
              <w:rPr>
                <w:rFonts w:ascii="Verdana" w:eastAsia="新細明體" w:hAnsi="Verdana" w:cs="新細明體"/>
                <w:kern w:val="0"/>
                <w:sz w:val="26"/>
                <w:szCs w:val="26"/>
              </w:rPr>
              <w:t>交易日，並以較</w:t>
            </w:r>
            <w:proofErr w:type="gramStart"/>
            <w:r w:rsidRPr="0014597A">
              <w:rPr>
                <w:rFonts w:ascii="Verdana" w:eastAsia="新細明體" w:hAnsi="Verdana" w:cs="新細明體"/>
                <w:kern w:val="0"/>
                <w:sz w:val="26"/>
                <w:szCs w:val="26"/>
              </w:rPr>
              <w:t>先者為準</w:t>
            </w:r>
            <w:proofErr w:type="gramEnd"/>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（七）收到現金增資募集失敗之通知後，次月第三</w:t>
            </w:r>
            <w:proofErr w:type="gramStart"/>
            <w:r w:rsidRPr="0014597A">
              <w:rPr>
                <w:rFonts w:ascii="Verdana" w:eastAsia="新細明體" w:hAnsi="Verdana" w:cs="新細明體"/>
                <w:kern w:val="0"/>
                <w:sz w:val="26"/>
                <w:szCs w:val="26"/>
              </w:rPr>
              <w:t>個</w:t>
            </w:r>
            <w:proofErr w:type="gramEnd"/>
            <w:r w:rsidRPr="0014597A">
              <w:rPr>
                <w:rFonts w:ascii="Verdana" w:eastAsia="新細明體" w:hAnsi="Verdana" w:cs="新細明體"/>
                <w:kern w:val="0"/>
                <w:sz w:val="26"/>
                <w:szCs w:val="26"/>
              </w:rPr>
              <w:t>交易日將發行股數復原。</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（八）公司合併後增資股或新股權利證書上市日。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lastRenderedPageBreak/>
              <w:t>（九）轉換公司債轉換的債券換股權證換發為普通股的上市日。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（十）上市公司發行之轉換公司債直接換發為普通股</w:t>
            </w:r>
            <w:proofErr w:type="gramStart"/>
            <w:r w:rsidRPr="0014597A">
              <w:rPr>
                <w:rFonts w:ascii="Verdana" w:eastAsia="新細明體" w:hAnsi="Verdana" w:cs="新細明體"/>
                <w:kern w:val="0"/>
                <w:sz w:val="26"/>
                <w:szCs w:val="26"/>
              </w:rPr>
              <w:t>或附認股權</w:t>
            </w:r>
            <w:proofErr w:type="gramEnd"/>
            <w:r w:rsidRPr="0014597A">
              <w:rPr>
                <w:rFonts w:ascii="Verdana" w:eastAsia="新細明體" w:hAnsi="Verdana" w:cs="新細明體"/>
                <w:kern w:val="0"/>
                <w:sz w:val="26"/>
                <w:szCs w:val="26"/>
              </w:rPr>
              <w:t>有價證券認購而發行之普通股，</w:t>
            </w:r>
            <w:proofErr w:type="gramStart"/>
            <w:r w:rsidRPr="0014597A">
              <w:rPr>
                <w:rFonts w:ascii="Verdana" w:eastAsia="新細明體" w:hAnsi="Verdana" w:cs="新細明體"/>
                <w:kern w:val="0"/>
                <w:sz w:val="26"/>
                <w:szCs w:val="26"/>
              </w:rPr>
              <w:t>俟</w:t>
            </w:r>
            <w:proofErr w:type="gramEnd"/>
            <w:r w:rsidRPr="0014597A">
              <w:rPr>
                <w:rFonts w:ascii="Verdana" w:eastAsia="新細明體" w:hAnsi="Verdana" w:cs="新細明體"/>
                <w:kern w:val="0"/>
                <w:sz w:val="26"/>
                <w:szCs w:val="26"/>
              </w:rPr>
              <w:t>其除權交易日或其辦理資本額變更登記經本公司公告後次月第三</w:t>
            </w:r>
            <w:proofErr w:type="gramStart"/>
            <w:r w:rsidRPr="0014597A">
              <w:rPr>
                <w:rFonts w:ascii="Verdana" w:eastAsia="新細明體" w:hAnsi="Verdana" w:cs="新細明體"/>
                <w:kern w:val="0"/>
                <w:sz w:val="26"/>
                <w:szCs w:val="26"/>
              </w:rPr>
              <w:t>個</w:t>
            </w:r>
            <w:proofErr w:type="gramEnd"/>
            <w:r w:rsidRPr="0014597A">
              <w:rPr>
                <w:rFonts w:ascii="Verdana" w:eastAsia="新細明體" w:hAnsi="Verdana" w:cs="新細明體"/>
                <w:kern w:val="0"/>
                <w:sz w:val="26"/>
                <w:szCs w:val="26"/>
              </w:rPr>
              <w:t>交易日。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（十一）股東放棄認購而</w:t>
            </w:r>
            <w:proofErr w:type="gramStart"/>
            <w:r w:rsidRPr="0014597A">
              <w:rPr>
                <w:rFonts w:ascii="Verdana" w:eastAsia="新細明體" w:hAnsi="Verdana" w:cs="新細明體"/>
                <w:kern w:val="0"/>
                <w:sz w:val="26"/>
                <w:szCs w:val="26"/>
              </w:rPr>
              <w:t>採</w:t>
            </w:r>
            <w:proofErr w:type="gramEnd"/>
            <w:r w:rsidRPr="0014597A">
              <w:rPr>
                <w:rFonts w:ascii="Verdana" w:eastAsia="新細明體" w:hAnsi="Verdana" w:cs="新細明體"/>
                <w:kern w:val="0"/>
                <w:sz w:val="26"/>
                <w:szCs w:val="26"/>
              </w:rPr>
              <w:t>公開承銷之現金增資股票或股款繳納憑證上市日。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（十二）為海外存託憑證而發行的新股上市日。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（十三）可轉換特別股轉換為普通股的上市日。</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（十四）其他非市場交易而影響總發行市值的因素。</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四、</w:t>
            </w:r>
            <w:proofErr w:type="gramStart"/>
            <w:r w:rsidRPr="0014597A">
              <w:rPr>
                <w:rFonts w:ascii="Verdana" w:eastAsia="新細明體" w:hAnsi="Verdana" w:cs="新細明體"/>
                <w:kern w:val="0"/>
                <w:sz w:val="26"/>
                <w:szCs w:val="26"/>
              </w:rPr>
              <w:t>基值之</w:t>
            </w:r>
            <w:proofErr w:type="gramEnd"/>
            <w:r w:rsidRPr="0014597A">
              <w:rPr>
                <w:rFonts w:ascii="Verdana" w:eastAsia="新細明體" w:hAnsi="Verdana" w:cs="新細明體"/>
                <w:kern w:val="0"/>
                <w:sz w:val="26"/>
                <w:szCs w:val="26"/>
              </w:rPr>
              <w:t>調整公式為：</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351"/>
          <w:tblCellSpacing w:w="0" w:type="dxa"/>
          <w:jc w:val="center"/>
        </w:trPr>
        <w:tc>
          <w:tcPr>
            <w:tcW w:w="0" w:type="auto"/>
            <w:vAlign w:val="center"/>
            <w:hideMark/>
          </w:tcPr>
          <w:p w:rsidR="0014597A" w:rsidRPr="0014597A" w:rsidRDefault="0014597A" w:rsidP="0014597A">
            <w:pPr>
              <w:widowControl/>
              <w:spacing w:line="250" w:lineRule="atLeast"/>
              <w:rPr>
                <w:rFonts w:ascii="Verdana" w:eastAsia="新細明體" w:hAnsi="Verdana" w:cs="新細明體"/>
                <w:kern w:val="0"/>
                <w:sz w:val="26"/>
                <w:szCs w:val="26"/>
              </w:rPr>
            </w:pPr>
            <w:proofErr w:type="gramStart"/>
            <w:r w:rsidRPr="0014597A">
              <w:rPr>
                <w:rFonts w:ascii="Verdana" w:eastAsia="新細明體" w:hAnsi="Verdana" w:cs="新細明體"/>
                <w:kern w:val="0"/>
                <w:sz w:val="26"/>
                <w:szCs w:val="26"/>
              </w:rPr>
              <w:t>當日基值</w:t>
            </w:r>
            <w:proofErr w:type="gramEnd"/>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前一</w:t>
            </w:r>
            <w:proofErr w:type="gramStart"/>
            <w:r w:rsidRPr="0014597A">
              <w:rPr>
                <w:rFonts w:ascii="Verdana" w:eastAsia="新細明體" w:hAnsi="Verdana" w:cs="新細明體"/>
                <w:kern w:val="0"/>
                <w:sz w:val="26"/>
                <w:szCs w:val="26"/>
              </w:rPr>
              <w:t>日基值</w:t>
            </w:r>
            <w:proofErr w:type="gramEnd"/>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（前一日收盤後調整之總發行市值</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前一日收盤總發行市值）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前一日收盤後調整之總發行市值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前一日收盤總發行市值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各項調整市值之總和，調整市值之計算方式如下：</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本要點三之（一）</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調整市值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前一日收盤價</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發行股數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本要點三之（二）</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調整市值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現金增資認購價</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現金增資股數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本要點三之（三）</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調整市值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增資股或新股權利證書上市前一日之普通股收盤價</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員工紅利轉增資股數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本要點三之（四）</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調整市值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普通股除權參考價</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特別股配發普通股合計股數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普通股除權參考價</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＝（除權前收盤價</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現金增資認購價</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現金增資配股率）</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1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股東無償配股率</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現金增資配股率）</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股東無償配股率</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股東無償配股增資股數</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除權前發行股數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現金增資配股率</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現金增資股數</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除權前發行股數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本要點三之（五）：</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調整市值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除權後發行市值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除權前發行市值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除權前發行市值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＝（除權前收盤價</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每股現金股利）</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除權前發行股數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除權後發行市值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＝（除權前收盤價－每股現金股利）</w:t>
            </w:r>
            <w:r w:rsidRPr="0014597A">
              <w:rPr>
                <w:rFonts w:ascii="Verdana" w:eastAsia="新細明體" w:hAnsi="Verdana" w:cs="新細明體"/>
                <w:kern w:val="0"/>
                <w:sz w:val="26"/>
                <w:szCs w:val="26"/>
              </w:rPr>
              <w:t xml:space="preserve">÷ ( 1 </w:t>
            </w:r>
            <w:r w:rsidRPr="0014597A">
              <w:rPr>
                <w:rFonts w:ascii="Verdana" w:eastAsia="新細明體" w:hAnsi="Verdana" w:cs="新細明體"/>
                <w:kern w:val="0"/>
                <w:sz w:val="26"/>
                <w:szCs w:val="26"/>
              </w:rPr>
              <w:t>＋股東無償配股率</w:t>
            </w:r>
            <w:r w:rsidRPr="0014597A">
              <w:rPr>
                <w:rFonts w:ascii="Verdana" w:eastAsia="新細明體" w:hAnsi="Verdana" w:cs="新細明體"/>
                <w:kern w:val="0"/>
                <w:sz w:val="26"/>
                <w:szCs w:val="26"/>
              </w:rPr>
              <w:t xml:space="preserve"> ) × </w:t>
            </w:r>
            <w:r w:rsidRPr="0014597A">
              <w:rPr>
                <w:rFonts w:ascii="Verdana" w:eastAsia="新細明體" w:hAnsi="Verdana" w:cs="新細明體"/>
                <w:kern w:val="0"/>
                <w:sz w:val="26"/>
                <w:szCs w:val="26"/>
              </w:rPr>
              <w:t>除權後發行股數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本要點三之</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六</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七</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八</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九</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十</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十一</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十二</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十三</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十四</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調整市值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前一日收盤價</w:t>
            </w:r>
            <w:r w:rsidRPr="0014597A">
              <w:rPr>
                <w:rFonts w:ascii="Verdana" w:eastAsia="新細明體" w:hAnsi="Verdana" w:cs="新細明體"/>
                <w:kern w:val="0"/>
                <w:sz w:val="26"/>
                <w:szCs w:val="26"/>
              </w:rPr>
              <w:t xml:space="preserve"> × </w:t>
            </w:r>
            <w:r w:rsidRPr="0014597A">
              <w:rPr>
                <w:rFonts w:ascii="Verdana" w:eastAsia="新細明體" w:hAnsi="Verdana" w:cs="新細明體"/>
                <w:kern w:val="0"/>
                <w:sz w:val="26"/>
                <w:szCs w:val="26"/>
              </w:rPr>
              <w:t>異動股數</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r w:rsidRPr="0014597A">
              <w:rPr>
                <w:rFonts w:ascii="Verdana" w:eastAsia="新細明體" w:hAnsi="Verdana" w:cs="新細明體"/>
                <w:kern w:val="0"/>
                <w:sz w:val="26"/>
                <w:szCs w:val="26"/>
              </w:rPr>
              <w:t>前一日收盤後依據本要點四計算之各項調整市值，如無收盤價時，得以當日開盤競價基準計算。</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88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五、上市公司除息時，除報酬指數外，</w:t>
            </w:r>
            <w:proofErr w:type="gramStart"/>
            <w:r w:rsidRPr="0014597A">
              <w:rPr>
                <w:rFonts w:ascii="Verdana" w:eastAsia="新細明體" w:hAnsi="Verdana" w:cs="新細明體"/>
                <w:kern w:val="0"/>
                <w:sz w:val="26"/>
                <w:szCs w:val="26"/>
              </w:rPr>
              <w:t>基值不做</w:t>
            </w:r>
            <w:proofErr w:type="gramEnd"/>
            <w:r w:rsidRPr="0014597A">
              <w:rPr>
                <w:rFonts w:ascii="Verdana" w:eastAsia="新細明體" w:hAnsi="Verdana" w:cs="新細明體"/>
                <w:kern w:val="0"/>
                <w:sz w:val="26"/>
                <w:szCs w:val="26"/>
              </w:rPr>
              <w:t>調整。</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2627"/>
          <w:tblCellSpacing w:w="0" w:type="dxa"/>
          <w:jc w:val="center"/>
        </w:trPr>
        <w:tc>
          <w:tcPr>
            <w:tcW w:w="0" w:type="auto"/>
            <w:vAlign w:val="center"/>
            <w:hideMark/>
          </w:tcPr>
          <w:p w:rsidR="0014597A" w:rsidRPr="0014597A" w:rsidRDefault="0014597A" w:rsidP="0014597A">
            <w:pPr>
              <w:widowControl/>
              <w:spacing w:line="250" w:lineRule="atLeast"/>
              <w:rPr>
                <w:rFonts w:ascii="Verdana" w:eastAsia="新細明體" w:hAnsi="Verdana" w:cs="新細明體"/>
                <w:kern w:val="0"/>
                <w:sz w:val="26"/>
                <w:szCs w:val="26"/>
              </w:rPr>
            </w:pPr>
            <w:r w:rsidRPr="0014597A">
              <w:rPr>
                <w:rFonts w:ascii="Verdana" w:eastAsia="新細明體" w:hAnsi="Verdana" w:cs="新細明體"/>
                <w:kern w:val="0"/>
                <w:sz w:val="26"/>
                <w:szCs w:val="26"/>
              </w:rPr>
              <w:lastRenderedPageBreak/>
              <w:t>報酬</w:t>
            </w:r>
            <w:proofErr w:type="gramStart"/>
            <w:r w:rsidRPr="0014597A">
              <w:rPr>
                <w:rFonts w:ascii="Verdana" w:eastAsia="新細明體" w:hAnsi="Verdana" w:cs="新細明體"/>
                <w:kern w:val="0"/>
                <w:sz w:val="26"/>
                <w:szCs w:val="26"/>
              </w:rPr>
              <w:t>指數基值之</w:t>
            </w:r>
            <w:proofErr w:type="gramEnd"/>
            <w:r w:rsidRPr="0014597A">
              <w:rPr>
                <w:rFonts w:ascii="Verdana" w:eastAsia="新細明體" w:hAnsi="Verdana" w:cs="新細明體"/>
                <w:kern w:val="0"/>
                <w:sz w:val="26"/>
                <w:szCs w:val="26"/>
              </w:rPr>
              <w:t>調整公式為：</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br/>
            </w:r>
            <w:proofErr w:type="gramStart"/>
            <w:r w:rsidRPr="0014597A">
              <w:rPr>
                <w:rFonts w:ascii="Verdana" w:eastAsia="新細明體" w:hAnsi="Verdana" w:cs="新細明體"/>
                <w:kern w:val="0"/>
                <w:sz w:val="26"/>
                <w:szCs w:val="26"/>
              </w:rPr>
              <w:t>當日基值</w:t>
            </w:r>
            <w:proofErr w:type="gramEnd"/>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前一</w:t>
            </w:r>
            <w:proofErr w:type="gramStart"/>
            <w:r w:rsidRPr="0014597A">
              <w:rPr>
                <w:rFonts w:ascii="Verdana" w:eastAsia="新細明體" w:hAnsi="Verdana" w:cs="新細明體"/>
                <w:kern w:val="0"/>
                <w:sz w:val="26"/>
                <w:szCs w:val="26"/>
              </w:rPr>
              <w:t>日基值</w:t>
            </w:r>
            <w:proofErr w:type="gramEnd"/>
            <w:r w:rsidRPr="0014597A">
              <w:rPr>
                <w:rFonts w:ascii="Verdana" w:eastAsia="新細明體" w:hAnsi="Verdana" w:cs="新細明體"/>
                <w:kern w:val="0"/>
                <w:sz w:val="26"/>
                <w:szCs w:val="26"/>
              </w:rPr>
              <w:t xml:space="preserve"> × ( ( </w:t>
            </w:r>
            <w:r w:rsidRPr="0014597A">
              <w:rPr>
                <w:rFonts w:ascii="Verdana" w:eastAsia="新細明體" w:hAnsi="Verdana" w:cs="新細明體"/>
                <w:kern w:val="0"/>
                <w:sz w:val="26"/>
                <w:szCs w:val="26"/>
              </w:rPr>
              <w:t>前一日收盤後調整之總發行市值</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w:t>
            </w:r>
            <w:r w:rsidRPr="0014597A">
              <w:rPr>
                <w:rFonts w:ascii="Verdana" w:eastAsia="新細明體" w:hAnsi="Verdana" w:cs="新細明體"/>
                <w:kern w:val="0"/>
                <w:sz w:val="26"/>
                <w:szCs w:val="26"/>
              </w:rPr>
              <w:t xml:space="preserve"> </w:t>
            </w:r>
            <w:r w:rsidRPr="0014597A">
              <w:rPr>
                <w:rFonts w:ascii="Verdana" w:eastAsia="新細明體" w:hAnsi="Verdana" w:cs="新細明體"/>
                <w:kern w:val="0"/>
                <w:sz w:val="26"/>
                <w:szCs w:val="26"/>
              </w:rPr>
              <w:t>當日發放現金股利總值</w:t>
            </w:r>
            <w:r w:rsidRPr="0014597A">
              <w:rPr>
                <w:rFonts w:ascii="Verdana" w:eastAsia="新細明體" w:hAnsi="Verdana" w:cs="新細明體"/>
                <w:kern w:val="0"/>
                <w:sz w:val="26"/>
                <w:szCs w:val="26"/>
              </w:rPr>
              <w:t xml:space="preserve"> ) / </w:t>
            </w:r>
            <w:r w:rsidRPr="0014597A">
              <w:rPr>
                <w:rFonts w:ascii="Verdana" w:eastAsia="新細明體" w:hAnsi="Verdana" w:cs="新細明體"/>
                <w:kern w:val="0"/>
                <w:sz w:val="26"/>
                <w:szCs w:val="26"/>
              </w:rPr>
              <w:t>前一日收盤總發行市值</w:t>
            </w:r>
            <w:r w:rsidRPr="0014597A">
              <w:rPr>
                <w:rFonts w:ascii="Verdana" w:eastAsia="新細明體" w:hAnsi="Verdana" w:cs="新細明體"/>
                <w:kern w:val="0"/>
                <w:sz w:val="26"/>
                <w:szCs w:val="26"/>
              </w:rPr>
              <w:t xml:space="preserve"> )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88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六、各產業分類指數除</w:t>
            </w:r>
            <w:proofErr w:type="gramStart"/>
            <w:r w:rsidRPr="0014597A">
              <w:rPr>
                <w:rFonts w:ascii="Verdana" w:eastAsia="新細明體" w:hAnsi="Verdana" w:cs="新細明體"/>
                <w:kern w:val="0"/>
                <w:sz w:val="26"/>
                <w:szCs w:val="26"/>
              </w:rPr>
              <w:t>採</w:t>
            </w:r>
            <w:proofErr w:type="gramEnd"/>
            <w:r w:rsidRPr="0014597A">
              <w:rPr>
                <w:rFonts w:ascii="Verdana" w:eastAsia="新細明體" w:hAnsi="Verdana" w:cs="新細明體"/>
                <w:kern w:val="0"/>
                <w:sz w:val="26"/>
                <w:szCs w:val="26"/>
              </w:rPr>
              <w:t>樣樣本依各特定產業分類外，皆依本要點編製。</w:t>
            </w:r>
            <w:r w:rsidRPr="0014597A">
              <w:rPr>
                <w:rFonts w:ascii="Verdana" w:eastAsia="新細明體" w:hAnsi="Verdana" w:cs="新細明體"/>
                <w:kern w:val="0"/>
                <w:sz w:val="26"/>
                <w:szCs w:val="26"/>
              </w:rPr>
              <w:t xml:space="preserve"> </w:t>
            </w:r>
          </w:p>
        </w:tc>
      </w:tr>
      <w:tr w:rsidR="0014597A" w:rsidRPr="0014597A" w:rsidTr="0014597A">
        <w:trPr>
          <w:trHeight w:val="365"/>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r w:rsidR="0014597A" w:rsidRPr="0014597A" w:rsidTr="0014597A">
        <w:trPr>
          <w:trHeight w:val="857"/>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r w:rsidRPr="0014597A">
              <w:rPr>
                <w:rFonts w:ascii="Verdana" w:eastAsia="新細明體" w:hAnsi="Verdana" w:cs="新細明體"/>
                <w:kern w:val="0"/>
                <w:sz w:val="26"/>
                <w:szCs w:val="26"/>
              </w:rPr>
              <w:t>七、本要點自發布日實施，修正時亦同。</w:t>
            </w:r>
            <w:r w:rsidRPr="0014597A">
              <w:rPr>
                <w:rFonts w:ascii="Verdana" w:eastAsia="新細明體" w:hAnsi="Verdana" w:cs="新細明體"/>
                <w:kern w:val="0"/>
                <w:sz w:val="26"/>
                <w:szCs w:val="26"/>
              </w:rPr>
              <w:t xml:space="preserve"> </w:t>
            </w:r>
          </w:p>
        </w:tc>
      </w:tr>
      <w:tr w:rsidR="0014597A" w:rsidRPr="0014597A" w:rsidTr="0014597A">
        <w:trPr>
          <w:trHeight w:val="733"/>
          <w:tblCellSpacing w:w="0" w:type="dxa"/>
          <w:jc w:val="center"/>
        </w:trPr>
        <w:tc>
          <w:tcPr>
            <w:tcW w:w="0" w:type="auto"/>
            <w:vAlign w:val="center"/>
            <w:hideMark/>
          </w:tcPr>
          <w:p w:rsidR="0014597A" w:rsidRPr="0014597A" w:rsidRDefault="0014597A" w:rsidP="0014597A">
            <w:pPr>
              <w:widowControl/>
              <w:rPr>
                <w:rFonts w:ascii="Verdana" w:eastAsia="新細明體" w:hAnsi="Verdana" w:cs="新細明體"/>
                <w:kern w:val="0"/>
                <w:sz w:val="26"/>
                <w:szCs w:val="26"/>
              </w:rPr>
            </w:pPr>
          </w:p>
        </w:tc>
      </w:tr>
    </w:tbl>
    <w:p w:rsidR="008D6B6B" w:rsidRPr="0014597A" w:rsidRDefault="006C692D">
      <w:pPr>
        <w:rPr>
          <w:sz w:val="26"/>
          <w:szCs w:val="26"/>
        </w:rPr>
      </w:pPr>
    </w:p>
    <w:sectPr w:rsidR="008D6B6B" w:rsidRPr="0014597A" w:rsidSect="0089086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92D" w:rsidRDefault="006C692D" w:rsidP="000839B3">
      <w:r>
        <w:separator/>
      </w:r>
    </w:p>
  </w:endnote>
  <w:endnote w:type="continuationSeparator" w:id="0">
    <w:p w:rsidR="006C692D" w:rsidRDefault="006C692D" w:rsidP="00083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92D" w:rsidRDefault="006C692D" w:rsidP="000839B3">
      <w:r>
        <w:separator/>
      </w:r>
    </w:p>
  </w:footnote>
  <w:footnote w:type="continuationSeparator" w:id="0">
    <w:p w:rsidR="006C692D" w:rsidRDefault="006C692D" w:rsidP="00083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597A"/>
    <w:rsid w:val="000839B3"/>
    <w:rsid w:val="00086249"/>
    <w:rsid w:val="00127523"/>
    <w:rsid w:val="0014597A"/>
    <w:rsid w:val="002038AF"/>
    <w:rsid w:val="002C1B9D"/>
    <w:rsid w:val="003531F0"/>
    <w:rsid w:val="003C3206"/>
    <w:rsid w:val="003F10B2"/>
    <w:rsid w:val="00433FD0"/>
    <w:rsid w:val="00477699"/>
    <w:rsid w:val="0049590F"/>
    <w:rsid w:val="004C69D2"/>
    <w:rsid w:val="004E37A9"/>
    <w:rsid w:val="00510EF1"/>
    <w:rsid w:val="005B4B20"/>
    <w:rsid w:val="005F1336"/>
    <w:rsid w:val="00625506"/>
    <w:rsid w:val="006A31B7"/>
    <w:rsid w:val="006B66F1"/>
    <w:rsid w:val="006C692D"/>
    <w:rsid w:val="006E0330"/>
    <w:rsid w:val="006F7673"/>
    <w:rsid w:val="00754788"/>
    <w:rsid w:val="0079027D"/>
    <w:rsid w:val="007D03F1"/>
    <w:rsid w:val="007E0F08"/>
    <w:rsid w:val="00835FC2"/>
    <w:rsid w:val="0089086C"/>
    <w:rsid w:val="008A1EAE"/>
    <w:rsid w:val="00924503"/>
    <w:rsid w:val="009E0CEC"/>
    <w:rsid w:val="00A020CB"/>
    <w:rsid w:val="00A03B30"/>
    <w:rsid w:val="00A32CA7"/>
    <w:rsid w:val="00A401C3"/>
    <w:rsid w:val="00AD6765"/>
    <w:rsid w:val="00AF09F5"/>
    <w:rsid w:val="00B4000E"/>
    <w:rsid w:val="00C257F9"/>
    <w:rsid w:val="00D0393A"/>
    <w:rsid w:val="00DF5E1E"/>
    <w:rsid w:val="00E97131"/>
    <w:rsid w:val="00ED3466"/>
    <w:rsid w:val="00EE4569"/>
    <w:rsid w:val="00F329BE"/>
    <w:rsid w:val="00F86CF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86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39B3"/>
    <w:pPr>
      <w:tabs>
        <w:tab w:val="center" w:pos="4153"/>
        <w:tab w:val="right" w:pos="8306"/>
      </w:tabs>
      <w:snapToGrid w:val="0"/>
    </w:pPr>
    <w:rPr>
      <w:sz w:val="20"/>
      <w:szCs w:val="20"/>
    </w:rPr>
  </w:style>
  <w:style w:type="character" w:customStyle="1" w:styleId="a4">
    <w:name w:val="頁首 字元"/>
    <w:basedOn w:val="a0"/>
    <w:link w:val="a3"/>
    <w:uiPriority w:val="99"/>
    <w:semiHidden/>
    <w:rsid w:val="000839B3"/>
    <w:rPr>
      <w:sz w:val="20"/>
      <w:szCs w:val="20"/>
    </w:rPr>
  </w:style>
  <w:style w:type="paragraph" w:styleId="a5">
    <w:name w:val="footer"/>
    <w:basedOn w:val="a"/>
    <w:link w:val="a6"/>
    <w:uiPriority w:val="99"/>
    <w:semiHidden/>
    <w:unhideWhenUsed/>
    <w:rsid w:val="000839B3"/>
    <w:pPr>
      <w:tabs>
        <w:tab w:val="center" w:pos="4153"/>
        <w:tab w:val="right" w:pos="8306"/>
      </w:tabs>
      <w:snapToGrid w:val="0"/>
    </w:pPr>
    <w:rPr>
      <w:sz w:val="20"/>
      <w:szCs w:val="20"/>
    </w:rPr>
  </w:style>
  <w:style w:type="character" w:customStyle="1" w:styleId="a6">
    <w:name w:val="頁尾 字元"/>
    <w:basedOn w:val="a0"/>
    <w:link w:val="a5"/>
    <w:uiPriority w:val="99"/>
    <w:semiHidden/>
    <w:rsid w:val="000839B3"/>
    <w:rPr>
      <w:sz w:val="20"/>
      <w:szCs w:val="20"/>
    </w:rPr>
  </w:style>
  <w:style w:type="paragraph" w:styleId="a7">
    <w:name w:val="Balloon Text"/>
    <w:basedOn w:val="a"/>
    <w:link w:val="a8"/>
    <w:uiPriority w:val="99"/>
    <w:semiHidden/>
    <w:unhideWhenUsed/>
    <w:rsid w:val="008A1EA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A1EA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B51CE-759E-4902-BCEF-A09FAAFC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43</cp:revision>
  <cp:lastPrinted>2015-07-22T08:58:00Z</cp:lastPrinted>
  <dcterms:created xsi:type="dcterms:W3CDTF">2015-07-22T08:43:00Z</dcterms:created>
  <dcterms:modified xsi:type="dcterms:W3CDTF">2015-09-03T09:25:00Z</dcterms:modified>
</cp:coreProperties>
</file>