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43" w:rsidRPr="00715811" w:rsidRDefault="002D48C6" w:rsidP="00715811">
      <w:pPr>
        <w:jc w:val="center"/>
        <w:rPr>
          <w:rFonts w:ascii="標楷體" w:eastAsia="標楷體" w:hAnsi="標楷體"/>
          <w:color w:val="000000"/>
          <w:sz w:val="28"/>
          <w:szCs w:val="28"/>
        </w:rPr>
      </w:pPr>
      <w:r w:rsidRPr="005B7475">
        <w:rPr>
          <w:rFonts w:ascii="標楷體" w:eastAsia="標楷體" w:hAnsi="標楷體"/>
          <w:color w:val="000000"/>
          <w:sz w:val="28"/>
          <w:szCs w:val="28"/>
        </w:rPr>
        <w:t>臺灣證券交易所股份有限公司證券經紀商受託買賣錯帳及更正帳號申報處理作業要點</w:t>
      </w:r>
      <w:r w:rsidR="002E0C30">
        <w:rPr>
          <w:rFonts w:ascii="標楷體" w:eastAsia="標楷體" w:hAnsi="標楷體" w:hint="eastAsia"/>
          <w:color w:val="000000"/>
          <w:sz w:val="28"/>
          <w:szCs w:val="28"/>
        </w:rPr>
        <w:t>第貳點條文</w:t>
      </w:r>
      <w:r w:rsidR="00715811" w:rsidRPr="0064788D">
        <w:rPr>
          <w:rFonts w:ascii="標楷體" w:eastAsia="標楷體" w:hAnsi="標楷體"/>
          <w:color w:val="000000"/>
          <w:sz w:val="28"/>
          <w:szCs w:val="28"/>
        </w:rPr>
        <w:t>修正</w:t>
      </w:r>
      <w:r w:rsidR="00715811" w:rsidRPr="0064788D">
        <w:rPr>
          <w:rFonts w:ascii="標楷體" w:eastAsia="標楷體" w:hAnsi="標楷體" w:hint="eastAsia"/>
          <w:color w:val="000000"/>
          <w:sz w:val="28"/>
          <w:szCs w:val="28"/>
        </w:rPr>
        <w:t>條文對照表</w:t>
      </w:r>
    </w:p>
    <w:tbl>
      <w:tblPr>
        <w:tblStyle w:val="a7"/>
        <w:tblW w:w="0" w:type="auto"/>
        <w:tblLook w:val="04A0"/>
      </w:tblPr>
      <w:tblGrid>
        <w:gridCol w:w="3267"/>
        <w:gridCol w:w="3267"/>
        <w:gridCol w:w="3268"/>
      </w:tblGrid>
      <w:tr w:rsidR="00446548" w:rsidTr="00CD309F">
        <w:tc>
          <w:tcPr>
            <w:tcW w:w="3267" w:type="dxa"/>
            <w:vAlign w:val="center"/>
          </w:tcPr>
          <w:p w:rsidR="00446548" w:rsidRPr="008C1462" w:rsidRDefault="00446548" w:rsidP="007D1641">
            <w:pPr>
              <w:spacing w:line="440" w:lineRule="exact"/>
              <w:jc w:val="center"/>
              <w:rPr>
                <w:rFonts w:ascii="標楷體" w:eastAsia="標楷體" w:hAnsi="標楷體" w:cs="Times New Roman"/>
                <w:color w:val="000000"/>
                <w:sz w:val="28"/>
              </w:rPr>
            </w:pPr>
            <w:r w:rsidRPr="008C1462">
              <w:rPr>
                <w:rFonts w:ascii="標楷體" w:eastAsia="標楷體" w:hAnsi="標楷體" w:cs="Times New Roman" w:hint="eastAsia"/>
                <w:color w:val="000000"/>
                <w:sz w:val="28"/>
              </w:rPr>
              <w:t>修正條文</w:t>
            </w:r>
          </w:p>
        </w:tc>
        <w:tc>
          <w:tcPr>
            <w:tcW w:w="3267" w:type="dxa"/>
            <w:vAlign w:val="center"/>
          </w:tcPr>
          <w:p w:rsidR="00446548" w:rsidRPr="008C1462" w:rsidRDefault="00446548" w:rsidP="007D1641">
            <w:pPr>
              <w:spacing w:line="440" w:lineRule="exact"/>
              <w:jc w:val="center"/>
              <w:rPr>
                <w:rFonts w:ascii="標楷體" w:eastAsia="標楷體" w:hAnsi="標楷體" w:cs="Times New Roman"/>
                <w:color w:val="000000"/>
                <w:sz w:val="28"/>
              </w:rPr>
            </w:pPr>
            <w:r w:rsidRPr="008C1462">
              <w:rPr>
                <w:rFonts w:ascii="標楷體" w:eastAsia="標楷體" w:hAnsi="標楷體" w:cs="Times New Roman" w:hint="eastAsia"/>
                <w:color w:val="000000"/>
                <w:sz w:val="28"/>
              </w:rPr>
              <w:t>現行條文</w:t>
            </w:r>
          </w:p>
        </w:tc>
        <w:tc>
          <w:tcPr>
            <w:tcW w:w="3268" w:type="dxa"/>
            <w:vAlign w:val="center"/>
          </w:tcPr>
          <w:p w:rsidR="00446548" w:rsidRPr="008C1462" w:rsidRDefault="00446548" w:rsidP="007D1641">
            <w:pPr>
              <w:spacing w:line="440" w:lineRule="exact"/>
              <w:jc w:val="center"/>
              <w:rPr>
                <w:rFonts w:ascii="標楷體" w:eastAsia="標楷體" w:hAnsi="標楷體" w:cs="Times New Roman"/>
                <w:color w:val="000000"/>
                <w:sz w:val="28"/>
              </w:rPr>
            </w:pPr>
            <w:r w:rsidRPr="008C1462">
              <w:rPr>
                <w:rFonts w:ascii="標楷體" w:eastAsia="標楷體" w:hAnsi="標楷體" w:cs="Times New Roman" w:hint="eastAsia"/>
                <w:color w:val="000000"/>
                <w:sz w:val="28"/>
              </w:rPr>
              <w:t>說明</w:t>
            </w:r>
          </w:p>
        </w:tc>
      </w:tr>
      <w:tr w:rsidR="00446548" w:rsidTr="00446548">
        <w:tc>
          <w:tcPr>
            <w:tcW w:w="3267" w:type="dxa"/>
          </w:tcPr>
          <w:p w:rsidR="00446548" w:rsidRPr="00446548" w:rsidRDefault="00446548" w:rsidP="005B7475">
            <w:pPr>
              <w:spacing w:line="440" w:lineRule="exact"/>
              <w:ind w:left="560" w:hangingChars="200" w:hanging="560"/>
              <w:jc w:val="both"/>
              <w:rPr>
                <w:rFonts w:ascii="標楷體" w:eastAsia="標楷體" w:hAnsi="標楷體"/>
                <w:color w:val="000000"/>
                <w:sz w:val="28"/>
              </w:rPr>
            </w:pPr>
            <w:r w:rsidRPr="00446548">
              <w:rPr>
                <w:rFonts w:ascii="標楷體" w:eastAsia="標楷體" w:hAnsi="標楷體" w:hint="eastAsia"/>
                <w:color w:val="000000"/>
                <w:sz w:val="28"/>
              </w:rPr>
              <w:t>貳、錯帳及更正帳號申報作業：</w:t>
            </w:r>
          </w:p>
          <w:p w:rsidR="00446548" w:rsidRPr="00446548" w:rsidRDefault="00446548" w:rsidP="005B7475">
            <w:pPr>
              <w:spacing w:line="440" w:lineRule="exact"/>
              <w:ind w:leftChars="200" w:left="480"/>
              <w:jc w:val="both"/>
              <w:rPr>
                <w:rFonts w:ascii="標楷體" w:eastAsia="標楷體" w:hAnsi="標楷體"/>
                <w:color w:val="000000"/>
                <w:sz w:val="28"/>
              </w:rPr>
            </w:pPr>
            <w:r w:rsidRPr="00446548">
              <w:rPr>
                <w:rFonts w:ascii="標楷體" w:eastAsia="標楷體" w:hAnsi="標楷體" w:hint="eastAsia"/>
                <w:color w:val="000000"/>
                <w:sz w:val="28"/>
              </w:rPr>
              <w:t>證券經紀商因執行受託買賣發生錯帳及更正帳號，應依下列規定辦理申報。</w:t>
            </w:r>
          </w:p>
          <w:p w:rsidR="00446548" w:rsidRPr="00446548" w:rsidRDefault="00446548" w:rsidP="005B7475">
            <w:pPr>
              <w:spacing w:line="440" w:lineRule="exact"/>
              <w:ind w:leftChars="200" w:left="480"/>
              <w:jc w:val="both"/>
              <w:rPr>
                <w:rFonts w:ascii="標楷體" w:eastAsia="標楷體" w:hAnsi="標楷體"/>
                <w:color w:val="000000"/>
                <w:sz w:val="28"/>
              </w:rPr>
            </w:pPr>
            <w:r w:rsidRPr="00446548">
              <w:rPr>
                <w:rFonts w:ascii="標楷體" w:eastAsia="標楷體" w:hAnsi="標楷體" w:hint="eastAsia"/>
                <w:color w:val="000000"/>
                <w:sz w:val="28"/>
              </w:rPr>
              <w:t>一、電腦申報：</w:t>
            </w:r>
          </w:p>
          <w:p w:rsidR="00446548" w:rsidRPr="00446548" w:rsidRDefault="00446548" w:rsidP="005B7475">
            <w:pPr>
              <w:spacing w:line="440" w:lineRule="exact"/>
              <w:ind w:leftChars="300" w:left="1560" w:hangingChars="300" w:hanging="840"/>
              <w:jc w:val="both"/>
              <w:rPr>
                <w:rFonts w:ascii="標楷體" w:eastAsia="標楷體" w:hAnsi="標楷體"/>
                <w:color w:val="000000"/>
                <w:sz w:val="28"/>
              </w:rPr>
            </w:pPr>
            <w:r w:rsidRPr="00446548">
              <w:rPr>
                <w:rFonts w:ascii="標楷體" w:eastAsia="標楷體" w:hAnsi="標楷體" w:hint="eastAsia"/>
                <w:color w:val="000000"/>
                <w:sz w:val="28"/>
              </w:rPr>
              <w:t>（一）輸入時間：</w:t>
            </w:r>
            <w:proofErr w:type="gramStart"/>
            <w:r w:rsidRPr="00446548">
              <w:rPr>
                <w:rFonts w:ascii="標楷體" w:eastAsia="標楷體" w:hAnsi="標楷體" w:hint="eastAsia"/>
                <w:color w:val="000000"/>
                <w:sz w:val="28"/>
              </w:rPr>
              <w:t>證券經紀商將錯帳</w:t>
            </w:r>
            <w:proofErr w:type="gramEnd"/>
            <w:r w:rsidRPr="00446548">
              <w:rPr>
                <w:rFonts w:ascii="標楷體" w:eastAsia="標楷體" w:hAnsi="標楷體" w:hint="eastAsia"/>
                <w:color w:val="000000"/>
                <w:sz w:val="28"/>
              </w:rPr>
              <w:t>或更正帳號資料輸入本公司電腦，至遲不得逾成交日後第二營業日上午十時。但屬證券經紀商已申報遲延交割在案者，應於成交日之第三營業日下午六時前輸入。</w:t>
            </w:r>
          </w:p>
          <w:p w:rsidR="00446548" w:rsidRPr="00446548" w:rsidRDefault="00446548" w:rsidP="005B7475">
            <w:pPr>
              <w:spacing w:line="440" w:lineRule="exact"/>
              <w:ind w:leftChars="300" w:left="1560" w:hangingChars="300" w:hanging="840"/>
              <w:jc w:val="both"/>
              <w:rPr>
                <w:rFonts w:ascii="標楷體" w:eastAsia="標楷體" w:hAnsi="標楷體"/>
                <w:color w:val="000000"/>
                <w:sz w:val="28"/>
              </w:rPr>
            </w:pPr>
            <w:r w:rsidRPr="00446548">
              <w:rPr>
                <w:rFonts w:ascii="標楷體" w:eastAsia="標楷體" w:hAnsi="標楷體" w:hint="eastAsia"/>
                <w:color w:val="000000"/>
                <w:sz w:val="28"/>
              </w:rPr>
              <w:t>（二）事故處理：因偶發事故致電腦傳輸</w:t>
            </w:r>
            <w:r w:rsidRPr="00446548">
              <w:rPr>
                <w:rFonts w:ascii="標楷體" w:eastAsia="標楷體" w:hAnsi="標楷體" w:hint="eastAsia"/>
                <w:color w:val="000000"/>
                <w:sz w:val="28"/>
              </w:rPr>
              <w:lastRenderedPageBreak/>
              <w:t>線路無法傳輸時，證券經紀商應即以電話先行向本公司申報，並於事故排除後，補行輸入。</w:t>
            </w:r>
          </w:p>
          <w:p w:rsidR="00446548" w:rsidRPr="00446548" w:rsidRDefault="00446548" w:rsidP="005B7475">
            <w:pPr>
              <w:spacing w:line="440" w:lineRule="exact"/>
              <w:ind w:leftChars="300" w:left="1560" w:hangingChars="300" w:hanging="840"/>
              <w:jc w:val="both"/>
              <w:rPr>
                <w:rFonts w:ascii="標楷體" w:eastAsia="標楷體" w:hAnsi="標楷體"/>
                <w:color w:val="000000"/>
                <w:sz w:val="28"/>
              </w:rPr>
            </w:pPr>
            <w:r w:rsidRPr="00446548">
              <w:rPr>
                <w:rFonts w:ascii="標楷體" w:eastAsia="標楷體" w:hAnsi="標楷體" w:hint="eastAsia"/>
                <w:color w:val="000000"/>
                <w:sz w:val="28"/>
              </w:rPr>
              <w:t>（三）因天然災害侵襲致當地縣市政府首長宣布公教機關停止上班時，於受災區域內之證券經紀商電腦傳輸申報作業，比照本公司「天然災害侵襲處理措施」所訂應屆交割事務處理規定辦理。</w:t>
            </w:r>
          </w:p>
          <w:p w:rsidR="00365E64" w:rsidRDefault="00446548" w:rsidP="00365E64">
            <w:pPr>
              <w:spacing w:line="440" w:lineRule="exact"/>
              <w:ind w:leftChars="200" w:left="1040" w:hangingChars="200" w:hanging="560"/>
              <w:jc w:val="both"/>
              <w:rPr>
                <w:rFonts w:ascii="標楷體" w:eastAsia="標楷體" w:hAnsi="標楷體" w:cs="細明體"/>
                <w:kern w:val="0"/>
                <w:sz w:val="28"/>
                <w:szCs w:val="28"/>
                <w:u w:val="single"/>
              </w:rPr>
            </w:pPr>
            <w:r w:rsidRPr="00446548">
              <w:rPr>
                <w:rFonts w:ascii="標楷體" w:eastAsia="標楷體" w:hAnsi="標楷體" w:hint="eastAsia"/>
                <w:color w:val="000000"/>
                <w:sz w:val="28"/>
              </w:rPr>
              <w:t>二、通報機制：證券經紀商同一種證券錯帳金額達</w:t>
            </w:r>
            <w:r w:rsidR="00041D95">
              <w:rPr>
                <w:rFonts w:ascii="標楷體" w:eastAsia="標楷體" w:hAnsi="標楷體" w:hint="eastAsia"/>
                <w:color w:val="000000"/>
                <w:sz w:val="28"/>
                <w:u w:val="single"/>
              </w:rPr>
              <w:t>新臺</w:t>
            </w:r>
            <w:r w:rsidR="00A13110" w:rsidRPr="00A13110">
              <w:rPr>
                <w:rFonts w:ascii="標楷體" w:eastAsia="標楷體" w:hAnsi="標楷體" w:hint="eastAsia"/>
                <w:color w:val="000000"/>
                <w:sz w:val="28"/>
                <w:u w:val="single"/>
              </w:rPr>
              <w:t>幣</w:t>
            </w:r>
            <w:r w:rsidRPr="00446548">
              <w:rPr>
                <w:rFonts w:ascii="標楷體" w:eastAsia="標楷體" w:hAnsi="標楷體" w:hint="eastAsia"/>
                <w:color w:val="000000"/>
                <w:sz w:val="28"/>
              </w:rPr>
              <w:t>一億元者，如為買回或轉賣處理，應於處理當日下午二時前</w:t>
            </w:r>
            <w:r w:rsidRPr="00446548">
              <w:rPr>
                <w:rFonts w:ascii="標楷體" w:eastAsia="標楷體" w:hAnsi="標楷體" w:hint="eastAsia"/>
                <w:color w:val="000000"/>
                <w:sz w:val="28"/>
              </w:rPr>
              <w:lastRenderedPageBreak/>
              <w:t>向本公司交易部通報；如未為買回或轉賣處理者，應於申報當時向本公司交易部通報。</w:t>
            </w:r>
            <w:proofErr w:type="gramStart"/>
            <w:r w:rsidR="00350F1A" w:rsidRPr="000A1EFA">
              <w:rPr>
                <w:rFonts w:ascii="標楷體" w:eastAsia="標楷體" w:hAnsi="標楷體" w:cs="細明體" w:hint="eastAsia"/>
                <w:color w:val="FF0000"/>
                <w:kern w:val="0"/>
                <w:sz w:val="28"/>
                <w:szCs w:val="28"/>
                <w:u w:val="single"/>
              </w:rPr>
              <w:t>採</w:t>
            </w:r>
            <w:proofErr w:type="gramEnd"/>
            <w:r w:rsidR="00350F1A" w:rsidRPr="000A1EFA">
              <w:rPr>
                <w:rFonts w:ascii="標楷體" w:eastAsia="標楷體" w:hAnsi="標楷體" w:cs="細明體" w:hint="eastAsia"/>
                <w:color w:val="FF0000"/>
                <w:kern w:val="0"/>
                <w:sz w:val="28"/>
                <w:szCs w:val="28"/>
                <w:u w:val="single"/>
              </w:rPr>
              <w:t>外幣計價之證券</w:t>
            </w:r>
            <w:r w:rsidR="00F6674B" w:rsidRPr="000A1EFA">
              <w:rPr>
                <w:rFonts w:ascii="標楷體" w:eastAsia="標楷體" w:hAnsi="標楷體" w:cs="細明體" w:hint="eastAsia"/>
                <w:color w:val="FF0000"/>
                <w:kern w:val="0"/>
                <w:sz w:val="28"/>
                <w:szCs w:val="28"/>
                <w:u w:val="single"/>
              </w:rPr>
              <w:t>，</w:t>
            </w:r>
            <w:r w:rsidR="00365E64" w:rsidRPr="000A1EFA">
              <w:rPr>
                <w:rFonts w:ascii="標楷體" w:eastAsia="標楷體" w:hAnsi="標楷體" w:cs="細明體" w:hint="eastAsia"/>
                <w:color w:val="FF0000"/>
                <w:kern w:val="0"/>
                <w:sz w:val="28"/>
                <w:szCs w:val="28"/>
                <w:u w:val="single"/>
              </w:rPr>
              <w:t>或</w:t>
            </w:r>
            <w:proofErr w:type="gramStart"/>
            <w:r w:rsidR="00365E64" w:rsidRPr="000A1EFA">
              <w:rPr>
                <w:rFonts w:ascii="標楷體" w:eastAsia="標楷體" w:hAnsi="標楷體" w:cs="細明體" w:hint="eastAsia"/>
                <w:color w:val="FF0000"/>
                <w:kern w:val="0"/>
                <w:sz w:val="28"/>
                <w:szCs w:val="28"/>
                <w:u w:val="single"/>
              </w:rPr>
              <w:t>採雙幣</w:t>
            </w:r>
            <w:proofErr w:type="gramEnd"/>
            <w:r w:rsidR="00365E64" w:rsidRPr="000A1EFA">
              <w:rPr>
                <w:rFonts w:ascii="標楷體" w:eastAsia="標楷體" w:hAnsi="標楷體" w:cs="細明體" w:hint="eastAsia"/>
                <w:color w:val="FF0000"/>
                <w:kern w:val="0"/>
                <w:sz w:val="28"/>
                <w:szCs w:val="28"/>
                <w:u w:val="single"/>
              </w:rPr>
              <w:t>計價之證券經換算合併新臺幣部位，金額達上開標準者亦同。</w:t>
            </w:r>
          </w:p>
          <w:p w:rsidR="00446548" w:rsidRPr="000A1EFA" w:rsidRDefault="00D57E89" w:rsidP="00365E64">
            <w:pPr>
              <w:spacing w:line="440" w:lineRule="exact"/>
              <w:ind w:leftChars="450" w:left="1080"/>
              <w:jc w:val="both"/>
              <w:rPr>
                <w:rFonts w:ascii="標楷體" w:eastAsia="標楷體" w:hAnsi="標楷體"/>
                <w:color w:val="FF0000"/>
                <w:sz w:val="28"/>
              </w:rPr>
            </w:pPr>
            <w:r w:rsidRPr="000A1EFA">
              <w:rPr>
                <w:rFonts w:ascii="標楷體" w:eastAsia="標楷體" w:hAnsi="標楷體" w:cs="細明體" w:hint="eastAsia"/>
                <w:color w:val="FF0000"/>
                <w:kern w:val="0"/>
                <w:sz w:val="28"/>
                <w:szCs w:val="28"/>
                <w:u w:val="single"/>
              </w:rPr>
              <w:t>前項</w:t>
            </w:r>
            <w:r w:rsidR="00365E64" w:rsidRPr="000A1EFA">
              <w:rPr>
                <w:rFonts w:ascii="標楷體" w:eastAsia="標楷體" w:hAnsi="標楷體" w:cs="細明體" w:hint="eastAsia"/>
                <w:color w:val="FF0000"/>
                <w:kern w:val="0"/>
                <w:sz w:val="28"/>
                <w:szCs w:val="28"/>
                <w:u w:val="single"/>
              </w:rPr>
              <w:t>外幣與新臺幣之換算，</w:t>
            </w:r>
            <w:r w:rsidR="00350F1A" w:rsidRPr="000A1EFA">
              <w:rPr>
                <w:rFonts w:ascii="標楷體" w:eastAsia="標楷體" w:hAnsi="標楷體" w:cs="細明體" w:hint="eastAsia"/>
                <w:color w:val="FF0000"/>
                <w:kern w:val="0"/>
                <w:sz w:val="28"/>
                <w:szCs w:val="28"/>
                <w:u w:val="single"/>
              </w:rPr>
              <w:t>以</w:t>
            </w:r>
            <w:r w:rsidR="00F6674B" w:rsidRPr="000A1EFA">
              <w:rPr>
                <w:rFonts w:ascii="標楷體" w:eastAsia="標楷體" w:hAnsi="標楷體" w:cs="細明體" w:hint="eastAsia"/>
                <w:color w:val="FF0000"/>
                <w:kern w:val="0"/>
                <w:sz w:val="28"/>
                <w:szCs w:val="28"/>
                <w:u w:val="single"/>
              </w:rPr>
              <w:t>成交日之</w:t>
            </w:r>
            <w:r w:rsidR="00350F1A" w:rsidRPr="000A1EFA">
              <w:rPr>
                <w:rFonts w:ascii="標楷體" w:eastAsia="標楷體" w:hAnsi="標楷體" w:cs="細明體" w:hint="eastAsia"/>
                <w:color w:val="FF0000"/>
                <w:kern w:val="0"/>
                <w:sz w:val="28"/>
                <w:szCs w:val="28"/>
                <w:u w:val="single"/>
              </w:rPr>
              <w:t>前一</w:t>
            </w:r>
            <w:r w:rsidR="000965E4" w:rsidRPr="000A1EFA">
              <w:rPr>
                <w:rFonts w:ascii="標楷體" w:eastAsia="標楷體" w:hAnsi="標楷體" w:cs="細明體" w:hint="eastAsia"/>
                <w:color w:val="FF0000"/>
                <w:kern w:val="0"/>
                <w:sz w:val="28"/>
                <w:szCs w:val="28"/>
                <w:u w:val="single"/>
              </w:rPr>
              <w:t>營業</w:t>
            </w:r>
            <w:r w:rsidR="00350F1A" w:rsidRPr="000A1EFA">
              <w:rPr>
                <w:rFonts w:ascii="標楷體" w:eastAsia="標楷體" w:hAnsi="標楷體" w:cs="細明體" w:hint="eastAsia"/>
                <w:color w:val="FF0000"/>
                <w:kern w:val="0"/>
                <w:sz w:val="28"/>
                <w:szCs w:val="28"/>
                <w:u w:val="single"/>
              </w:rPr>
              <w:t>日</w:t>
            </w:r>
            <w:r w:rsidR="003B0370">
              <w:rPr>
                <w:rFonts w:ascii="標楷體" w:eastAsia="標楷體" w:hAnsi="標楷體" w:cs="細明體" w:hint="eastAsia"/>
                <w:color w:val="FF0000"/>
                <w:kern w:val="0"/>
                <w:sz w:val="28"/>
                <w:szCs w:val="28"/>
                <w:u w:val="single"/>
              </w:rPr>
              <w:t>公告</w:t>
            </w:r>
            <w:r w:rsidR="00F6674B" w:rsidRPr="000A1EFA">
              <w:rPr>
                <w:rFonts w:ascii="標楷體" w:eastAsia="標楷體" w:hAnsi="標楷體" w:cs="細明體" w:hint="eastAsia"/>
                <w:color w:val="FF0000"/>
                <w:kern w:val="0"/>
                <w:sz w:val="28"/>
                <w:szCs w:val="28"/>
                <w:u w:val="single"/>
              </w:rPr>
              <w:t>匯率</w:t>
            </w:r>
            <w:r w:rsidR="00365E64" w:rsidRPr="000A1EFA">
              <w:rPr>
                <w:rFonts w:ascii="標楷體" w:eastAsia="標楷體" w:hAnsi="標楷體" w:cs="細明體" w:hint="eastAsia"/>
                <w:color w:val="FF0000"/>
                <w:kern w:val="0"/>
                <w:sz w:val="28"/>
                <w:szCs w:val="28"/>
                <w:u w:val="single"/>
              </w:rPr>
              <w:t>為之。</w:t>
            </w:r>
          </w:p>
          <w:p w:rsidR="00365E64" w:rsidRDefault="00446548" w:rsidP="005B7475">
            <w:pPr>
              <w:spacing w:line="440" w:lineRule="exact"/>
              <w:ind w:leftChars="200" w:left="1040" w:hangingChars="200" w:hanging="560"/>
              <w:jc w:val="both"/>
              <w:rPr>
                <w:rFonts w:ascii="標楷體" w:eastAsia="標楷體" w:hAnsi="標楷體" w:cs="細明體"/>
                <w:color w:val="000000" w:themeColor="text1"/>
                <w:kern w:val="0"/>
                <w:sz w:val="28"/>
                <w:szCs w:val="28"/>
                <w:u w:val="single"/>
              </w:rPr>
            </w:pPr>
            <w:r w:rsidRPr="00446548">
              <w:rPr>
                <w:rFonts w:ascii="標楷體" w:eastAsia="標楷體" w:hAnsi="標楷體" w:hint="eastAsia"/>
                <w:color w:val="000000"/>
                <w:sz w:val="28"/>
              </w:rPr>
              <w:t>三</w:t>
            </w:r>
            <w:r w:rsidR="004D3150">
              <w:rPr>
                <w:rFonts w:ascii="標楷體" w:eastAsia="標楷體" w:hAnsi="標楷體" w:hint="eastAsia"/>
                <w:color w:val="000000"/>
                <w:sz w:val="28"/>
              </w:rPr>
              <w:t>、證券經紀商同一成交日同一投資人電腦申報錯帳或更正帳號金額達新</w:t>
            </w:r>
            <w:r w:rsidR="004D3150" w:rsidRPr="004D3150">
              <w:rPr>
                <w:rFonts w:ascii="標楷體" w:eastAsia="標楷體" w:hAnsi="標楷體" w:hint="eastAsia"/>
                <w:color w:val="000000"/>
                <w:sz w:val="28"/>
                <w:u w:val="single"/>
              </w:rPr>
              <w:t>臺</w:t>
            </w:r>
            <w:r w:rsidRPr="00446548">
              <w:rPr>
                <w:rFonts w:ascii="標楷體" w:eastAsia="標楷體" w:hAnsi="標楷體" w:hint="eastAsia"/>
                <w:color w:val="000000"/>
                <w:sz w:val="28"/>
              </w:rPr>
              <w:t>幣伍仟萬元或股數（受益權單位）達壹佰萬股（受益權單位）以上者，本公司得視情況要求於期限內提供相關書面資料</w:t>
            </w:r>
            <w:r w:rsidR="00377CB0">
              <w:rPr>
                <w:rFonts w:ascii="標楷體" w:eastAsia="標楷體" w:hAnsi="標楷體" w:hint="eastAsia"/>
                <w:color w:val="000000"/>
                <w:sz w:val="28"/>
              </w:rPr>
              <w:t>；</w:t>
            </w:r>
            <w:proofErr w:type="gramStart"/>
            <w:r w:rsidR="004D3150" w:rsidRPr="000A1EFA">
              <w:rPr>
                <w:rFonts w:ascii="標楷體" w:eastAsia="標楷體" w:hAnsi="標楷體" w:cs="細明體" w:hint="eastAsia"/>
                <w:color w:val="FF0000"/>
                <w:kern w:val="0"/>
                <w:sz w:val="28"/>
                <w:szCs w:val="28"/>
                <w:u w:val="single"/>
              </w:rPr>
              <w:t>採</w:t>
            </w:r>
            <w:proofErr w:type="gramEnd"/>
            <w:r w:rsidR="004D3150" w:rsidRPr="000A1EFA">
              <w:rPr>
                <w:rFonts w:ascii="標楷體" w:eastAsia="標楷體" w:hAnsi="標楷體" w:cs="細明體" w:hint="eastAsia"/>
                <w:color w:val="FF0000"/>
                <w:kern w:val="0"/>
                <w:sz w:val="28"/>
                <w:szCs w:val="28"/>
                <w:u w:val="single"/>
              </w:rPr>
              <w:t>外幣計價之證券，</w:t>
            </w:r>
            <w:r w:rsidR="00365E64" w:rsidRPr="000A1EFA">
              <w:rPr>
                <w:rFonts w:ascii="標楷體" w:eastAsia="標楷體" w:hAnsi="標楷體" w:cs="細明體" w:hint="eastAsia"/>
                <w:color w:val="FF0000"/>
                <w:kern w:val="0"/>
                <w:sz w:val="28"/>
                <w:szCs w:val="28"/>
                <w:u w:val="single"/>
              </w:rPr>
              <w:t>或</w:t>
            </w:r>
            <w:proofErr w:type="gramStart"/>
            <w:r w:rsidR="00365E64" w:rsidRPr="000A1EFA">
              <w:rPr>
                <w:rFonts w:ascii="標楷體" w:eastAsia="標楷體" w:hAnsi="標楷體" w:cs="細明體" w:hint="eastAsia"/>
                <w:color w:val="FF0000"/>
                <w:kern w:val="0"/>
                <w:sz w:val="28"/>
                <w:szCs w:val="28"/>
                <w:u w:val="single"/>
              </w:rPr>
              <w:t>採雙幣</w:t>
            </w:r>
            <w:proofErr w:type="gramEnd"/>
            <w:r w:rsidR="00365E64" w:rsidRPr="000A1EFA">
              <w:rPr>
                <w:rFonts w:ascii="標楷體" w:eastAsia="標楷體" w:hAnsi="標楷體" w:cs="細明體" w:hint="eastAsia"/>
                <w:color w:val="FF0000"/>
                <w:kern w:val="0"/>
                <w:sz w:val="28"/>
                <w:szCs w:val="28"/>
                <w:u w:val="single"/>
              </w:rPr>
              <w:t>計價之證券合併</w:t>
            </w:r>
            <w:r w:rsidR="00AB0AD7" w:rsidRPr="000A1EFA">
              <w:rPr>
                <w:rFonts w:ascii="標楷體" w:eastAsia="標楷體" w:hAnsi="標楷體" w:cs="細明體" w:hint="eastAsia"/>
                <w:color w:val="FF0000"/>
                <w:kern w:val="0"/>
                <w:sz w:val="28"/>
                <w:szCs w:val="28"/>
                <w:u w:val="single"/>
              </w:rPr>
              <w:t>後</w:t>
            </w:r>
            <w:r w:rsidR="00AB0AD7" w:rsidRPr="000A1EFA">
              <w:rPr>
                <w:rFonts w:ascii="標楷體" w:eastAsia="標楷體" w:hAnsi="標楷體" w:cs="細明體" w:hint="eastAsia"/>
                <w:color w:val="FF0000"/>
                <w:kern w:val="0"/>
                <w:sz w:val="28"/>
                <w:szCs w:val="28"/>
                <w:u w:val="single"/>
              </w:rPr>
              <w:lastRenderedPageBreak/>
              <w:t>部位</w:t>
            </w:r>
            <w:r w:rsidR="00365E64" w:rsidRPr="000A1EFA">
              <w:rPr>
                <w:rFonts w:ascii="標楷體" w:eastAsia="標楷體" w:hAnsi="標楷體" w:cs="細明體" w:hint="eastAsia"/>
                <w:color w:val="FF0000"/>
                <w:kern w:val="0"/>
                <w:sz w:val="28"/>
                <w:szCs w:val="28"/>
                <w:u w:val="single"/>
              </w:rPr>
              <w:t>，達</w:t>
            </w:r>
            <w:r w:rsidR="00377CB0" w:rsidRPr="000A1EFA">
              <w:rPr>
                <w:rFonts w:ascii="標楷體" w:eastAsia="標楷體" w:hAnsi="標楷體" w:cs="細明體" w:hint="eastAsia"/>
                <w:color w:val="FF0000"/>
                <w:kern w:val="0"/>
                <w:sz w:val="28"/>
                <w:szCs w:val="28"/>
                <w:u w:val="single"/>
              </w:rPr>
              <w:t>上開標準者亦同。</w:t>
            </w:r>
          </w:p>
          <w:p w:rsidR="00446548" w:rsidRPr="000A1EFA" w:rsidRDefault="00D57E89" w:rsidP="00365E64">
            <w:pPr>
              <w:spacing w:line="440" w:lineRule="exact"/>
              <w:ind w:leftChars="400" w:left="960"/>
              <w:jc w:val="both"/>
              <w:rPr>
                <w:rFonts w:ascii="標楷體" w:eastAsia="標楷體" w:hAnsi="標楷體"/>
                <w:color w:val="FF0000"/>
                <w:sz w:val="28"/>
              </w:rPr>
            </w:pPr>
            <w:r w:rsidRPr="000A1EFA">
              <w:rPr>
                <w:rFonts w:ascii="標楷體" w:eastAsia="標楷體" w:hAnsi="標楷體" w:cs="細明體" w:hint="eastAsia"/>
                <w:color w:val="FF0000"/>
                <w:kern w:val="0"/>
                <w:sz w:val="28"/>
                <w:szCs w:val="28"/>
                <w:u w:val="single"/>
              </w:rPr>
              <w:t>前項</w:t>
            </w:r>
            <w:r w:rsidR="006B3454" w:rsidRPr="000A1EFA">
              <w:rPr>
                <w:rFonts w:ascii="標楷體" w:eastAsia="標楷體" w:hAnsi="標楷體" w:cs="細明體" w:hint="eastAsia"/>
                <w:color w:val="FF0000"/>
                <w:kern w:val="0"/>
                <w:sz w:val="28"/>
                <w:szCs w:val="28"/>
                <w:u w:val="single"/>
              </w:rPr>
              <w:t>外幣與新臺幣之換算，以成交日之前一</w:t>
            </w:r>
            <w:r w:rsidR="000965E4" w:rsidRPr="000A1EFA">
              <w:rPr>
                <w:rFonts w:ascii="標楷體" w:eastAsia="標楷體" w:hAnsi="標楷體" w:cs="細明體" w:hint="eastAsia"/>
                <w:color w:val="FF0000"/>
                <w:kern w:val="0"/>
                <w:sz w:val="28"/>
                <w:szCs w:val="28"/>
                <w:u w:val="single"/>
              </w:rPr>
              <w:t>營業</w:t>
            </w:r>
            <w:r w:rsidR="006B3454" w:rsidRPr="000A1EFA">
              <w:rPr>
                <w:rFonts w:ascii="標楷體" w:eastAsia="標楷體" w:hAnsi="標楷體" w:cs="細明體" w:hint="eastAsia"/>
                <w:color w:val="FF0000"/>
                <w:kern w:val="0"/>
                <w:sz w:val="28"/>
                <w:szCs w:val="28"/>
                <w:u w:val="single"/>
              </w:rPr>
              <w:t>日</w:t>
            </w:r>
            <w:r w:rsidR="003B0370">
              <w:rPr>
                <w:rFonts w:ascii="標楷體" w:eastAsia="標楷體" w:hAnsi="標楷體" w:cs="細明體" w:hint="eastAsia"/>
                <w:color w:val="FF0000"/>
                <w:kern w:val="0"/>
                <w:sz w:val="28"/>
                <w:szCs w:val="28"/>
                <w:u w:val="single"/>
              </w:rPr>
              <w:t>公告</w:t>
            </w:r>
            <w:r w:rsidR="006B3454" w:rsidRPr="000A1EFA">
              <w:rPr>
                <w:rFonts w:ascii="標楷體" w:eastAsia="標楷體" w:hAnsi="標楷體" w:cs="細明體" w:hint="eastAsia"/>
                <w:color w:val="FF0000"/>
                <w:kern w:val="0"/>
                <w:sz w:val="28"/>
                <w:szCs w:val="28"/>
                <w:u w:val="single"/>
              </w:rPr>
              <w:t>匯率為之。</w:t>
            </w:r>
          </w:p>
          <w:p w:rsidR="00446548" w:rsidRPr="00446548" w:rsidRDefault="005B7475" w:rsidP="00D61B96">
            <w:pPr>
              <w:spacing w:line="440" w:lineRule="exact"/>
              <w:ind w:leftChars="200" w:left="1040" w:hangingChars="200" w:hanging="560"/>
              <w:jc w:val="both"/>
              <w:rPr>
                <w:rFonts w:ascii="標楷體" w:eastAsia="標楷體" w:hAnsi="標楷體"/>
                <w:color w:val="000000"/>
                <w:sz w:val="28"/>
              </w:rPr>
            </w:pPr>
            <w:r>
              <w:rPr>
                <w:rFonts w:ascii="標楷體" w:eastAsia="標楷體" w:hAnsi="標楷體" w:hint="eastAsia"/>
                <w:color w:val="000000"/>
                <w:sz w:val="28"/>
              </w:rPr>
              <w:t>(</w:t>
            </w:r>
            <w:r w:rsidR="00D61B96">
              <w:rPr>
                <w:rFonts w:ascii="標楷體" w:eastAsia="標楷體" w:hAnsi="標楷體" w:hint="eastAsia"/>
                <w:color w:val="000000"/>
                <w:sz w:val="28"/>
              </w:rPr>
              <w:t>同右</w:t>
            </w:r>
            <w:r>
              <w:rPr>
                <w:rFonts w:ascii="標楷體" w:eastAsia="標楷體" w:hAnsi="標楷體" w:hint="eastAsia"/>
                <w:color w:val="000000"/>
                <w:sz w:val="28"/>
              </w:rPr>
              <w:t>)</w:t>
            </w:r>
          </w:p>
        </w:tc>
        <w:tc>
          <w:tcPr>
            <w:tcW w:w="3267" w:type="dxa"/>
          </w:tcPr>
          <w:p w:rsidR="005B7475" w:rsidRPr="00446548" w:rsidRDefault="005B7475" w:rsidP="005B7475">
            <w:pPr>
              <w:spacing w:line="440" w:lineRule="exact"/>
              <w:ind w:left="560" w:hangingChars="200" w:hanging="560"/>
              <w:jc w:val="both"/>
              <w:rPr>
                <w:rFonts w:ascii="標楷體" w:eastAsia="標楷體" w:hAnsi="標楷體"/>
                <w:color w:val="000000"/>
                <w:sz w:val="28"/>
              </w:rPr>
            </w:pPr>
            <w:r w:rsidRPr="00446548">
              <w:rPr>
                <w:rFonts w:ascii="標楷體" w:eastAsia="標楷體" w:hAnsi="標楷體" w:hint="eastAsia"/>
                <w:color w:val="000000"/>
                <w:sz w:val="28"/>
              </w:rPr>
              <w:lastRenderedPageBreak/>
              <w:t>貳、錯帳及更正帳號申報作業：</w:t>
            </w:r>
          </w:p>
          <w:p w:rsidR="005B7475" w:rsidRPr="00446548" w:rsidRDefault="005B7475" w:rsidP="005B7475">
            <w:pPr>
              <w:spacing w:line="440" w:lineRule="exact"/>
              <w:ind w:leftChars="200" w:left="480"/>
              <w:jc w:val="both"/>
              <w:rPr>
                <w:rFonts w:ascii="標楷體" w:eastAsia="標楷體" w:hAnsi="標楷體"/>
                <w:color w:val="000000"/>
                <w:sz w:val="28"/>
              </w:rPr>
            </w:pPr>
            <w:r w:rsidRPr="00446548">
              <w:rPr>
                <w:rFonts w:ascii="標楷體" w:eastAsia="標楷體" w:hAnsi="標楷體" w:hint="eastAsia"/>
                <w:color w:val="000000"/>
                <w:sz w:val="28"/>
              </w:rPr>
              <w:t>證券經紀商因執行受託買賣發生錯帳及更正帳號，應依下列規定辦理申報。</w:t>
            </w:r>
          </w:p>
          <w:p w:rsidR="005B7475" w:rsidRPr="00446548" w:rsidRDefault="005B7475" w:rsidP="005B7475">
            <w:pPr>
              <w:spacing w:line="440" w:lineRule="exact"/>
              <w:ind w:leftChars="200" w:left="480"/>
              <w:jc w:val="both"/>
              <w:rPr>
                <w:rFonts w:ascii="標楷體" w:eastAsia="標楷體" w:hAnsi="標楷體"/>
                <w:color w:val="000000"/>
                <w:sz w:val="28"/>
              </w:rPr>
            </w:pPr>
            <w:r w:rsidRPr="00446548">
              <w:rPr>
                <w:rFonts w:ascii="標楷體" w:eastAsia="標楷體" w:hAnsi="標楷體" w:hint="eastAsia"/>
                <w:color w:val="000000"/>
                <w:sz w:val="28"/>
              </w:rPr>
              <w:t>一、電腦申報：</w:t>
            </w:r>
          </w:p>
          <w:p w:rsidR="005B7475" w:rsidRPr="00446548" w:rsidRDefault="005B7475" w:rsidP="005B7475">
            <w:pPr>
              <w:spacing w:line="440" w:lineRule="exact"/>
              <w:ind w:leftChars="300" w:left="1560" w:hangingChars="300" w:hanging="840"/>
              <w:jc w:val="both"/>
              <w:rPr>
                <w:rFonts w:ascii="標楷體" w:eastAsia="標楷體" w:hAnsi="標楷體"/>
                <w:color w:val="000000"/>
                <w:sz w:val="28"/>
              </w:rPr>
            </w:pPr>
            <w:r w:rsidRPr="00446548">
              <w:rPr>
                <w:rFonts w:ascii="標楷體" w:eastAsia="標楷體" w:hAnsi="標楷體" w:hint="eastAsia"/>
                <w:color w:val="000000"/>
                <w:sz w:val="28"/>
              </w:rPr>
              <w:t>（一）輸入時間：</w:t>
            </w:r>
            <w:proofErr w:type="gramStart"/>
            <w:r w:rsidRPr="00446548">
              <w:rPr>
                <w:rFonts w:ascii="標楷體" w:eastAsia="標楷體" w:hAnsi="標楷體" w:hint="eastAsia"/>
                <w:color w:val="000000"/>
                <w:sz w:val="28"/>
              </w:rPr>
              <w:t>證券經紀商將錯帳</w:t>
            </w:r>
            <w:proofErr w:type="gramEnd"/>
            <w:r w:rsidRPr="00446548">
              <w:rPr>
                <w:rFonts w:ascii="標楷體" w:eastAsia="標楷體" w:hAnsi="標楷體" w:hint="eastAsia"/>
                <w:color w:val="000000"/>
                <w:sz w:val="28"/>
              </w:rPr>
              <w:t>或更正帳號資料輸入本公司電腦，至遲不得逾成交日後第二營業日上午十時。但屬證券經紀商已申報遲延交割在案者，應於成交日之第三營業日下午六時前輸入。</w:t>
            </w:r>
          </w:p>
          <w:p w:rsidR="005B7475" w:rsidRPr="00446548" w:rsidRDefault="005B7475" w:rsidP="005B7475">
            <w:pPr>
              <w:spacing w:line="440" w:lineRule="exact"/>
              <w:ind w:leftChars="300" w:left="1560" w:hangingChars="300" w:hanging="840"/>
              <w:jc w:val="both"/>
              <w:rPr>
                <w:rFonts w:ascii="標楷體" w:eastAsia="標楷體" w:hAnsi="標楷體"/>
                <w:color w:val="000000"/>
                <w:sz w:val="28"/>
              </w:rPr>
            </w:pPr>
            <w:r w:rsidRPr="00446548">
              <w:rPr>
                <w:rFonts w:ascii="標楷體" w:eastAsia="標楷體" w:hAnsi="標楷體" w:hint="eastAsia"/>
                <w:color w:val="000000"/>
                <w:sz w:val="28"/>
              </w:rPr>
              <w:t>（二）事故處理：因偶發事故致電腦傳輸</w:t>
            </w:r>
            <w:r w:rsidRPr="00446548">
              <w:rPr>
                <w:rFonts w:ascii="標楷體" w:eastAsia="標楷體" w:hAnsi="標楷體" w:hint="eastAsia"/>
                <w:color w:val="000000"/>
                <w:sz w:val="28"/>
              </w:rPr>
              <w:lastRenderedPageBreak/>
              <w:t>線路無法傳輸時，證券經紀商應即以電話先行向本公司申報，並於事故排除後，補行輸入。</w:t>
            </w:r>
          </w:p>
          <w:p w:rsidR="005B7475" w:rsidRPr="00446548" w:rsidRDefault="005B7475" w:rsidP="005B7475">
            <w:pPr>
              <w:spacing w:line="440" w:lineRule="exact"/>
              <w:ind w:leftChars="300" w:left="1560" w:hangingChars="300" w:hanging="840"/>
              <w:jc w:val="both"/>
              <w:rPr>
                <w:rFonts w:ascii="標楷體" w:eastAsia="標楷體" w:hAnsi="標楷體"/>
                <w:color w:val="000000"/>
                <w:sz w:val="28"/>
              </w:rPr>
            </w:pPr>
            <w:r w:rsidRPr="00446548">
              <w:rPr>
                <w:rFonts w:ascii="標楷體" w:eastAsia="標楷體" w:hAnsi="標楷體" w:hint="eastAsia"/>
                <w:color w:val="000000"/>
                <w:sz w:val="28"/>
              </w:rPr>
              <w:t>（三）因天然災害侵襲致當地縣市政府首長宣布公教機關停止上班時，於受災區域內之證券經紀商電腦傳輸申報作業，比照本公司「天然災害侵襲處理措施」所訂應屆交割事務處理規定辦理。</w:t>
            </w:r>
          </w:p>
          <w:p w:rsidR="005B7475" w:rsidRPr="00446548" w:rsidRDefault="005B7475" w:rsidP="005B7475">
            <w:pPr>
              <w:spacing w:line="440" w:lineRule="exact"/>
              <w:ind w:leftChars="200" w:left="1040" w:hangingChars="200" w:hanging="560"/>
              <w:jc w:val="both"/>
              <w:rPr>
                <w:rFonts w:ascii="標楷體" w:eastAsia="標楷體" w:hAnsi="標楷體"/>
                <w:color w:val="000000"/>
                <w:sz w:val="28"/>
              </w:rPr>
            </w:pPr>
            <w:r w:rsidRPr="00446548">
              <w:rPr>
                <w:rFonts w:ascii="標楷體" w:eastAsia="標楷體" w:hAnsi="標楷體" w:hint="eastAsia"/>
                <w:color w:val="000000"/>
                <w:sz w:val="28"/>
              </w:rPr>
              <w:t>二、通報機制：證券經紀商同一種證券之錯帳金額達一億元者，如為買回或轉賣處理，應於處理當日下午二時前向</w:t>
            </w:r>
            <w:r w:rsidRPr="00446548">
              <w:rPr>
                <w:rFonts w:ascii="標楷體" w:eastAsia="標楷體" w:hAnsi="標楷體" w:hint="eastAsia"/>
                <w:color w:val="000000"/>
                <w:sz w:val="28"/>
              </w:rPr>
              <w:lastRenderedPageBreak/>
              <w:t>本公司交易部通報；如未為買回或轉賣處理者，應於申報當時向本公司交易部通報。</w:t>
            </w:r>
          </w:p>
          <w:p w:rsidR="005B7475" w:rsidRPr="00446548" w:rsidRDefault="005B7475" w:rsidP="005B7475">
            <w:pPr>
              <w:spacing w:line="440" w:lineRule="exact"/>
              <w:ind w:leftChars="200" w:left="1040" w:hangingChars="200" w:hanging="560"/>
              <w:jc w:val="both"/>
              <w:rPr>
                <w:rFonts w:ascii="標楷體" w:eastAsia="標楷體" w:hAnsi="標楷體"/>
                <w:color w:val="000000"/>
                <w:sz w:val="28"/>
              </w:rPr>
            </w:pPr>
            <w:r w:rsidRPr="00446548">
              <w:rPr>
                <w:rFonts w:ascii="標楷體" w:eastAsia="標楷體" w:hAnsi="標楷體" w:hint="eastAsia"/>
                <w:color w:val="000000"/>
                <w:sz w:val="28"/>
              </w:rPr>
              <w:t>三、證券經紀商同一成交日同一投資人電腦申報錯帳或更正帳號金額達新台幣伍仟萬元或股數（受益權單位）達壹佰萬股（受益權單位）以上者，本公司得視情況要求於期限內提供相關書面資料。</w:t>
            </w:r>
          </w:p>
          <w:p w:rsidR="00446548" w:rsidRDefault="005B7475" w:rsidP="005B7475">
            <w:pPr>
              <w:jc w:val="both"/>
              <w:rPr>
                <w:rFonts w:ascii="標楷體" w:eastAsia="標楷體" w:hAnsi="標楷體"/>
                <w:color w:val="000000"/>
                <w:szCs w:val="24"/>
              </w:rPr>
            </w:pPr>
            <w:r>
              <w:rPr>
                <w:rFonts w:ascii="標楷體" w:eastAsia="標楷體" w:hAnsi="標楷體" w:hint="eastAsia"/>
                <w:color w:val="000000"/>
                <w:sz w:val="28"/>
              </w:rPr>
              <w:t>(</w:t>
            </w:r>
            <w:r w:rsidRPr="00446548">
              <w:rPr>
                <w:rFonts w:ascii="標楷體" w:eastAsia="標楷體" w:hAnsi="標楷體" w:hint="eastAsia"/>
                <w:color w:val="000000"/>
                <w:sz w:val="28"/>
              </w:rPr>
              <w:t>四</w:t>
            </w:r>
            <w:r>
              <w:rPr>
                <w:rFonts w:ascii="標楷體" w:eastAsia="標楷體" w:hAnsi="標楷體" w:hint="eastAsia"/>
                <w:color w:val="000000"/>
                <w:sz w:val="28"/>
              </w:rPr>
              <w:t>至九略)</w:t>
            </w:r>
          </w:p>
        </w:tc>
        <w:tc>
          <w:tcPr>
            <w:tcW w:w="3268" w:type="dxa"/>
          </w:tcPr>
          <w:p w:rsidR="00F6674B" w:rsidRDefault="00F6674B" w:rsidP="00F6674B">
            <w:pPr>
              <w:pStyle w:val="a8"/>
              <w:numPr>
                <w:ilvl w:val="0"/>
                <w:numId w:val="1"/>
              </w:numPr>
              <w:spacing w:line="440" w:lineRule="exact"/>
              <w:ind w:leftChars="0"/>
              <w:jc w:val="both"/>
              <w:rPr>
                <w:rFonts w:ascii="標楷體" w:eastAsia="標楷體" w:hAnsi="標楷體"/>
                <w:color w:val="000000"/>
                <w:sz w:val="28"/>
              </w:rPr>
            </w:pPr>
            <w:r>
              <w:rPr>
                <w:rFonts w:ascii="標楷體" w:eastAsia="標楷體" w:hAnsi="標楷體" w:hint="eastAsia"/>
                <w:color w:val="000000"/>
                <w:sz w:val="28"/>
              </w:rPr>
              <w:lastRenderedPageBreak/>
              <w:t>文字調整。</w:t>
            </w:r>
          </w:p>
          <w:p w:rsidR="00446548" w:rsidRPr="002E0C30" w:rsidRDefault="002726C5" w:rsidP="0069681A">
            <w:pPr>
              <w:pStyle w:val="a8"/>
              <w:numPr>
                <w:ilvl w:val="0"/>
                <w:numId w:val="1"/>
              </w:numPr>
              <w:spacing w:line="440" w:lineRule="exact"/>
              <w:ind w:leftChars="0"/>
              <w:jc w:val="both"/>
              <w:rPr>
                <w:rFonts w:ascii="標楷體" w:eastAsia="標楷體" w:hAnsi="標楷體"/>
                <w:color w:val="000000"/>
                <w:sz w:val="28"/>
              </w:rPr>
            </w:pPr>
            <w:r w:rsidRPr="00F6674B">
              <w:rPr>
                <w:rFonts w:ascii="標楷體" w:eastAsia="標楷體" w:hAnsi="標楷體" w:hint="eastAsia"/>
                <w:color w:val="000000"/>
                <w:sz w:val="28"/>
              </w:rPr>
              <w:t>證券經紀商同一種證券之錯帳金額達新臺幣</w:t>
            </w:r>
            <w:r w:rsidR="00635E4A" w:rsidRPr="00F6674B">
              <w:rPr>
                <w:rFonts w:ascii="標楷體" w:eastAsia="標楷體" w:hAnsi="標楷體" w:hint="eastAsia"/>
                <w:color w:val="000000"/>
                <w:sz w:val="28"/>
              </w:rPr>
              <w:t>一億元者，</w:t>
            </w:r>
            <w:r w:rsidRPr="00F6674B">
              <w:rPr>
                <w:rFonts w:ascii="標楷體" w:eastAsia="標楷體" w:hAnsi="標楷體" w:hint="eastAsia"/>
                <w:color w:val="000000"/>
                <w:sz w:val="28"/>
              </w:rPr>
              <w:t>應</w:t>
            </w:r>
            <w:r w:rsidR="00427F01" w:rsidRPr="00F6674B">
              <w:rPr>
                <w:rFonts w:ascii="標楷體" w:eastAsia="標楷體" w:hAnsi="標楷體" w:hint="eastAsia"/>
                <w:color w:val="000000"/>
                <w:sz w:val="28"/>
              </w:rPr>
              <w:t>向本公司</w:t>
            </w:r>
            <w:r w:rsidR="00F6674B" w:rsidRPr="00F6674B">
              <w:rPr>
                <w:rFonts w:ascii="標楷體" w:eastAsia="標楷體" w:hAnsi="標楷體" w:hint="eastAsia"/>
                <w:color w:val="000000"/>
                <w:sz w:val="28"/>
              </w:rPr>
              <w:t>交易部</w:t>
            </w:r>
            <w:r w:rsidR="00427F01" w:rsidRPr="00F6674B">
              <w:rPr>
                <w:rFonts w:ascii="標楷體" w:eastAsia="標楷體" w:hAnsi="標楷體" w:hint="eastAsia"/>
                <w:color w:val="000000"/>
                <w:sz w:val="28"/>
              </w:rPr>
              <w:t>通報</w:t>
            </w:r>
            <w:r w:rsidR="00F6674B" w:rsidRPr="00F6674B">
              <w:rPr>
                <w:rFonts w:ascii="標楷體" w:eastAsia="標楷體" w:hAnsi="標楷體" w:hint="eastAsia"/>
                <w:color w:val="000000"/>
                <w:sz w:val="28"/>
              </w:rPr>
              <w:t>；錯帳或更正帳號金額達新臺幣伍仟萬元</w:t>
            </w:r>
            <w:r w:rsidR="00143495">
              <w:rPr>
                <w:rFonts w:ascii="標楷體" w:eastAsia="標楷體" w:hAnsi="標楷體" w:hint="eastAsia"/>
                <w:color w:val="000000"/>
                <w:sz w:val="28"/>
              </w:rPr>
              <w:t>或股數達1佰萬股</w:t>
            </w:r>
            <w:r w:rsidR="00F6674B" w:rsidRPr="00F6674B">
              <w:rPr>
                <w:rFonts w:ascii="標楷體" w:eastAsia="標楷體" w:hAnsi="標楷體" w:hint="eastAsia"/>
                <w:color w:val="000000"/>
                <w:sz w:val="28"/>
              </w:rPr>
              <w:t>，本公司得請證券</w:t>
            </w:r>
            <w:r w:rsidR="00A65A82">
              <w:rPr>
                <w:rFonts w:ascii="標楷體" w:eastAsia="標楷體" w:hAnsi="標楷體" w:hint="eastAsia"/>
                <w:color w:val="000000"/>
                <w:sz w:val="28"/>
              </w:rPr>
              <w:t>經紀</w:t>
            </w:r>
            <w:r w:rsidR="00F6674B" w:rsidRPr="00F6674B">
              <w:rPr>
                <w:rFonts w:ascii="標楷體" w:eastAsia="標楷體" w:hAnsi="標楷體" w:hint="eastAsia"/>
                <w:color w:val="000000"/>
                <w:sz w:val="28"/>
              </w:rPr>
              <w:t>商提供相關書面資料。</w:t>
            </w:r>
            <w:r w:rsidR="00610C48" w:rsidRPr="00F6674B">
              <w:rPr>
                <w:rFonts w:ascii="標楷體" w:eastAsia="標楷體" w:hAnsi="標楷體" w:hint="eastAsia"/>
                <w:color w:val="000000"/>
                <w:sz w:val="28"/>
              </w:rPr>
              <w:t>配合加掛外幣</w:t>
            </w:r>
            <w:r w:rsidR="00E85730" w:rsidRPr="00F6674B">
              <w:rPr>
                <w:rFonts w:ascii="標楷體" w:eastAsia="標楷體" w:hAnsi="標楷體" w:hint="eastAsia"/>
                <w:color w:val="000000"/>
                <w:sz w:val="28"/>
              </w:rPr>
              <w:t>有價證券</w:t>
            </w:r>
            <w:r w:rsidR="00B04F23" w:rsidRPr="00F6674B">
              <w:rPr>
                <w:rFonts w:ascii="標楷體" w:eastAsia="標楷體" w:hAnsi="標楷體" w:hint="eastAsia"/>
                <w:color w:val="000000"/>
                <w:sz w:val="28"/>
              </w:rPr>
              <w:t>機制</w:t>
            </w:r>
            <w:r w:rsidR="00610C48" w:rsidRPr="00F6674B">
              <w:rPr>
                <w:rFonts w:ascii="標楷體" w:eastAsia="標楷體" w:hAnsi="標楷體" w:hint="eastAsia"/>
                <w:color w:val="000000"/>
                <w:sz w:val="28"/>
              </w:rPr>
              <w:t>，</w:t>
            </w:r>
            <w:proofErr w:type="gramStart"/>
            <w:r w:rsidR="0069681A" w:rsidRPr="006C32E7">
              <w:rPr>
                <w:rFonts w:ascii="標楷體" w:eastAsia="標楷體" w:hAnsi="標楷體" w:cs="細明體" w:hint="eastAsia"/>
                <w:color w:val="000000" w:themeColor="text1"/>
                <w:kern w:val="0"/>
                <w:sz w:val="28"/>
                <w:szCs w:val="28"/>
              </w:rPr>
              <w:t>採</w:t>
            </w:r>
            <w:proofErr w:type="gramEnd"/>
            <w:r w:rsidR="0069681A" w:rsidRPr="006C32E7">
              <w:rPr>
                <w:rFonts w:ascii="標楷體" w:eastAsia="標楷體" w:hAnsi="標楷體" w:cs="細明體" w:hint="eastAsia"/>
                <w:color w:val="000000" w:themeColor="text1"/>
                <w:kern w:val="0"/>
                <w:sz w:val="28"/>
                <w:szCs w:val="28"/>
              </w:rPr>
              <w:t>外幣計價之證券，或</w:t>
            </w:r>
            <w:proofErr w:type="gramStart"/>
            <w:r w:rsidR="0069681A" w:rsidRPr="006C32E7">
              <w:rPr>
                <w:rFonts w:ascii="標楷體" w:eastAsia="標楷體" w:hAnsi="標楷體" w:cs="細明體" w:hint="eastAsia"/>
                <w:color w:val="000000" w:themeColor="text1"/>
                <w:kern w:val="0"/>
                <w:sz w:val="28"/>
                <w:szCs w:val="28"/>
              </w:rPr>
              <w:t>採雙幣</w:t>
            </w:r>
            <w:proofErr w:type="gramEnd"/>
            <w:r w:rsidR="0069681A" w:rsidRPr="006C32E7">
              <w:rPr>
                <w:rFonts w:ascii="標楷體" w:eastAsia="標楷體" w:hAnsi="標楷體" w:cs="細明體" w:hint="eastAsia"/>
                <w:color w:val="000000" w:themeColor="text1"/>
                <w:kern w:val="0"/>
                <w:sz w:val="28"/>
                <w:szCs w:val="28"/>
              </w:rPr>
              <w:t>計價之證券合併後部位，</w:t>
            </w:r>
            <w:r w:rsidR="00A65A82">
              <w:rPr>
                <w:rFonts w:ascii="標楷體" w:eastAsia="標楷體" w:hAnsi="標楷體" w:hint="eastAsia"/>
                <w:color w:val="000000"/>
                <w:sz w:val="28"/>
              </w:rPr>
              <w:t>達前揭標準亦須通報或提供書面資料。</w:t>
            </w:r>
            <w:proofErr w:type="gramStart"/>
            <w:r w:rsidR="00F6674B">
              <w:rPr>
                <w:rFonts w:ascii="標楷體" w:eastAsia="標楷體" w:hAnsi="標楷體" w:hint="eastAsia"/>
                <w:color w:val="000000"/>
                <w:sz w:val="28"/>
              </w:rPr>
              <w:t>爰</w:t>
            </w:r>
            <w:proofErr w:type="gramEnd"/>
            <w:r w:rsidR="00F6674B">
              <w:rPr>
                <w:rFonts w:ascii="標楷體" w:eastAsia="標楷體" w:hAnsi="標楷體" w:hint="eastAsia"/>
                <w:color w:val="000000"/>
                <w:sz w:val="28"/>
              </w:rPr>
              <w:t>修正</w:t>
            </w:r>
            <w:r w:rsidR="002E0C30" w:rsidRPr="00F6674B">
              <w:rPr>
                <w:rFonts w:ascii="標楷體" w:eastAsia="標楷體" w:hAnsi="標楷體" w:hint="eastAsia"/>
                <w:color w:val="000000"/>
                <w:sz w:val="28"/>
              </w:rPr>
              <w:t>二</w:t>
            </w:r>
            <w:r w:rsidR="00F6674B">
              <w:rPr>
                <w:rFonts w:ascii="標楷體" w:eastAsia="標楷體" w:hAnsi="標楷體" w:hint="eastAsia"/>
                <w:color w:val="000000"/>
                <w:sz w:val="28"/>
              </w:rPr>
              <w:t>、三</w:t>
            </w:r>
            <w:r w:rsidR="002E0C30" w:rsidRPr="00F6674B">
              <w:rPr>
                <w:rFonts w:ascii="標楷體" w:eastAsia="標楷體" w:hAnsi="標楷體" w:hint="eastAsia"/>
                <w:color w:val="000000"/>
                <w:sz w:val="28"/>
              </w:rPr>
              <w:t>規定。</w:t>
            </w:r>
          </w:p>
        </w:tc>
      </w:tr>
    </w:tbl>
    <w:p w:rsidR="002D48C6" w:rsidRPr="0024386E" w:rsidRDefault="002D48C6" w:rsidP="00D61B96">
      <w:pPr>
        <w:rPr>
          <w:rFonts w:ascii="標楷體" w:eastAsia="標楷體" w:hAnsi="標楷體" w:cs="細明體"/>
          <w:color w:val="000000"/>
          <w:kern w:val="0"/>
          <w:sz w:val="28"/>
          <w:szCs w:val="28"/>
        </w:rPr>
      </w:pPr>
    </w:p>
    <w:sectPr w:rsidR="002D48C6" w:rsidRPr="0024386E" w:rsidSect="00FF1EDC">
      <w:pgSz w:w="11906" w:h="16838"/>
      <w:pgMar w:top="1418" w:right="1077" w:bottom="1247"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B70" w:rsidRDefault="00B85B70" w:rsidP="006E22F9">
      <w:r>
        <w:separator/>
      </w:r>
    </w:p>
  </w:endnote>
  <w:endnote w:type="continuationSeparator" w:id="0">
    <w:p w:rsidR="00B85B70" w:rsidRDefault="00B85B70" w:rsidP="006E2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B70" w:rsidRDefault="00B85B70" w:rsidP="006E22F9">
      <w:r>
        <w:separator/>
      </w:r>
    </w:p>
  </w:footnote>
  <w:footnote w:type="continuationSeparator" w:id="0">
    <w:p w:rsidR="00B85B70" w:rsidRDefault="00B85B70" w:rsidP="006E22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662FF"/>
    <w:multiLevelType w:val="hybridMultilevel"/>
    <w:tmpl w:val="89AE6E7E"/>
    <w:lvl w:ilvl="0" w:tplc="0680B1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48C6"/>
    <w:rsid w:val="00041D95"/>
    <w:rsid w:val="000575D1"/>
    <w:rsid w:val="000965E4"/>
    <w:rsid w:val="000A1EFA"/>
    <w:rsid w:val="000B1BFE"/>
    <w:rsid w:val="000D7034"/>
    <w:rsid w:val="000F4045"/>
    <w:rsid w:val="0011404D"/>
    <w:rsid w:val="00143495"/>
    <w:rsid w:val="001472EA"/>
    <w:rsid w:val="00163F32"/>
    <w:rsid w:val="001A7FC9"/>
    <w:rsid w:val="001B4FFE"/>
    <w:rsid w:val="001C5BF7"/>
    <w:rsid w:val="0021635B"/>
    <w:rsid w:val="00236B77"/>
    <w:rsid w:val="0024386E"/>
    <w:rsid w:val="0025395A"/>
    <w:rsid w:val="002726C5"/>
    <w:rsid w:val="002B3C49"/>
    <w:rsid w:val="002D48C6"/>
    <w:rsid w:val="002E0C30"/>
    <w:rsid w:val="00320C1B"/>
    <w:rsid w:val="00330665"/>
    <w:rsid w:val="00346328"/>
    <w:rsid w:val="00350F1A"/>
    <w:rsid w:val="00364C09"/>
    <w:rsid w:val="00365E64"/>
    <w:rsid w:val="003763D2"/>
    <w:rsid w:val="00377CB0"/>
    <w:rsid w:val="003B0370"/>
    <w:rsid w:val="00427F01"/>
    <w:rsid w:val="00446548"/>
    <w:rsid w:val="004629D4"/>
    <w:rsid w:val="004957FE"/>
    <w:rsid w:val="004A70E9"/>
    <w:rsid w:val="004D3150"/>
    <w:rsid w:val="004E0278"/>
    <w:rsid w:val="00504C49"/>
    <w:rsid w:val="00535D67"/>
    <w:rsid w:val="0057364F"/>
    <w:rsid w:val="00574C32"/>
    <w:rsid w:val="005807FE"/>
    <w:rsid w:val="00594492"/>
    <w:rsid w:val="00597970"/>
    <w:rsid w:val="005A1768"/>
    <w:rsid w:val="005B7475"/>
    <w:rsid w:val="006016FB"/>
    <w:rsid w:val="00610C48"/>
    <w:rsid w:val="00613995"/>
    <w:rsid w:val="00635E4A"/>
    <w:rsid w:val="0065710F"/>
    <w:rsid w:val="00692BA8"/>
    <w:rsid w:val="0069681A"/>
    <w:rsid w:val="006B3454"/>
    <w:rsid w:val="006C32E7"/>
    <w:rsid w:val="006E22F9"/>
    <w:rsid w:val="00715811"/>
    <w:rsid w:val="007233D9"/>
    <w:rsid w:val="00725CB0"/>
    <w:rsid w:val="007C0900"/>
    <w:rsid w:val="007D5C2D"/>
    <w:rsid w:val="00837C15"/>
    <w:rsid w:val="00846F33"/>
    <w:rsid w:val="00865943"/>
    <w:rsid w:val="008714B7"/>
    <w:rsid w:val="008A0D05"/>
    <w:rsid w:val="008F0C53"/>
    <w:rsid w:val="008F5F41"/>
    <w:rsid w:val="00935D5A"/>
    <w:rsid w:val="0094548D"/>
    <w:rsid w:val="009A5910"/>
    <w:rsid w:val="009B2D49"/>
    <w:rsid w:val="009C61A2"/>
    <w:rsid w:val="00A0485A"/>
    <w:rsid w:val="00A13110"/>
    <w:rsid w:val="00A23655"/>
    <w:rsid w:val="00A271A5"/>
    <w:rsid w:val="00A34202"/>
    <w:rsid w:val="00A56E75"/>
    <w:rsid w:val="00A65A82"/>
    <w:rsid w:val="00AB0AD7"/>
    <w:rsid w:val="00B04F23"/>
    <w:rsid w:val="00B108CF"/>
    <w:rsid w:val="00B42E3D"/>
    <w:rsid w:val="00B85B70"/>
    <w:rsid w:val="00BA37BD"/>
    <w:rsid w:val="00BB3CDA"/>
    <w:rsid w:val="00BF07E2"/>
    <w:rsid w:val="00BF5788"/>
    <w:rsid w:val="00C3119D"/>
    <w:rsid w:val="00C45BD0"/>
    <w:rsid w:val="00CD52A9"/>
    <w:rsid w:val="00CD68D1"/>
    <w:rsid w:val="00CF61D2"/>
    <w:rsid w:val="00D15DFF"/>
    <w:rsid w:val="00D16F9D"/>
    <w:rsid w:val="00D57E89"/>
    <w:rsid w:val="00D61B96"/>
    <w:rsid w:val="00DD4C44"/>
    <w:rsid w:val="00E2016F"/>
    <w:rsid w:val="00E74C5C"/>
    <w:rsid w:val="00E85730"/>
    <w:rsid w:val="00EC22E2"/>
    <w:rsid w:val="00EC3100"/>
    <w:rsid w:val="00ED26FD"/>
    <w:rsid w:val="00EF0FA2"/>
    <w:rsid w:val="00F46B8A"/>
    <w:rsid w:val="00F652E9"/>
    <w:rsid w:val="00F6674B"/>
    <w:rsid w:val="00F75B2A"/>
    <w:rsid w:val="00FB30AE"/>
    <w:rsid w:val="00FF1E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94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22F9"/>
    <w:pPr>
      <w:tabs>
        <w:tab w:val="center" w:pos="4153"/>
        <w:tab w:val="right" w:pos="8306"/>
      </w:tabs>
      <w:snapToGrid w:val="0"/>
    </w:pPr>
    <w:rPr>
      <w:sz w:val="20"/>
      <w:szCs w:val="20"/>
    </w:rPr>
  </w:style>
  <w:style w:type="character" w:customStyle="1" w:styleId="a4">
    <w:name w:val="頁首 字元"/>
    <w:basedOn w:val="a0"/>
    <w:link w:val="a3"/>
    <w:uiPriority w:val="99"/>
    <w:semiHidden/>
    <w:rsid w:val="006E22F9"/>
    <w:rPr>
      <w:sz w:val="20"/>
      <w:szCs w:val="20"/>
    </w:rPr>
  </w:style>
  <w:style w:type="paragraph" w:styleId="a5">
    <w:name w:val="footer"/>
    <w:basedOn w:val="a"/>
    <w:link w:val="a6"/>
    <w:uiPriority w:val="99"/>
    <w:semiHidden/>
    <w:unhideWhenUsed/>
    <w:rsid w:val="006E22F9"/>
    <w:pPr>
      <w:tabs>
        <w:tab w:val="center" w:pos="4153"/>
        <w:tab w:val="right" w:pos="8306"/>
      </w:tabs>
      <w:snapToGrid w:val="0"/>
    </w:pPr>
    <w:rPr>
      <w:sz w:val="20"/>
      <w:szCs w:val="20"/>
    </w:rPr>
  </w:style>
  <w:style w:type="character" w:customStyle="1" w:styleId="a6">
    <w:name w:val="頁尾 字元"/>
    <w:basedOn w:val="a0"/>
    <w:link w:val="a5"/>
    <w:uiPriority w:val="99"/>
    <w:semiHidden/>
    <w:rsid w:val="006E22F9"/>
    <w:rPr>
      <w:sz w:val="20"/>
      <w:szCs w:val="20"/>
    </w:rPr>
  </w:style>
  <w:style w:type="table" w:styleId="a7">
    <w:name w:val="Table Grid"/>
    <w:basedOn w:val="a1"/>
    <w:uiPriority w:val="59"/>
    <w:rsid w:val="00446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E0C30"/>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0425</dc:creator>
  <cp:lastModifiedBy>0803</cp:lastModifiedBy>
  <cp:revision>3</cp:revision>
  <cp:lastPrinted>2016-01-13T03:48:00Z</cp:lastPrinted>
  <dcterms:created xsi:type="dcterms:W3CDTF">2016-02-17T07:13:00Z</dcterms:created>
  <dcterms:modified xsi:type="dcterms:W3CDTF">2016-02-24T08:29:00Z</dcterms:modified>
</cp:coreProperties>
</file>