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7D" w:rsidRPr="00F12176" w:rsidRDefault="00D65E7D" w:rsidP="002E74D8">
      <w:pPr>
        <w:spacing w:line="400" w:lineRule="exact"/>
        <w:jc w:val="center"/>
        <w:rPr>
          <w:rFonts w:ascii="標楷體" w:eastAsia="標楷體" w:hAnsi="標楷體"/>
          <w:b/>
          <w:bCs/>
          <w:sz w:val="28"/>
          <w:szCs w:val="28"/>
        </w:rPr>
      </w:pPr>
      <w:r w:rsidRPr="00F12176">
        <w:rPr>
          <w:rFonts w:ascii="標楷體" w:eastAsia="標楷體" w:hAnsi="標楷體"/>
          <w:b/>
          <w:bCs/>
          <w:sz w:val="28"/>
          <w:szCs w:val="28"/>
        </w:rPr>
        <w:t>臺灣證券交易所股份有限公司有價證券得為融資融券交易</w:t>
      </w:r>
    </w:p>
    <w:p w:rsidR="008C38C4" w:rsidRPr="00F12176" w:rsidRDefault="00D65E7D" w:rsidP="002E74D8">
      <w:pPr>
        <w:spacing w:line="400" w:lineRule="exact"/>
        <w:jc w:val="center"/>
        <w:rPr>
          <w:rFonts w:ascii="標楷體" w:eastAsia="標楷體" w:hAnsi="標楷體"/>
          <w:b/>
          <w:bCs/>
          <w:sz w:val="28"/>
          <w:szCs w:val="28"/>
        </w:rPr>
      </w:pPr>
      <w:r w:rsidRPr="00F12176">
        <w:rPr>
          <w:rFonts w:ascii="標楷體" w:eastAsia="標楷體" w:hAnsi="標楷體"/>
          <w:b/>
          <w:bCs/>
          <w:sz w:val="28"/>
          <w:szCs w:val="28"/>
        </w:rPr>
        <w:t>之具體認定標準及作業程序</w:t>
      </w:r>
      <w:r w:rsidR="00762AC2" w:rsidRPr="00F12176">
        <w:rPr>
          <w:rFonts w:ascii="標楷體" w:eastAsia="標楷體" w:hAnsi="標楷體" w:hint="eastAsia"/>
          <w:b/>
          <w:bCs/>
          <w:sz w:val="28"/>
          <w:szCs w:val="28"/>
        </w:rPr>
        <w:t>第</w:t>
      </w:r>
      <w:r w:rsidR="00937012" w:rsidRPr="00F12176">
        <w:rPr>
          <w:rFonts w:ascii="標楷體" w:eastAsia="標楷體" w:hAnsi="標楷體" w:hint="eastAsia"/>
          <w:b/>
          <w:bCs/>
          <w:sz w:val="28"/>
          <w:szCs w:val="28"/>
        </w:rPr>
        <w:t>二</w:t>
      </w:r>
      <w:r w:rsidR="00762AC2" w:rsidRPr="00F12176">
        <w:rPr>
          <w:rFonts w:ascii="標楷體" w:eastAsia="標楷體" w:hAnsi="標楷體" w:hint="eastAsia"/>
          <w:b/>
          <w:bCs/>
          <w:sz w:val="28"/>
          <w:szCs w:val="28"/>
        </w:rPr>
        <w:t>條修正條文對照表</w:t>
      </w:r>
    </w:p>
    <w:tbl>
      <w:tblPr>
        <w:tblStyle w:val="a3"/>
        <w:tblW w:w="0" w:type="auto"/>
        <w:tblLook w:val="04A0"/>
      </w:tblPr>
      <w:tblGrid>
        <w:gridCol w:w="2787"/>
        <w:gridCol w:w="2787"/>
        <w:gridCol w:w="2788"/>
      </w:tblGrid>
      <w:tr w:rsidR="008C38C4" w:rsidRPr="00F12176" w:rsidTr="00937012">
        <w:tc>
          <w:tcPr>
            <w:tcW w:w="2787" w:type="dxa"/>
            <w:vAlign w:val="center"/>
          </w:tcPr>
          <w:p w:rsidR="008C38C4" w:rsidRPr="00F12176" w:rsidRDefault="008C38C4" w:rsidP="00937012">
            <w:pPr>
              <w:spacing w:line="400" w:lineRule="exact"/>
              <w:jc w:val="distribute"/>
              <w:rPr>
                <w:rFonts w:ascii="標楷體" w:eastAsia="標楷體" w:hAnsi="標楷體"/>
                <w:b/>
                <w:bCs/>
                <w:sz w:val="28"/>
                <w:szCs w:val="28"/>
              </w:rPr>
            </w:pPr>
            <w:r w:rsidRPr="00F12176">
              <w:rPr>
                <w:rFonts w:ascii="標楷體" w:eastAsia="標楷體" w:hAnsi="標楷體" w:hint="eastAsia"/>
                <w:szCs w:val="24"/>
              </w:rPr>
              <w:t>修正條文</w:t>
            </w:r>
          </w:p>
        </w:tc>
        <w:tc>
          <w:tcPr>
            <w:tcW w:w="2787" w:type="dxa"/>
            <w:vAlign w:val="center"/>
          </w:tcPr>
          <w:p w:rsidR="008C38C4" w:rsidRPr="00F12176" w:rsidRDefault="008C38C4" w:rsidP="00937012">
            <w:pPr>
              <w:jc w:val="distribute"/>
              <w:rPr>
                <w:rFonts w:ascii="標楷體" w:eastAsia="標楷體" w:hAnsi="標楷體"/>
                <w:szCs w:val="24"/>
              </w:rPr>
            </w:pPr>
            <w:r w:rsidRPr="00F12176">
              <w:rPr>
                <w:rFonts w:ascii="標楷體" w:eastAsia="標楷體" w:hAnsi="標楷體" w:hint="eastAsia"/>
                <w:szCs w:val="24"/>
              </w:rPr>
              <w:t>現行條文</w:t>
            </w:r>
          </w:p>
        </w:tc>
        <w:tc>
          <w:tcPr>
            <w:tcW w:w="2788" w:type="dxa"/>
            <w:vAlign w:val="center"/>
          </w:tcPr>
          <w:p w:rsidR="008C38C4" w:rsidRPr="00F12176" w:rsidRDefault="008C38C4" w:rsidP="00937012">
            <w:pPr>
              <w:spacing w:line="400" w:lineRule="exact"/>
              <w:jc w:val="distribute"/>
              <w:rPr>
                <w:rFonts w:ascii="標楷體" w:eastAsia="標楷體" w:hAnsi="標楷體"/>
                <w:b/>
                <w:bCs/>
                <w:sz w:val="28"/>
                <w:szCs w:val="28"/>
              </w:rPr>
            </w:pPr>
            <w:r w:rsidRPr="00F12176">
              <w:rPr>
                <w:rFonts w:ascii="標楷體" w:eastAsia="標楷體" w:hAnsi="標楷體" w:hint="eastAsia"/>
                <w:szCs w:val="24"/>
              </w:rPr>
              <w:t>說明</w:t>
            </w:r>
          </w:p>
        </w:tc>
      </w:tr>
      <w:tr w:rsidR="008C38C4" w:rsidRPr="00F12176" w:rsidTr="008C38C4">
        <w:tc>
          <w:tcPr>
            <w:tcW w:w="2787" w:type="dxa"/>
          </w:tcPr>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360" w:hangingChars="150" w:hanging="360"/>
              <w:rPr>
                <w:rFonts w:ascii="標楷體" w:eastAsia="標楷體" w:hAnsi="標楷體" w:cs="細明體"/>
                <w:kern w:val="0"/>
                <w:szCs w:val="24"/>
              </w:rPr>
            </w:pPr>
            <w:r w:rsidRPr="00F12176">
              <w:rPr>
                <w:rFonts w:ascii="標楷體" w:eastAsia="標楷體" w:hAnsi="標楷體" w:cs="細明體" w:hint="eastAsia"/>
                <w:kern w:val="0"/>
                <w:szCs w:val="24"/>
              </w:rPr>
              <w:t>二、本具體認定標準及作業程序所使用名詞定義如下：</w:t>
            </w:r>
          </w:p>
          <w:p w:rsidR="0043474C" w:rsidRPr="00F12176" w:rsidRDefault="0043474C" w:rsidP="004347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rPr>
                <w:rFonts w:ascii="標楷體" w:eastAsia="標楷體" w:hAnsi="標楷體" w:cs="細明體"/>
                <w:kern w:val="0"/>
                <w:szCs w:val="24"/>
              </w:rPr>
            </w:pPr>
            <w:r w:rsidRPr="00F12176">
              <w:rPr>
                <w:rFonts w:ascii="標楷體" w:eastAsia="標楷體" w:hAnsi="標楷體" w:cs="細明體" w:hint="eastAsia"/>
                <w:kern w:val="0"/>
                <w:szCs w:val="24"/>
              </w:rPr>
              <w:t>（一）標的證券：</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1.上市滿六個月且每股淨值在票面以上之普通股股票。但第一上市公司無面額或每股面額非屬新臺幣十元者，為上市滿六個月且財務報告顯示無累積虧損。</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2.上市滿六個月且財務報告顯示無累積虧損之臺灣存託憑證。</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3.上市滿六個月</w:t>
            </w:r>
            <w:r w:rsidR="009922FF" w:rsidRPr="00F12176">
              <w:rPr>
                <w:rFonts w:ascii="標楷體" w:eastAsia="標楷體" w:hAnsi="標楷體" w:cs="細明體" w:hint="eastAsia"/>
                <w:kern w:val="0"/>
                <w:szCs w:val="24"/>
                <w:u w:val="single"/>
              </w:rPr>
              <w:t>且非外幣</w:t>
            </w:r>
            <w:r w:rsidR="00300EF3" w:rsidRPr="00F12176">
              <w:rPr>
                <w:rFonts w:ascii="標楷體" w:eastAsia="標楷體" w:hAnsi="標楷體" w:cs="細明體" w:hint="eastAsia"/>
                <w:kern w:val="0"/>
                <w:szCs w:val="24"/>
                <w:u w:val="single"/>
              </w:rPr>
              <w:t>買賣</w:t>
            </w:r>
            <w:r w:rsidRPr="00F12176">
              <w:rPr>
                <w:rFonts w:ascii="標楷體" w:eastAsia="標楷體" w:hAnsi="標楷體" w:cs="細明體" w:hint="eastAsia"/>
                <w:kern w:val="0"/>
                <w:szCs w:val="24"/>
              </w:rPr>
              <w:t>之受益憑證。但指數股票型證券投資信託基金受益憑證（以下簡稱指數股票型基金受益憑證）、境外指數股票型基金受益憑證及指數股票型期貨信託基金受益憑證得不受上市滿六個月之限制。</w:t>
            </w:r>
          </w:p>
          <w:p w:rsidR="00687790"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（二）審核日：標的證券上市滿六個月當日為審核日，</w:t>
            </w:r>
            <w:proofErr w:type="gramStart"/>
            <w:r w:rsidRPr="00F12176">
              <w:rPr>
                <w:rFonts w:ascii="標楷體" w:eastAsia="標楷體" w:hAnsi="標楷體" w:cs="細明體" w:hint="eastAsia"/>
                <w:kern w:val="0"/>
                <w:szCs w:val="24"/>
              </w:rPr>
              <w:t>若逢非營業</w:t>
            </w:r>
            <w:proofErr w:type="gramEnd"/>
            <w:r w:rsidRPr="00F12176">
              <w:rPr>
                <w:rFonts w:ascii="標楷體" w:eastAsia="標楷體" w:hAnsi="標楷體" w:cs="細明體" w:hint="eastAsia"/>
                <w:kern w:val="0"/>
                <w:szCs w:val="24"/>
              </w:rPr>
              <w:t>日，則順延至次一營業日。</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lastRenderedPageBreak/>
              <w:t>（三）每股淨值：以審核日當時可取得之最近</w:t>
            </w:r>
            <w:proofErr w:type="gramStart"/>
            <w:r w:rsidRPr="00F12176">
              <w:rPr>
                <w:rFonts w:ascii="標楷體" w:eastAsia="標楷體" w:hAnsi="標楷體" w:cs="細明體" w:hint="eastAsia"/>
                <w:kern w:val="0"/>
                <w:szCs w:val="24"/>
              </w:rPr>
              <w:t>一</w:t>
            </w:r>
            <w:proofErr w:type="gramEnd"/>
            <w:r w:rsidRPr="00F12176">
              <w:rPr>
                <w:rFonts w:ascii="標楷體" w:eastAsia="標楷體" w:hAnsi="標楷體" w:cs="細明體" w:hint="eastAsia"/>
                <w:kern w:val="0"/>
                <w:szCs w:val="24"/>
              </w:rPr>
              <w:t>年度經公告並申報之財務報告資產負債表中，歸屬於母公司業主之權益為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（四）累積虧損：第一上市公司無面額或每股面額非屬新臺幣十元者，以審核日當時可取得之依規定公告申報且經會計師查核簽證之最近一個會計年度財務報告為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；臺灣存託憑證以審核日當時可取得之依所屬國法令所</w:t>
            </w:r>
            <w:proofErr w:type="gramStart"/>
            <w:r w:rsidRPr="00F12176">
              <w:rPr>
                <w:rFonts w:ascii="標楷體" w:eastAsia="標楷體" w:hAnsi="標楷體" w:cs="細明體" w:hint="eastAsia"/>
                <w:kern w:val="0"/>
                <w:szCs w:val="24"/>
              </w:rPr>
              <w:t>編製經會計師</w:t>
            </w:r>
            <w:proofErr w:type="gramEnd"/>
            <w:r w:rsidRPr="00F12176">
              <w:rPr>
                <w:rFonts w:ascii="標楷體" w:eastAsia="標楷體" w:hAnsi="標楷體" w:cs="細明體" w:hint="eastAsia"/>
                <w:kern w:val="0"/>
                <w:szCs w:val="24"/>
              </w:rPr>
              <w:t>查核簽證之最近期年度合併財務報告或經會計師核閱之半年度合併財務報告為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（五）</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樣期間：以審核日（含）前九十</w:t>
            </w:r>
            <w:proofErr w:type="gramStart"/>
            <w:r w:rsidRPr="00F12176">
              <w:rPr>
                <w:rFonts w:ascii="標楷體" w:eastAsia="標楷體" w:hAnsi="標楷體" w:cs="細明體" w:hint="eastAsia"/>
                <w:kern w:val="0"/>
                <w:szCs w:val="24"/>
              </w:rPr>
              <w:t>個</w:t>
            </w:r>
            <w:proofErr w:type="gramEnd"/>
            <w:r w:rsidRPr="00F12176">
              <w:rPr>
                <w:rFonts w:ascii="標楷體" w:eastAsia="標楷體" w:hAnsi="標楷體" w:cs="細明體" w:hint="eastAsia"/>
                <w:kern w:val="0"/>
                <w:szCs w:val="24"/>
              </w:rPr>
              <w:t>營業日為</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w:t>
            </w:r>
            <w:proofErr w:type="gramStart"/>
            <w:r w:rsidRPr="00F12176">
              <w:rPr>
                <w:rFonts w:ascii="標楷體" w:eastAsia="標楷體" w:hAnsi="標楷體" w:cs="細明體" w:hint="eastAsia"/>
                <w:kern w:val="0"/>
                <w:szCs w:val="24"/>
              </w:rPr>
              <w:t>期間，</w:t>
            </w:r>
            <w:proofErr w:type="gramEnd"/>
            <w:r w:rsidRPr="00F12176">
              <w:rPr>
                <w:rFonts w:ascii="標楷體" w:eastAsia="標楷體" w:hAnsi="標楷體" w:cs="細明體" w:hint="eastAsia"/>
                <w:kern w:val="0"/>
                <w:szCs w:val="24"/>
              </w:rPr>
              <w:t>作為計算資料擷取之期間。</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（六）</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樣證券：以非屬變更交易方法之上市普通股股票、臺灣存託憑證及受益憑證為</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樣證券，作為與標的證券比較之基準。</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720" w:hangingChars="300" w:hanging="720"/>
              <w:rPr>
                <w:rFonts w:ascii="標楷體" w:eastAsia="標楷體" w:hAnsi="標楷體" w:cs="細明體"/>
                <w:kern w:val="0"/>
                <w:szCs w:val="24"/>
              </w:rPr>
            </w:pPr>
            <w:r w:rsidRPr="00F12176">
              <w:rPr>
                <w:rFonts w:ascii="標楷體" w:eastAsia="標楷體" w:hAnsi="標楷體" w:cs="細明體" w:hint="eastAsia"/>
                <w:kern w:val="0"/>
                <w:szCs w:val="24"/>
              </w:rPr>
              <w:t>（七）漲跌幅度：指標的</w:t>
            </w:r>
            <w:r w:rsidRPr="00F12176">
              <w:rPr>
                <w:rFonts w:ascii="標楷體" w:eastAsia="標楷體" w:hAnsi="標楷體" w:cs="細明體" w:hint="eastAsia"/>
                <w:kern w:val="0"/>
                <w:szCs w:val="24"/>
              </w:rPr>
              <w:lastRenderedPageBreak/>
              <w:t>證券、</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樣證券或同產業證券計算</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樣期間其每日漲跌幅（絕對值）之平均值。</w:t>
            </w:r>
          </w:p>
          <w:p w:rsidR="0043474C" w:rsidRPr="00F12176" w:rsidRDefault="0043474C"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（八）差價比率：指標的證券、</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樣證券或同產業證券計算</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樣期間其</w:t>
            </w:r>
            <w:proofErr w:type="gramStart"/>
            <w:r w:rsidRPr="00F12176">
              <w:rPr>
                <w:rFonts w:ascii="標楷體" w:eastAsia="標楷體" w:hAnsi="標楷體" w:cs="細明體" w:hint="eastAsia"/>
                <w:kern w:val="0"/>
                <w:szCs w:val="24"/>
              </w:rPr>
              <w:t>最</w:t>
            </w:r>
            <w:proofErr w:type="gramEnd"/>
            <w:r w:rsidRPr="00F12176">
              <w:rPr>
                <w:rFonts w:ascii="標楷體" w:eastAsia="標楷體" w:hAnsi="標楷體" w:cs="細明體" w:hint="eastAsia"/>
                <w:kern w:val="0"/>
                <w:szCs w:val="24"/>
              </w:rPr>
              <w:t>高價與最低價之差價對其平均價之比率。</w:t>
            </w:r>
          </w:p>
          <w:p w:rsidR="008C38C4" w:rsidRPr="00F12176" w:rsidRDefault="008C38C4" w:rsidP="00D70260">
            <w:pPr>
              <w:spacing w:line="400" w:lineRule="exact"/>
              <w:jc w:val="both"/>
              <w:rPr>
                <w:rFonts w:ascii="標楷體" w:eastAsia="標楷體" w:hAnsi="標楷體" w:cs="細明體"/>
                <w:kern w:val="0"/>
                <w:szCs w:val="24"/>
              </w:rPr>
            </w:pPr>
          </w:p>
        </w:tc>
        <w:tc>
          <w:tcPr>
            <w:tcW w:w="2787" w:type="dxa"/>
          </w:tcPr>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360" w:hangingChars="150" w:hanging="360"/>
              <w:rPr>
                <w:rFonts w:ascii="標楷體" w:eastAsia="標楷體" w:hAnsi="標楷體" w:cs="細明體"/>
                <w:kern w:val="0"/>
                <w:szCs w:val="24"/>
              </w:rPr>
            </w:pPr>
            <w:r w:rsidRPr="00F12176">
              <w:rPr>
                <w:rFonts w:ascii="標楷體" w:eastAsia="標楷體" w:hAnsi="標楷體" w:cs="細明體" w:hint="eastAsia"/>
                <w:kern w:val="0"/>
                <w:szCs w:val="24"/>
              </w:rPr>
              <w:lastRenderedPageBreak/>
              <w:t>二、本具體認定標準及作業程序所使用名詞定義如下：</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rPr>
                <w:rFonts w:ascii="標楷體" w:eastAsia="標楷體" w:hAnsi="標楷體" w:cs="細明體"/>
                <w:kern w:val="0"/>
                <w:szCs w:val="24"/>
              </w:rPr>
            </w:pPr>
            <w:r w:rsidRPr="00F12176">
              <w:rPr>
                <w:rFonts w:ascii="標楷體" w:eastAsia="標楷體" w:hAnsi="標楷體" w:cs="細明體" w:hint="eastAsia"/>
                <w:kern w:val="0"/>
                <w:szCs w:val="24"/>
              </w:rPr>
              <w:t>（一）標的證券：</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1.上市滿六個月且每股淨值在票面以上之普通股股票。但第一上市公司無面額或每股面額非屬新臺幣十元者，為上市滿六個月且財務報告顯示無累積虧損。</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2.上市滿六個月且財務報告顯示無累積虧損之臺灣存託憑證。</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Chars="100" w:left="480" w:hangingChars="100" w:hanging="240"/>
              <w:rPr>
                <w:rFonts w:ascii="標楷體" w:eastAsia="標楷體" w:hAnsi="標楷體" w:cs="細明體"/>
                <w:kern w:val="0"/>
                <w:szCs w:val="24"/>
              </w:rPr>
            </w:pPr>
            <w:r w:rsidRPr="00F12176">
              <w:rPr>
                <w:rFonts w:ascii="標楷體" w:eastAsia="標楷體" w:hAnsi="標楷體" w:cs="細明體" w:hint="eastAsia"/>
                <w:kern w:val="0"/>
                <w:szCs w:val="24"/>
              </w:rPr>
              <w:t>3.上市滿六個月之受益憑證。但指數股票型證券投資信託基金受益憑證（以下簡稱指數股票型基金受益憑證）、境外指數股票型基金受益憑證及指數股票型期貨信託基金受益憑證得不受上市滿六個月之限制。</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（二）審核日：標的證券上市滿六個月當日為審核日，</w:t>
            </w:r>
            <w:proofErr w:type="gramStart"/>
            <w:r w:rsidRPr="00F12176">
              <w:rPr>
                <w:rFonts w:ascii="標楷體" w:eastAsia="標楷體" w:hAnsi="標楷體" w:cs="細明體" w:hint="eastAsia"/>
                <w:kern w:val="0"/>
                <w:szCs w:val="24"/>
              </w:rPr>
              <w:t>若逢非營業</w:t>
            </w:r>
            <w:proofErr w:type="gramEnd"/>
            <w:r w:rsidRPr="00F12176">
              <w:rPr>
                <w:rFonts w:ascii="標楷體" w:eastAsia="標楷體" w:hAnsi="標楷體" w:cs="細明體" w:hint="eastAsia"/>
                <w:kern w:val="0"/>
                <w:szCs w:val="24"/>
              </w:rPr>
              <w:t>日，則順延至次一營業日。</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（三）每股淨值：以審核</w:t>
            </w:r>
            <w:r w:rsidRPr="00F12176">
              <w:rPr>
                <w:rFonts w:ascii="標楷體" w:eastAsia="標楷體" w:hAnsi="標楷體" w:cs="細明體" w:hint="eastAsia"/>
                <w:kern w:val="0"/>
                <w:szCs w:val="24"/>
              </w:rPr>
              <w:lastRenderedPageBreak/>
              <w:t>日當時可取得之最近</w:t>
            </w:r>
            <w:proofErr w:type="gramStart"/>
            <w:r w:rsidRPr="00F12176">
              <w:rPr>
                <w:rFonts w:ascii="標楷體" w:eastAsia="標楷體" w:hAnsi="標楷體" w:cs="細明體" w:hint="eastAsia"/>
                <w:kern w:val="0"/>
                <w:szCs w:val="24"/>
              </w:rPr>
              <w:t>一</w:t>
            </w:r>
            <w:proofErr w:type="gramEnd"/>
            <w:r w:rsidRPr="00F12176">
              <w:rPr>
                <w:rFonts w:ascii="標楷體" w:eastAsia="標楷體" w:hAnsi="標楷體" w:cs="細明體" w:hint="eastAsia"/>
                <w:kern w:val="0"/>
                <w:szCs w:val="24"/>
              </w:rPr>
              <w:t>年度經公告並申報之財務報告資產負債表中，歸屬於母公司業主之權益為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（四）累積虧損：第一上市公司無面額或每股面額非屬新臺幣十元者，以審核日當時可取得之依規定公告申報且經會計師查核簽證之最近一個會計年度財務報告為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；臺灣存託憑證以審核日當時可取得之依所屬國法令所</w:t>
            </w:r>
            <w:proofErr w:type="gramStart"/>
            <w:r w:rsidRPr="00F12176">
              <w:rPr>
                <w:rFonts w:ascii="標楷體" w:eastAsia="標楷體" w:hAnsi="標楷體" w:cs="細明體" w:hint="eastAsia"/>
                <w:kern w:val="0"/>
                <w:szCs w:val="24"/>
              </w:rPr>
              <w:t>編製經會計師</w:t>
            </w:r>
            <w:proofErr w:type="gramEnd"/>
            <w:r w:rsidRPr="00F12176">
              <w:rPr>
                <w:rFonts w:ascii="標楷體" w:eastAsia="標楷體" w:hAnsi="標楷體" w:cs="細明體" w:hint="eastAsia"/>
                <w:kern w:val="0"/>
                <w:szCs w:val="24"/>
              </w:rPr>
              <w:t>查核簽證之最近期年度合併財務報告或經會計師核閱之半年度合併財務報告為</w:t>
            </w:r>
            <w:proofErr w:type="gramStart"/>
            <w:r w:rsidRPr="00F12176">
              <w:rPr>
                <w:rFonts w:ascii="標楷體" w:eastAsia="標楷體" w:hAnsi="標楷體" w:cs="細明體" w:hint="eastAsia"/>
                <w:kern w:val="0"/>
                <w:szCs w:val="24"/>
              </w:rPr>
              <w:t>準</w:t>
            </w:r>
            <w:proofErr w:type="gramEnd"/>
            <w:r w:rsidRPr="00F12176">
              <w:rPr>
                <w:rFonts w:ascii="標楷體" w:eastAsia="標楷體" w:hAnsi="標楷體" w:cs="細明體" w:hint="eastAsia"/>
                <w:kern w:val="0"/>
                <w:szCs w:val="24"/>
              </w:rPr>
              <w:t>。</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（五）</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樣期間：以審核日（含）前九十</w:t>
            </w:r>
            <w:proofErr w:type="gramStart"/>
            <w:r w:rsidRPr="00F12176">
              <w:rPr>
                <w:rFonts w:ascii="標楷體" w:eastAsia="標楷體" w:hAnsi="標楷體" w:cs="細明體" w:hint="eastAsia"/>
                <w:kern w:val="0"/>
                <w:szCs w:val="24"/>
              </w:rPr>
              <w:t>個</w:t>
            </w:r>
            <w:proofErr w:type="gramEnd"/>
            <w:r w:rsidRPr="00F12176">
              <w:rPr>
                <w:rFonts w:ascii="標楷體" w:eastAsia="標楷體" w:hAnsi="標楷體" w:cs="細明體" w:hint="eastAsia"/>
                <w:kern w:val="0"/>
                <w:szCs w:val="24"/>
              </w:rPr>
              <w:t>營業日為</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w:t>
            </w:r>
            <w:proofErr w:type="gramStart"/>
            <w:r w:rsidRPr="00F12176">
              <w:rPr>
                <w:rFonts w:ascii="標楷體" w:eastAsia="標楷體" w:hAnsi="標楷體" w:cs="細明體" w:hint="eastAsia"/>
                <w:kern w:val="0"/>
                <w:szCs w:val="24"/>
              </w:rPr>
              <w:t>期間，</w:t>
            </w:r>
            <w:proofErr w:type="gramEnd"/>
            <w:r w:rsidRPr="00F12176">
              <w:rPr>
                <w:rFonts w:ascii="標楷體" w:eastAsia="標楷體" w:hAnsi="標楷體" w:cs="細明體" w:hint="eastAsia"/>
                <w:kern w:val="0"/>
                <w:szCs w:val="24"/>
              </w:rPr>
              <w:t>作為計算資料擷取之期間。</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（六）</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樣證券：以非屬變更交易方法之上市普通股股票、臺灣存託憑證及受益憑證為</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樣證券，作為與標的證券比較之基準。</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720" w:hangingChars="300" w:hanging="720"/>
              <w:rPr>
                <w:rFonts w:ascii="標楷體" w:eastAsia="標楷體" w:hAnsi="標楷體" w:cs="細明體"/>
                <w:kern w:val="0"/>
                <w:szCs w:val="24"/>
              </w:rPr>
            </w:pPr>
            <w:r w:rsidRPr="00F12176">
              <w:rPr>
                <w:rFonts w:ascii="標楷體" w:eastAsia="標楷體" w:hAnsi="標楷體" w:cs="細明體" w:hint="eastAsia"/>
                <w:kern w:val="0"/>
                <w:szCs w:val="24"/>
              </w:rPr>
              <w:t>（七）漲跌幅度：指標的證券、</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樣證券或</w:t>
            </w:r>
            <w:r w:rsidRPr="00F12176">
              <w:rPr>
                <w:rFonts w:ascii="標楷體" w:eastAsia="標楷體" w:hAnsi="標楷體" w:cs="細明體" w:hint="eastAsia"/>
                <w:kern w:val="0"/>
                <w:szCs w:val="24"/>
              </w:rPr>
              <w:lastRenderedPageBreak/>
              <w:t>同產業證券計算</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樣期間其每日漲跌幅（絕對值）之平均值。</w:t>
            </w:r>
          </w:p>
          <w:p w:rsidR="00687790" w:rsidRPr="00F12176" w:rsidRDefault="00687790" w:rsidP="00687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left="600" w:hangingChars="250" w:hanging="600"/>
              <w:rPr>
                <w:rFonts w:ascii="標楷體" w:eastAsia="標楷體" w:hAnsi="標楷體" w:cs="細明體"/>
                <w:kern w:val="0"/>
                <w:szCs w:val="24"/>
              </w:rPr>
            </w:pPr>
            <w:r w:rsidRPr="00F12176">
              <w:rPr>
                <w:rFonts w:ascii="標楷體" w:eastAsia="標楷體" w:hAnsi="標楷體" w:cs="細明體" w:hint="eastAsia"/>
                <w:kern w:val="0"/>
                <w:szCs w:val="24"/>
              </w:rPr>
              <w:t>（八）差價比率：指標的證券、</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樣證券或同產業證券計算</w:t>
            </w:r>
            <w:proofErr w:type="gramStart"/>
            <w:r w:rsidRPr="00F12176">
              <w:rPr>
                <w:rFonts w:ascii="標楷體" w:eastAsia="標楷體" w:hAnsi="標楷體" w:cs="細明體" w:hint="eastAsia"/>
                <w:kern w:val="0"/>
                <w:szCs w:val="24"/>
              </w:rPr>
              <w:t>採</w:t>
            </w:r>
            <w:proofErr w:type="gramEnd"/>
            <w:r w:rsidRPr="00F12176">
              <w:rPr>
                <w:rFonts w:ascii="標楷體" w:eastAsia="標楷體" w:hAnsi="標楷體" w:cs="細明體" w:hint="eastAsia"/>
                <w:kern w:val="0"/>
                <w:szCs w:val="24"/>
              </w:rPr>
              <w:t>樣期間其</w:t>
            </w:r>
            <w:proofErr w:type="gramStart"/>
            <w:r w:rsidRPr="00F12176">
              <w:rPr>
                <w:rFonts w:ascii="標楷體" w:eastAsia="標楷體" w:hAnsi="標楷體" w:cs="細明體" w:hint="eastAsia"/>
                <w:kern w:val="0"/>
                <w:szCs w:val="24"/>
              </w:rPr>
              <w:t>最</w:t>
            </w:r>
            <w:proofErr w:type="gramEnd"/>
            <w:r w:rsidRPr="00F12176">
              <w:rPr>
                <w:rFonts w:ascii="標楷體" w:eastAsia="標楷體" w:hAnsi="標楷體" w:cs="細明體" w:hint="eastAsia"/>
                <w:kern w:val="0"/>
                <w:szCs w:val="24"/>
              </w:rPr>
              <w:t>高價與最低價之差價對其平均價之比率。</w:t>
            </w:r>
          </w:p>
          <w:p w:rsidR="008C38C4" w:rsidRPr="00F12176" w:rsidRDefault="008C38C4" w:rsidP="00D70260">
            <w:pPr>
              <w:spacing w:line="400" w:lineRule="exact"/>
              <w:rPr>
                <w:rFonts w:ascii="標楷體" w:eastAsia="標楷體" w:hAnsi="標楷體"/>
                <w:b/>
                <w:bCs/>
                <w:sz w:val="28"/>
                <w:szCs w:val="28"/>
              </w:rPr>
            </w:pPr>
          </w:p>
        </w:tc>
        <w:tc>
          <w:tcPr>
            <w:tcW w:w="2788" w:type="dxa"/>
          </w:tcPr>
          <w:p w:rsidR="008C38C4" w:rsidRPr="00F12176" w:rsidRDefault="00687790" w:rsidP="00953E1E">
            <w:pPr>
              <w:pStyle w:val="aa"/>
              <w:kinsoku w:val="0"/>
              <w:overflowPunct w:val="0"/>
              <w:autoSpaceDE w:val="0"/>
              <w:autoSpaceDN w:val="0"/>
              <w:adjustRightInd w:val="0"/>
              <w:snapToGrid w:val="0"/>
              <w:rPr>
                <w:rFonts w:cs="細明體"/>
              </w:rPr>
            </w:pPr>
            <w:r w:rsidRPr="00F12176">
              <w:rPr>
                <w:rFonts w:cs="細明體" w:hint="eastAsia"/>
              </w:rPr>
              <w:lastRenderedPageBreak/>
              <w:t>因應開放</w:t>
            </w:r>
            <w:r w:rsidR="007A7E6F" w:rsidRPr="00F12176">
              <w:rPr>
                <w:rFonts w:cs="細明體" w:hint="eastAsia"/>
              </w:rPr>
              <w:t>外幣買賣之指數股票型基金受益憑證</w:t>
            </w:r>
            <w:r w:rsidR="00E36AC1" w:rsidRPr="00F12176">
              <w:rPr>
                <w:rFonts w:cs="細明體" w:hint="eastAsia"/>
              </w:rPr>
              <w:t>掛牌交易</w:t>
            </w:r>
            <w:r w:rsidRPr="00F12176">
              <w:rPr>
                <w:rFonts w:cs="細明體" w:hint="eastAsia"/>
              </w:rPr>
              <w:t>，</w:t>
            </w:r>
            <w:proofErr w:type="gramStart"/>
            <w:r w:rsidR="00DA3177" w:rsidRPr="00F12176">
              <w:rPr>
                <w:rFonts w:cs="細明體" w:hint="eastAsia"/>
              </w:rPr>
              <w:t>爰</w:t>
            </w:r>
            <w:proofErr w:type="gramEnd"/>
            <w:r w:rsidRPr="00F12176">
              <w:rPr>
                <w:rFonts w:cs="細明體" w:hint="eastAsia"/>
              </w:rPr>
              <w:t>增訂</w:t>
            </w:r>
            <w:r w:rsidR="00332E17" w:rsidRPr="00F12176">
              <w:rPr>
                <w:rFonts w:cs="細明體" w:hint="eastAsia"/>
              </w:rPr>
              <w:t>該</w:t>
            </w:r>
            <w:r w:rsidR="00953E1E" w:rsidRPr="00F12176">
              <w:rPr>
                <w:rFonts w:cs="細明體" w:hint="eastAsia"/>
              </w:rPr>
              <w:t>種證券</w:t>
            </w:r>
            <w:r w:rsidRPr="00F12176">
              <w:rPr>
                <w:rFonts w:cs="細明體" w:hint="eastAsia"/>
              </w:rPr>
              <w:t>不得融資融券交易</w:t>
            </w:r>
            <w:r w:rsidR="00DA3177" w:rsidRPr="00F12176">
              <w:rPr>
                <w:rFonts w:cs="細明體" w:hint="eastAsia"/>
              </w:rPr>
              <w:t>，修正第二條（一）3</w:t>
            </w:r>
            <w:r w:rsidRPr="00F12176">
              <w:rPr>
                <w:rFonts w:cs="細明體" w:hint="eastAsia"/>
              </w:rPr>
              <w:t>。</w:t>
            </w:r>
          </w:p>
        </w:tc>
      </w:tr>
    </w:tbl>
    <w:p w:rsidR="008C38C4" w:rsidRPr="00F12176" w:rsidRDefault="008C38C4" w:rsidP="002E74D8">
      <w:pPr>
        <w:spacing w:line="400" w:lineRule="exact"/>
        <w:jc w:val="center"/>
        <w:rPr>
          <w:rFonts w:ascii="標楷體" w:eastAsia="標楷體" w:hAnsi="標楷體"/>
          <w:b/>
          <w:bCs/>
          <w:sz w:val="28"/>
          <w:szCs w:val="28"/>
        </w:rPr>
      </w:pPr>
    </w:p>
    <w:p w:rsidR="008C38C4" w:rsidRPr="00F12176" w:rsidRDefault="008C38C4" w:rsidP="002E74D8">
      <w:pPr>
        <w:spacing w:line="400" w:lineRule="exact"/>
        <w:jc w:val="center"/>
        <w:rPr>
          <w:rFonts w:ascii="標楷體" w:eastAsia="標楷體" w:hAnsi="標楷體"/>
          <w:b/>
          <w:bCs/>
          <w:sz w:val="28"/>
          <w:szCs w:val="28"/>
        </w:rPr>
      </w:pPr>
    </w:p>
    <w:p w:rsidR="002E74D8" w:rsidRPr="00F12176" w:rsidRDefault="002E74D8">
      <w:pPr>
        <w:rPr>
          <w:sz w:val="22"/>
        </w:rPr>
      </w:pPr>
    </w:p>
    <w:sectPr w:rsidR="002E74D8" w:rsidRPr="00F12176" w:rsidSect="005C6710">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69" w:rsidRDefault="00D31B69" w:rsidP="00133EEC">
      <w:r>
        <w:separator/>
      </w:r>
    </w:p>
  </w:endnote>
  <w:endnote w:type="continuationSeparator" w:id="0">
    <w:p w:rsidR="00D31B69" w:rsidRDefault="00D31B69" w:rsidP="0013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085"/>
      <w:docPartObj>
        <w:docPartGallery w:val="Page Numbers (Bottom of Page)"/>
        <w:docPartUnique/>
      </w:docPartObj>
    </w:sdtPr>
    <w:sdtContent>
      <w:p w:rsidR="009642AC" w:rsidRDefault="00BF2B8C">
        <w:pPr>
          <w:pStyle w:val="a8"/>
          <w:jc w:val="right"/>
        </w:pPr>
        <w:fldSimple w:instr=" PAGE   \* MERGEFORMAT ">
          <w:r w:rsidR="004821D7" w:rsidRPr="004821D7">
            <w:rPr>
              <w:noProof/>
              <w:lang w:val="zh-TW"/>
            </w:rPr>
            <w:t>3</w:t>
          </w:r>
        </w:fldSimple>
      </w:p>
    </w:sdtContent>
  </w:sdt>
  <w:p w:rsidR="009642AC" w:rsidRDefault="009642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69" w:rsidRDefault="00D31B69" w:rsidP="00133EEC">
      <w:r>
        <w:separator/>
      </w:r>
    </w:p>
  </w:footnote>
  <w:footnote w:type="continuationSeparator" w:id="0">
    <w:p w:rsidR="00D31B69" w:rsidRDefault="00D31B69" w:rsidP="0013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66D"/>
    <w:multiLevelType w:val="hybridMultilevel"/>
    <w:tmpl w:val="C5F8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AC2"/>
    <w:rsid w:val="00001084"/>
    <w:rsid w:val="000023A7"/>
    <w:rsid w:val="00010F39"/>
    <w:rsid w:val="00013F60"/>
    <w:rsid w:val="00014904"/>
    <w:rsid w:val="000172A4"/>
    <w:rsid w:val="00020786"/>
    <w:rsid w:val="00020D81"/>
    <w:rsid w:val="00026046"/>
    <w:rsid w:val="00032168"/>
    <w:rsid w:val="00035EC2"/>
    <w:rsid w:val="000406B7"/>
    <w:rsid w:val="00041360"/>
    <w:rsid w:val="000427BD"/>
    <w:rsid w:val="00046CD3"/>
    <w:rsid w:val="00047154"/>
    <w:rsid w:val="00047398"/>
    <w:rsid w:val="00050B11"/>
    <w:rsid w:val="000551A7"/>
    <w:rsid w:val="00057BBC"/>
    <w:rsid w:val="0006069C"/>
    <w:rsid w:val="00062778"/>
    <w:rsid w:val="00064887"/>
    <w:rsid w:val="00064E06"/>
    <w:rsid w:val="000664BE"/>
    <w:rsid w:val="0006652B"/>
    <w:rsid w:val="00066AB3"/>
    <w:rsid w:val="000672A1"/>
    <w:rsid w:val="00072907"/>
    <w:rsid w:val="00073476"/>
    <w:rsid w:val="00073E30"/>
    <w:rsid w:val="00074AAD"/>
    <w:rsid w:val="0007578B"/>
    <w:rsid w:val="000768D7"/>
    <w:rsid w:val="000814D9"/>
    <w:rsid w:val="00082D9D"/>
    <w:rsid w:val="00083818"/>
    <w:rsid w:val="00083BD8"/>
    <w:rsid w:val="00092A2A"/>
    <w:rsid w:val="00095A40"/>
    <w:rsid w:val="00097A15"/>
    <w:rsid w:val="000A144F"/>
    <w:rsid w:val="000A1ABA"/>
    <w:rsid w:val="000A302E"/>
    <w:rsid w:val="000A4234"/>
    <w:rsid w:val="000A597E"/>
    <w:rsid w:val="000A6823"/>
    <w:rsid w:val="000A7815"/>
    <w:rsid w:val="000B009D"/>
    <w:rsid w:val="000C0159"/>
    <w:rsid w:val="000C03F4"/>
    <w:rsid w:val="000D1F5F"/>
    <w:rsid w:val="000D355C"/>
    <w:rsid w:val="000D5712"/>
    <w:rsid w:val="000E0403"/>
    <w:rsid w:val="000E2470"/>
    <w:rsid w:val="000E3E2D"/>
    <w:rsid w:val="000E4679"/>
    <w:rsid w:val="000E46FC"/>
    <w:rsid w:val="000E7D6E"/>
    <w:rsid w:val="000F18EB"/>
    <w:rsid w:val="000F6A5F"/>
    <w:rsid w:val="000F7F29"/>
    <w:rsid w:val="00111122"/>
    <w:rsid w:val="0011174A"/>
    <w:rsid w:val="00111CAA"/>
    <w:rsid w:val="00117D76"/>
    <w:rsid w:val="00126C5A"/>
    <w:rsid w:val="001301CB"/>
    <w:rsid w:val="00131BF9"/>
    <w:rsid w:val="001327DF"/>
    <w:rsid w:val="00133EEC"/>
    <w:rsid w:val="00137FE2"/>
    <w:rsid w:val="00140D90"/>
    <w:rsid w:val="0014186F"/>
    <w:rsid w:val="00142A06"/>
    <w:rsid w:val="001527D0"/>
    <w:rsid w:val="00152A02"/>
    <w:rsid w:val="0016155A"/>
    <w:rsid w:val="001619A0"/>
    <w:rsid w:val="001629CF"/>
    <w:rsid w:val="00172A8D"/>
    <w:rsid w:val="00175A8F"/>
    <w:rsid w:val="0017633D"/>
    <w:rsid w:val="00180D39"/>
    <w:rsid w:val="00192461"/>
    <w:rsid w:val="00197FC1"/>
    <w:rsid w:val="001A0171"/>
    <w:rsid w:val="001A045C"/>
    <w:rsid w:val="001A0A31"/>
    <w:rsid w:val="001A2DDF"/>
    <w:rsid w:val="001A3878"/>
    <w:rsid w:val="001A3F9C"/>
    <w:rsid w:val="001A526D"/>
    <w:rsid w:val="001A6922"/>
    <w:rsid w:val="001B1106"/>
    <w:rsid w:val="001B1E21"/>
    <w:rsid w:val="001B1E9E"/>
    <w:rsid w:val="001B3C27"/>
    <w:rsid w:val="001B7C41"/>
    <w:rsid w:val="001C3068"/>
    <w:rsid w:val="001C34FE"/>
    <w:rsid w:val="001C3D8D"/>
    <w:rsid w:val="001C47DB"/>
    <w:rsid w:val="001C5170"/>
    <w:rsid w:val="001D2808"/>
    <w:rsid w:val="001D7520"/>
    <w:rsid w:val="001E2457"/>
    <w:rsid w:val="001E3D4B"/>
    <w:rsid w:val="001F19FF"/>
    <w:rsid w:val="001F202B"/>
    <w:rsid w:val="001F38A1"/>
    <w:rsid w:val="001F3AE2"/>
    <w:rsid w:val="001F7012"/>
    <w:rsid w:val="001F73B4"/>
    <w:rsid w:val="0020095B"/>
    <w:rsid w:val="00202C35"/>
    <w:rsid w:val="00202D96"/>
    <w:rsid w:val="00204303"/>
    <w:rsid w:val="00207D07"/>
    <w:rsid w:val="00214BB6"/>
    <w:rsid w:val="00221704"/>
    <w:rsid w:val="00222950"/>
    <w:rsid w:val="00226BB4"/>
    <w:rsid w:val="0022705B"/>
    <w:rsid w:val="00227A49"/>
    <w:rsid w:val="00232ED7"/>
    <w:rsid w:val="0023362E"/>
    <w:rsid w:val="00234B20"/>
    <w:rsid w:val="00235DDD"/>
    <w:rsid w:val="002367EB"/>
    <w:rsid w:val="00236D45"/>
    <w:rsid w:val="00244A74"/>
    <w:rsid w:val="0024707C"/>
    <w:rsid w:val="002510CC"/>
    <w:rsid w:val="00252D47"/>
    <w:rsid w:val="0025312C"/>
    <w:rsid w:val="002537BC"/>
    <w:rsid w:val="0025607E"/>
    <w:rsid w:val="002575E6"/>
    <w:rsid w:val="002576E7"/>
    <w:rsid w:val="00263477"/>
    <w:rsid w:val="002662A3"/>
    <w:rsid w:val="00266D82"/>
    <w:rsid w:val="002754F4"/>
    <w:rsid w:val="00283399"/>
    <w:rsid w:val="0028501A"/>
    <w:rsid w:val="0028516D"/>
    <w:rsid w:val="00285633"/>
    <w:rsid w:val="00287CC1"/>
    <w:rsid w:val="00295165"/>
    <w:rsid w:val="002956A6"/>
    <w:rsid w:val="00296E74"/>
    <w:rsid w:val="002A033D"/>
    <w:rsid w:val="002A0F86"/>
    <w:rsid w:val="002A3F10"/>
    <w:rsid w:val="002A52BA"/>
    <w:rsid w:val="002B1A5A"/>
    <w:rsid w:val="002B3623"/>
    <w:rsid w:val="002B47F7"/>
    <w:rsid w:val="002B5C73"/>
    <w:rsid w:val="002B6D3E"/>
    <w:rsid w:val="002C301B"/>
    <w:rsid w:val="002D3CE2"/>
    <w:rsid w:val="002D5E3D"/>
    <w:rsid w:val="002E01AC"/>
    <w:rsid w:val="002E34FE"/>
    <w:rsid w:val="002E3AC9"/>
    <w:rsid w:val="002E3DAA"/>
    <w:rsid w:val="002E442C"/>
    <w:rsid w:val="002E74D8"/>
    <w:rsid w:val="00300EF3"/>
    <w:rsid w:val="00301B63"/>
    <w:rsid w:val="0031009A"/>
    <w:rsid w:val="00317412"/>
    <w:rsid w:val="0032230C"/>
    <w:rsid w:val="00325E88"/>
    <w:rsid w:val="00332E17"/>
    <w:rsid w:val="0033308A"/>
    <w:rsid w:val="003415AD"/>
    <w:rsid w:val="00342447"/>
    <w:rsid w:val="00342D3C"/>
    <w:rsid w:val="003445A0"/>
    <w:rsid w:val="003449BB"/>
    <w:rsid w:val="003451C7"/>
    <w:rsid w:val="00347A43"/>
    <w:rsid w:val="003569B7"/>
    <w:rsid w:val="00356C98"/>
    <w:rsid w:val="00357B88"/>
    <w:rsid w:val="00360601"/>
    <w:rsid w:val="003655C9"/>
    <w:rsid w:val="00366D4B"/>
    <w:rsid w:val="00371BBC"/>
    <w:rsid w:val="0037261D"/>
    <w:rsid w:val="0037311D"/>
    <w:rsid w:val="00374BA9"/>
    <w:rsid w:val="00375985"/>
    <w:rsid w:val="00376CC9"/>
    <w:rsid w:val="00377BA4"/>
    <w:rsid w:val="00380CAB"/>
    <w:rsid w:val="00381F9E"/>
    <w:rsid w:val="003864A2"/>
    <w:rsid w:val="003866D7"/>
    <w:rsid w:val="00387717"/>
    <w:rsid w:val="0039093B"/>
    <w:rsid w:val="0039157B"/>
    <w:rsid w:val="00392234"/>
    <w:rsid w:val="003A1C53"/>
    <w:rsid w:val="003A60FB"/>
    <w:rsid w:val="003B2EEA"/>
    <w:rsid w:val="003B2F75"/>
    <w:rsid w:val="003B53B0"/>
    <w:rsid w:val="003C332D"/>
    <w:rsid w:val="003C6D8F"/>
    <w:rsid w:val="003D262D"/>
    <w:rsid w:val="003D5A74"/>
    <w:rsid w:val="003D5E35"/>
    <w:rsid w:val="003D6906"/>
    <w:rsid w:val="003D7D26"/>
    <w:rsid w:val="003E071B"/>
    <w:rsid w:val="003E29E5"/>
    <w:rsid w:val="003E3713"/>
    <w:rsid w:val="003E5640"/>
    <w:rsid w:val="003F4EFF"/>
    <w:rsid w:val="00402017"/>
    <w:rsid w:val="004028CD"/>
    <w:rsid w:val="00403190"/>
    <w:rsid w:val="00404271"/>
    <w:rsid w:val="00405700"/>
    <w:rsid w:val="0041053A"/>
    <w:rsid w:val="00410F68"/>
    <w:rsid w:val="004166FA"/>
    <w:rsid w:val="004175A4"/>
    <w:rsid w:val="00421ED4"/>
    <w:rsid w:val="00422CBB"/>
    <w:rsid w:val="00425EE1"/>
    <w:rsid w:val="0043021D"/>
    <w:rsid w:val="004308B1"/>
    <w:rsid w:val="00432A38"/>
    <w:rsid w:val="0043474C"/>
    <w:rsid w:val="00435AC2"/>
    <w:rsid w:val="00436DEB"/>
    <w:rsid w:val="00443025"/>
    <w:rsid w:val="004529E0"/>
    <w:rsid w:val="0045544A"/>
    <w:rsid w:val="00457235"/>
    <w:rsid w:val="004630CF"/>
    <w:rsid w:val="004669EB"/>
    <w:rsid w:val="004677CE"/>
    <w:rsid w:val="0047010D"/>
    <w:rsid w:val="004713DB"/>
    <w:rsid w:val="00472DE7"/>
    <w:rsid w:val="00475BFA"/>
    <w:rsid w:val="004821D7"/>
    <w:rsid w:val="004837B7"/>
    <w:rsid w:val="0048383C"/>
    <w:rsid w:val="00490A1A"/>
    <w:rsid w:val="00491E0A"/>
    <w:rsid w:val="00492416"/>
    <w:rsid w:val="00493FEE"/>
    <w:rsid w:val="00494D9F"/>
    <w:rsid w:val="004956C1"/>
    <w:rsid w:val="00497468"/>
    <w:rsid w:val="004A303F"/>
    <w:rsid w:val="004B0882"/>
    <w:rsid w:val="004B2011"/>
    <w:rsid w:val="004C2A0E"/>
    <w:rsid w:val="004D3A6C"/>
    <w:rsid w:val="004D6364"/>
    <w:rsid w:val="004E3A09"/>
    <w:rsid w:val="004E4286"/>
    <w:rsid w:val="004E5106"/>
    <w:rsid w:val="004E7DF6"/>
    <w:rsid w:val="004F2561"/>
    <w:rsid w:val="004F37EF"/>
    <w:rsid w:val="004F44B4"/>
    <w:rsid w:val="004F6EF3"/>
    <w:rsid w:val="005058C5"/>
    <w:rsid w:val="00510BF7"/>
    <w:rsid w:val="00513471"/>
    <w:rsid w:val="00522DB8"/>
    <w:rsid w:val="00523209"/>
    <w:rsid w:val="00523259"/>
    <w:rsid w:val="00525A65"/>
    <w:rsid w:val="005263A7"/>
    <w:rsid w:val="00533451"/>
    <w:rsid w:val="00534488"/>
    <w:rsid w:val="005416F7"/>
    <w:rsid w:val="005419B0"/>
    <w:rsid w:val="00544836"/>
    <w:rsid w:val="005470AB"/>
    <w:rsid w:val="0055075F"/>
    <w:rsid w:val="00554E46"/>
    <w:rsid w:val="005559CD"/>
    <w:rsid w:val="00555FB8"/>
    <w:rsid w:val="005563EF"/>
    <w:rsid w:val="0056327F"/>
    <w:rsid w:val="00566B72"/>
    <w:rsid w:val="00567127"/>
    <w:rsid w:val="00570AFD"/>
    <w:rsid w:val="00573150"/>
    <w:rsid w:val="00580330"/>
    <w:rsid w:val="0058402B"/>
    <w:rsid w:val="005847D8"/>
    <w:rsid w:val="00586CD3"/>
    <w:rsid w:val="00587830"/>
    <w:rsid w:val="00590E42"/>
    <w:rsid w:val="00591C0D"/>
    <w:rsid w:val="005A308A"/>
    <w:rsid w:val="005A5BDE"/>
    <w:rsid w:val="005B029E"/>
    <w:rsid w:val="005B3671"/>
    <w:rsid w:val="005B5AD5"/>
    <w:rsid w:val="005B7A05"/>
    <w:rsid w:val="005C3A46"/>
    <w:rsid w:val="005C6710"/>
    <w:rsid w:val="005D05CA"/>
    <w:rsid w:val="005D1672"/>
    <w:rsid w:val="005D21DC"/>
    <w:rsid w:val="005D4BCC"/>
    <w:rsid w:val="005D7991"/>
    <w:rsid w:val="005E0388"/>
    <w:rsid w:val="005E1876"/>
    <w:rsid w:val="005E19D6"/>
    <w:rsid w:val="005E2468"/>
    <w:rsid w:val="005E681E"/>
    <w:rsid w:val="005E6FE3"/>
    <w:rsid w:val="005F0B3B"/>
    <w:rsid w:val="005F57A6"/>
    <w:rsid w:val="00600590"/>
    <w:rsid w:val="00601C6B"/>
    <w:rsid w:val="0060231E"/>
    <w:rsid w:val="00602DFF"/>
    <w:rsid w:val="00605D41"/>
    <w:rsid w:val="00607405"/>
    <w:rsid w:val="006124F0"/>
    <w:rsid w:val="00615DAD"/>
    <w:rsid w:val="006164E5"/>
    <w:rsid w:val="00616E58"/>
    <w:rsid w:val="0062391C"/>
    <w:rsid w:val="00626324"/>
    <w:rsid w:val="00630143"/>
    <w:rsid w:val="006327DA"/>
    <w:rsid w:val="00637BB6"/>
    <w:rsid w:val="00640F22"/>
    <w:rsid w:val="00642E96"/>
    <w:rsid w:val="0064542A"/>
    <w:rsid w:val="00645C70"/>
    <w:rsid w:val="006514F1"/>
    <w:rsid w:val="00654143"/>
    <w:rsid w:val="006635D9"/>
    <w:rsid w:val="0066696F"/>
    <w:rsid w:val="00671FE6"/>
    <w:rsid w:val="00672438"/>
    <w:rsid w:val="00672697"/>
    <w:rsid w:val="00673722"/>
    <w:rsid w:val="00674B12"/>
    <w:rsid w:val="006865F5"/>
    <w:rsid w:val="006874C8"/>
    <w:rsid w:val="00687790"/>
    <w:rsid w:val="00692B48"/>
    <w:rsid w:val="00695A36"/>
    <w:rsid w:val="00696EF2"/>
    <w:rsid w:val="006A0424"/>
    <w:rsid w:val="006A057E"/>
    <w:rsid w:val="006A07CF"/>
    <w:rsid w:val="006A4DE0"/>
    <w:rsid w:val="006A60C6"/>
    <w:rsid w:val="006A7D0D"/>
    <w:rsid w:val="006C0BEB"/>
    <w:rsid w:val="006C3746"/>
    <w:rsid w:val="006C43E5"/>
    <w:rsid w:val="006D3144"/>
    <w:rsid w:val="006D3439"/>
    <w:rsid w:val="006E2FB4"/>
    <w:rsid w:val="006E6C5B"/>
    <w:rsid w:val="006E6F10"/>
    <w:rsid w:val="006F0423"/>
    <w:rsid w:val="006F2F4A"/>
    <w:rsid w:val="006F35F7"/>
    <w:rsid w:val="006F4CFC"/>
    <w:rsid w:val="00700776"/>
    <w:rsid w:val="0070089A"/>
    <w:rsid w:val="00702266"/>
    <w:rsid w:val="00702567"/>
    <w:rsid w:val="00702691"/>
    <w:rsid w:val="00702B42"/>
    <w:rsid w:val="00705FAA"/>
    <w:rsid w:val="0070683B"/>
    <w:rsid w:val="00714B04"/>
    <w:rsid w:val="007211BF"/>
    <w:rsid w:val="00723F19"/>
    <w:rsid w:val="00726485"/>
    <w:rsid w:val="00731D74"/>
    <w:rsid w:val="00736C9C"/>
    <w:rsid w:val="00741971"/>
    <w:rsid w:val="00742259"/>
    <w:rsid w:val="00746739"/>
    <w:rsid w:val="007520C9"/>
    <w:rsid w:val="00752798"/>
    <w:rsid w:val="00752BA7"/>
    <w:rsid w:val="007570F9"/>
    <w:rsid w:val="00762AC2"/>
    <w:rsid w:val="007731F4"/>
    <w:rsid w:val="007803CA"/>
    <w:rsid w:val="00780A48"/>
    <w:rsid w:val="00780FBD"/>
    <w:rsid w:val="00781635"/>
    <w:rsid w:val="007834CA"/>
    <w:rsid w:val="00783544"/>
    <w:rsid w:val="00791109"/>
    <w:rsid w:val="007A05FB"/>
    <w:rsid w:val="007A41ED"/>
    <w:rsid w:val="007A4A81"/>
    <w:rsid w:val="007A5FD2"/>
    <w:rsid w:val="007A7E6F"/>
    <w:rsid w:val="007B1226"/>
    <w:rsid w:val="007B1739"/>
    <w:rsid w:val="007B334C"/>
    <w:rsid w:val="007B36CF"/>
    <w:rsid w:val="007B591F"/>
    <w:rsid w:val="007C2ECD"/>
    <w:rsid w:val="007D236A"/>
    <w:rsid w:val="007D734A"/>
    <w:rsid w:val="007D796A"/>
    <w:rsid w:val="007E0CE1"/>
    <w:rsid w:val="007E108D"/>
    <w:rsid w:val="007E13C9"/>
    <w:rsid w:val="007E1F25"/>
    <w:rsid w:val="007E3782"/>
    <w:rsid w:val="007E6940"/>
    <w:rsid w:val="007F081D"/>
    <w:rsid w:val="007F5BC1"/>
    <w:rsid w:val="007F5BCF"/>
    <w:rsid w:val="007F7AE6"/>
    <w:rsid w:val="00800A09"/>
    <w:rsid w:val="00801ADB"/>
    <w:rsid w:val="00801D37"/>
    <w:rsid w:val="00806FB3"/>
    <w:rsid w:val="00812876"/>
    <w:rsid w:val="0081298E"/>
    <w:rsid w:val="008152A9"/>
    <w:rsid w:val="00816842"/>
    <w:rsid w:val="00822798"/>
    <w:rsid w:val="00824C17"/>
    <w:rsid w:val="00826F05"/>
    <w:rsid w:val="00827B9E"/>
    <w:rsid w:val="0083691B"/>
    <w:rsid w:val="00836F05"/>
    <w:rsid w:val="008432CB"/>
    <w:rsid w:val="0085114B"/>
    <w:rsid w:val="00851486"/>
    <w:rsid w:val="0085156A"/>
    <w:rsid w:val="00851F89"/>
    <w:rsid w:val="0086015D"/>
    <w:rsid w:val="00862734"/>
    <w:rsid w:val="00863028"/>
    <w:rsid w:val="008659E2"/>
    <w:rsid w:val="00873482"/>
    <w:rsid w:val="00875657"/>
    <w:rsid w:val="00875B55"/>
    <w:rsid w:val="0087617D"/>
    <w:rsid w:val="00884F22"/>
    <w:rsid w:val="0088573F"/>
    <w:rsid w:val="00887654"/>
    <w:rsid w:val="008902BE"/>
    <w:rsid w:val="00894A90"/>
    <w:rsid w:val="008957CE"/>
    <w:rsid w:val="00897444"/>
    <w:rsid w:val="008A2507"/>
    <w:rsid w:val="008A2E45"/>
    <w:rsid w:val="008A4325"/>
    <w:rsid w:val="008A4862"/>
    <w:rsid w:val="008A5310"/>
    <w:rsid w:val="008A6078"/>
    <w:rsid w:val="008A659A"/>
    <w:rsid w:val="008A7D3D"/>
    <w:rsid w:val="008B20D9"/>
    <w:rsid w:val="008C2D2B"/>
    <w:rsid w:val="008C38C4"/>
    <w:rsid w:val="008C6F1E"/>
    <w:rsid w:val="008C7329"/>
    <w:rsid w:val="008C7C16"/>
    <w:rsid w:val="008D207F"/>
    <w:rsid w:val="008D2B7B"/>
    <w:rsid w:val="008E2136"/>
    <w:rsid w:val="008E2737"/>
    <w:rsid w:val="008E3530"/>
    <w:rsid w:val="008E3D82"/>
    <w:rsid w:val="008E656A"/>
    <w:rsid w:val="008E6661"/>
    <w:rsid w:val="008E6EF3"/>
    <w:rsid w:val="008F12D0"/>
    <w:rsid w:val="008F33D2"/>
    <w:rsid w:val="008F41BE"/>
    <w:rsid w:val="008F51EB"/>
    <w:rsid w:val="008F7C51"/>
    <w:rsid w:val="00900FC9"/>
    <w:rsid w:val="00904C09"/>
    <w:rsid w:val="00905693"/>
    <w:rsid w:val="00906E5E"/>
    <w:rsid w:val="0091006C"/>
    <w:rsid w:val="00911857"/>
    <w:rsid w:val="00912272"/>
    <w:rsid w:val="009140C3"/>
    <w:rsid w:val="00916BF0"/>
    <w:rsid w:val="00917345"/>
    <w:rsid w:val="00917799"/>
    <w:rsid w:val="00922281"/>
    <w:rsid w:val="009222A5"/>
    <w:rsid w:val="009254AF"/>
    <w:rsid w:val="00925D28"/>
    <w:rsid w:val="00931233"/>
    <w:rsid w:val="00931D07"/>
    <w:rsid w:val="00931DB6"/>
    <w:rsid w:val="0093371E"/>
    <w:rsid w:val="00935DD5"/>
    <w:rsid w:val="00936F19"/>
    <w:rsid w:val="00937012"/>
    <w:rsid w:val="009415FE"/>
    <w:rsid w:val="00944978"/>
    <w:rsid w:val="0095214B"/>
    <w:rsid w:val="00952BA7"/>
    <w:rsid w:val="00953B3F"/>
    <w:rsid w:val="00953E1E"/>
    <w:rsid w:val="00960B21"/>
    <w:rsid w:val="009610BA"/>
    <w:rsid w:val="009613F4"/>
    <w:rsid w:val="009642AC"/>
    <w:rsid w:val="0096760E"/>
    <w:rsid w:val="00970D90"/>
    <w:rsid w:val="0097263F"/>
    <w:rsid w:val="00973BEF"/>
    <w:rsid w:val="00975913"/>
    <w:rsid w:val="00977B60"/>
    <w:rsid w:val="009821FF"/>
    <w:rsid w:val="009900F7"/>
    <w:rsid w:val="0099017B"/>
    <w:rsid w:val="009922FF"/>
    <w:rsid w:val="00993FF3"/>
    <w:rsid w:val="0099521E"/>
    <w:rsid w:val="009957FE"/>
    <w:rsid w:val="00997E6F"/>
    <w:rsid w:val="009A079F"/>
    <w:rsid w:val="009A1338"/>
    <w:rsid w:val="009A74EB"/>
    <w:rsid w:val="009B6D24"/>
    <w:rsid w:val="009B6F1E"/>
    <w:rsid w:val="009B70E1"/>
    <w:rsid w:val="009B7392"/>
    <w:rsid w:val="009C478B"/>
    <w:rsid w:val="009C690E"/>
    <w:rsid w:val="009C7BAF"/>
    <w:rsid w:val="009C7E30"/>
    <w:rsid w:val="009D1441"/>
    <w:rsid w:val="009D2A0A"/>
    <w:rsid w:val="009D3704"/>
    <w:rsid w:val="009E5219"/>
    <w:rsid w:val="009F1927"/>
    <w:rsid w:val="009F2F34"/>
    <w:rsid w:val="009F32C8"/>
    <w:rsid w:val="009F4BB0"/>
    <w:rsid w:val="009F6B17"/>
    <w:rsid w:val="00A02AEE"/>
    <w:rsid w:val="00A14E92"/>
    <w:rsid w:val="00A15151"/>
    <w:rsid w:val="00A210B4"/>
    <w:rsid w:val="00A234BE"/>
    <w:rsid w:val="00A24FE3"/>
    <w:rsid w:val="00A25F46"/>
    <w:rsid w:val="00A30EA4"/>
    <w:rsid w:val="00A32928"/>
    <w:rsid w:val="00A33EB1"/>
    <w:rsid w:val="00A368BF"/>
    <w:rsid w:val="00A40922"/>
    <w:rsid w:val="00A512B4"/>
    <w:rsid w:val="00A51A51"/>
    <w:rsid w:val="00A53E52"/>
    <w:rsid w:val="00A54F05"/>
    <w:rsid w:val="00A552DA"/>
    <w:rsid w:val="00A56746"/>
    <w:rsid w:val="00A6201C"/>
    <w:rsid w:val="00A62FAA"/>
    <w:rsid w:val="00A65F13"/>
    <w:rsid w:val="00A6616D"/>
    <w:rsid w:val="00A72411"/>
    <w:rsid w:val="00A76931"/>
    <w:rsid w:val="00A807FE"/>
    <w:rsid w:val="00A80C46"/>
    <w:rsid w:val="00A825B6"/>
    <w:rsid w:val="00A854D5"/>
    <w:rsid w:val="00A92D17"/>
    <w:rsid w:val="00A9312B"/>
    <w:rsid w:val="00A95780"/>
    <w:rsid w:val="00AA1B12"/>
    <w:rsid w:val="00AA36BE"/>
    <w:rsid w:val="00AA4138"/>
    <w:rsid w:val="00AA7529"/>
    <w:rsid w:val="00AA7E07"/>
    <w:rsid w:val="00AB0045"/>
    <w:rsid w:val="00AB2493"/>
    <w:rsid w:val="00AB2DED"/>
    <w:rsid w:val="00AB39F8"/>
    <w:rsid w:val="00AC2B83"/>
    <w:rsid w:val="00AC64B0"/>
    <w:rsid w:val="00AC654C"/>
    <w:rsid w:val="00AC6F47"/>
    <w:rsid w:val="00AC7BD2"/>
    <w:rsid w:val="00AD4D43"/>
    <w:rsid w:val="00AD75C6"/>
    <w:rsid w:val="00AE6468"/>
    <w:rsid w:val="00AF0B53"/>
    <w:rsid w:val="00AF6558"/>
    <w:rsid w:val="00AF6C32"/>
    <w:rsid w:val="00B02E09"/>
    <w:rsid w:val="00B0484B"/>
    <w:rsid w:val="00B11B68"/>
    <w:rsid w:val="00B11EE1"/>
    <w:rsid w:val="00B12528"/>
    <w:rsid w:val="00B13EE7"/>
    <w:rsid w:val="00B15DEC"/>
    <w:rsid w:val="00B20BB1"/>
    <w:rsid w:val="00B220DC"/>
    <w:rsid w:val="00B23117"/>
    <w:rsid w:val="00B30367"/>
    <w:rsid w:val="00B32225"/>
    <w:rsid w:val="00B33D81"/>
    <w:rsid w:val="00B4150A"/>
    <w:rsid w:val="00B41F50"/>
    <w:rsid w:val="00B43325"/>
    <w:rsid w:val="00B434E3"/>
    <w:rsid w:val="00B52938"/>
    <w:rsid w:val="00B531AF"/>
    <w:rsid w:val="00B533FA"/>
    <w:rsid w:val="00B55AD5"/>
    <w:rsid w:val="00B67A86"/>
    <w:rsid w:val="00B72167"/>
    <w:rsid w:val="00B7675B"/>
    <w:rsid w:val="00B77814"/>
    <w:rsid w:val="00B77F78"/>
    <w:rsid w:val="00B77FD1"/>
    <w:rsid w:val="00B8074E"/>
    <w:rsid w:val="00B8468F"/>
    <w:rsid w:val="00B855C6"/>
    <w:rsid w:val="00B855D1"/>
    <w:rsid w:val="00B85B8C"/>
    <w:rsid w:val="00B923AC"/>
    <w:rsid w:val="00B92857"/>
    <w:rsid w:val="00B9359F"/>
    <w:rsid w:val="00BA09C8"/>
    <w:rsid w:val="00BA29C4"/>
    <w:rsid w:val="00BA4308"/>
    <w:rsid w:val="00BA47EE"/>
    <w:rsid w:val="00BA5003"/>
    <w:rsid w:val="00BA6E12"/>
    <w:rsid w:val="00BB0AD0"/>
    <w:rsid w:val="00BB4324"/>
    <w:rsid w:val="00BB4730"/>
    <w:rsid w:val="00BB510C"/>
    <w:rsid w:val="00BB54D6"/>
    <w:rsid w:val="00BB7CCB"/>
    <w:rsid w:val="00BC1BF6"/>
    <w:rsid w:val="00BC2C5B"/>
    <w:rsid w:val="00BC5104"/>
    <w:rsid w:val="00BD0D0C"/>
    <w:rsid w:val="00BD6670"/>
    <w:rsid w:val="00BD671D"/>
    <w:rsid w:val="00BD6BE8"/>
    <w:rsid w:val="00BE4700"/>
    <w:rsid w:val="00BE684D"/>
    <w:rsid w:val="00BF0699"/>
    <w:rsid w:val="00BF22B0"/>
    <w:rsid w:val="00BF2A29"/>
    <w:rsid w:val="00BF2B8C"/>
    <w:rsid w:val="00BF459B"/>
    <w:rsid w:val="00BF551B"/>
    <w:rsid w:val="00BF73AB"/>
    <w:rsid w:val="00BF7A8A"/>
    <w:rsid w:val="00C00157"/>
    <w:rsid w:val="00C067C8"/>
    <w:rsid w:val="00C158A6"/>
    <w:rsid w:val="00C179F6"/>
    <w:rsid w:val="00C21C48"/>
    <w:rsid w:val="00C34A4D"/>
    <w:rsid w:val="00C34B48"/>
    <w:rsid w:val="00C3567E"/>
    <w:rsid w:val="00C37637"/>
    <w:rsid w:val="00C41E29"/>
    <w:rsid w:val="00C42BCD"/>
    <w:rsid w:val="00C43155"/>
    <w:rsid w:val="00C43793"/>
    <w:rsid w:val="00C43820"/>
    <w:rsid w:val="00C448DC"/>
    <w:rsid w:val="00C5044A"/>
    <w:rsid w:val="00C634FD"/>
    <w:rsid w:val="00C6528E"/>
    <w:rsid w:val="00C65F60"/>
    <w:rsid w:val="00C663F2"/>
    <w:rsid w:val="00C66D2C"/>
    <w:rsid w:val="00C6735D"/>
    <w:rsid w:val="00C76FD6"/>
    <w:rsid w:val="00C80DEF"/>
    <w:rsid w:val="00C82332"/>
    <w:rsid w:val="00C83038"/>
    <w:rsid w:val="00C85BA0"/>
    <w:rsid w:val="00C91954"/>
    <w:rsid w:val="00C9314C"/>
    <w:rsid w:val="00C95F29"/>
    <w:rsid w:val="00CA12FA"/>
    <w:rsid w:val="00CA416A"/>
    <w:rsid w:val="00CA50BE"/>
    <w:rsid w:val="00CB0C21"/>
    <w:rsid w:val="00CD1542"/>
    <w:rsid w:val="00CD5A11"/>
    <w:rsid w:val="00CD5C23"/>
    <w:rsid w:val="00CD62F5"/>
    <w:rsid w:val="00CE00B0"/>
    <w:rsid w:val="00CE3AFF"/>
    <w:rsid w:val="00CF2368"/>
    <w:rsid w:val="00D00476"/>
    <w:rsid w:val="00D0741D"/>
    <w:rsid w:val="00D10230"/>
    <w:rsid w:val="00D11F48"/>
    <w:rsid w:val="00D1639D"/>
    <w:rsid w:val="00D20E27"/>
    <w:rsid w:val="00D21234"/>
    <w:rsid w:val="00D21FC8"/>
    <w:rsid w:val="00D25BF2"/>
    <w:rsid w:val="00D25D30"/>
    <w:rsid w:val="00D26F1A"/>
    <w:rsid w:val="00D31B69"/>
    <w:rsid w:val="00D335C4"/>
    <w:rsid w:val="00D433C8"/>
    <w:rsid w:val="00D45A74"/>
    <w:rsid w:val="00D47DD4"/>
    <w:rsid w:val="00D50095"/>
    <w:rsid w:val="00D54213"/>
    <w:rsid w:val="00D55E1B"/>
    <w:rsid w:val="00D56070"/>
    <w:rsid w:val="00D56E52"/>
    <w:rsid w:val="00D577D7"/>
    <w:rsid w:val="00D57A85"/>
    <w:rsid w:val="00D57DAD"/>
    <w:rsid w:val="00D61A35"/>
    <w:rsid w:val="00D62E90"/>
    <w:rsid w:val="00D65B64"/>
    <w:rsid w:val="00D65E7D"/>
    <w:rsid w:val="00D67482"/>
    <w:rsid w:val="00D70260"/>
    <w:rsid w:val="00D71A36"/>
    <w:rsid w:val="00D7286B"/>
    <w:rsid w:val="00D73DCF"/>
    <w:rsid w:val="00D7414A"/>
    <w:rsid w:val="00D839DB"/>
    <w:rsid w:val="00DA1029"/>
    <w:rsid w:val="00DA1249"/>
    <w:rsid w:val="00DA3177"/>
    <w:rsid w:val="00DA3568"/>
    <w:rsid w:val="00DA466C"/>
    <w:rsid w:val="00DA4D4F"/>
    <w:rsid w:val="00DA6225"/>
    <w:rsid w:val="00DA64C0"/>
    <w:rsid w:val="00DB1B59"/>
    <w:rsid w:val="00DB2262"/>
    <w:rsid w:val="00DB5D5D"/>
    <w:rsid w:val="00DC2ACA"/>
    <w:rsid w:val="00DC3310"/>
    <w:rsid w:val="00DC4EC1"/>
    <w:rsid w:val="00DD00A2"/>
    <w:rsid w:val="00DD5827"/>
    <w:rsid w:val="00DE0D22"/>
    <w:rsid w:val="00DF0436"/>
    <w:rsid w:val="00DF3839"/>
    <w:rsid w:val="00DF3BAB"/>
    <w:rsid w:val="00DF3E31"/>
    <w:rsid w:val="00DF60E1"/>
    <w:rsid w:val="00DF6797"/>
    <w:rsid w:val="00DF6FBE"/>
    <w:rsid w:val="00E002D8"/>
    <w:rsid w:val="00E0050F"/>
    <w:rsid w:val="00E006EF"/>
    <w:rsid w:val="00E008E0"/>
    <w:rsid w:val="00E00D6D"/>
    <w:rsid w:val="00E01AC6"/>
    <w:rsid w:val="00E03DD6"/>
    <w:rsid w:val="00E046D2"/>
    <w:rsid w:val="00E1078B"/>
    <w:rsid w:val="00E12E70"/>
    <w:rsid w:val="00E13DA1"/>
    <w:rsid w:val="00E205E3"/>
    <w:rsid w:val="00E208B5"/>
    <w:rsid w:val="00E222FD"/>
    <w:rsid w:val="00E223C2"/>
    <w:rsid w:val="00E22B5E"/>
    <w:rsid w:val="00E249AC"/>
    <w:rsid w:val="00E3001C"/>
    <w:rsid w:val="00E333A8"/>
    <w:rsid w:val="00E36AC1"/>
    <w:rsid w:val="00E37020"/>
    <w:rsid w:val="00E37145"/>
    <w:rsid w:val="00E44C4B"/>
    <w:rsid w:val="00E50DBD"/>
    <w:rsid w:val="00E53B47"/>
    <w:rsid w:val="00E62639"/>
    <w:rsid w:val="00E63A99"/>
    <w:rsid w:val="00E661D8"/>
    <w:rsid w:val="00E66DB9"/>
    <w:rsid w:val="00E67D8D"/>
    <w:rsid w:val="00E7426B"/>
    <w:rsid w:val="00E9115A"/>
    <w:rsid w:val="00E97CD0"/>
    <w:rsid w:val="00EA3B62"/>
    <w:rsid w:val="00EA46DB"/>
    <w:rsid w:val="00EA4DDB"/>
    <w:rsid w:val="00EA64C4"/>
    <w:rsid w:val="00EB02B8"/>
    <w:rsid w:val="00EB11ED"/>
    <w:rsid w:val="00EB4960"/>
    <w:rsid w:val="00EB5EE9"/>
    <w:rsid w:val="00EB635B"/>
    <w:rsid w:val="00EB691B"/>
    <w:rsid w:val="00EB7F04"/>
    <w:rsid w:val="00EC5852"/>
    <w:rsid w:val="00ED25BB"/>
    <w:rsid w:val="00ED4B29"/>
    <w:rsid w:val="00EE1A52"/>
    <w:rsid w:val="00EE425F"/>
    <w:rsid w:val="00EE427D"/>
    <w:rsid w:val="00EE6520"/>
    <w:rsid w:val="00EE6F15"/>
    <w:rsid w:val="00EE7759"/>
    <w:rsid w:val="00EF0A1A"/>
    <w:rsid w:val="00EF2B52"/>
    <w:rsid w:val="00EF335B"/>
    <w:rsid w:val="00EF55A1"/>
    <w:rsid w:val="00EF69C1"/>
    <w:rsid w:val="00EF6F3A"/>
    <w:rsid w:val="00F000DF"/>
    <w:rsid w:val="00F024C5"/>
    <w:rsid w:val="00F051EB"/>
    <w:rsid w:val="00F05C7F"/>
    <w:rsid w:val="00F120F3"/>
    <w:rsid w:val="00F12176"/>
    <w:rsid w:val="00F12960"/>
    <w:rsid w:val="00F13727"/>
    <w:rsid w:val="00F16C4C"/>
    <w:rsid w:val="00F204F5"/>
    <w:rsid w:val="00F2754D"/>
    <w:rsid w:val="00F33872"/>
    <w:rsid w:val="00F403CC"/>
    <w:rsid w:val="00F507EE"/>
    <w:rsid w:val="00F510A2"/>
    <w:rsid w:val="00F53D52"/>
    <w:rsid w:val="00F5777A"/>
    <w:rsid w:val="00F6690E"/>
    <w:rsid w:val="00F67630"/>
    <w:rsid w:val="00F67E90"/>
    <w:rsid w:val="00F71CE3"/>
    <w:rsid w:val="00F7249A"/>
    <w:rsid w:val="00F72D82"/>
    <w:rsid w:val="00F8460C"/>
    <w:rsid w:val="00F853F5"/>
    <w:rsid w:val="00F86D90"/>
    <w:rsid w:val="00FA0508"/>
    <w:rsid w:val="00FA1622"/>
    <w:rsid w:val="00FA2AA9"/>
    <w:rsid w:val="00FA3C91"/>
    <w:rsid w:val="00FA49FD"/>
    <w:rsid w:val="00FA5B5B"/>
    <w:rsid w:val="00FA5F80"/>
    <w:rsid w:val="00FA7F80"/>
    <w:rsid w:val="00FB028F"/>
    <w:rsid w:val="00FC3962"/>
    <w:rsid w:val="00FD159E"/>
    <w:rsid w:val="00FD2A29"/>
    <w:rsid w:val="00FD38A8"/>
    <w:rsid w:val="00FD6CAD"/>
    <w:rsid w:val="00FE4735"/>
    <w:rsid w:val="00FF03D0"/>
    <w:rsid w:val="00FF4084"/>
    <w:rsid w:val="00FF46BE"/>
    <w:rsid w:val="00FF4A8E"/>
    <w:rsid w:val="00FF6D51"/>
    <w:rsid w:val="00FF75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62AC2"/>
    <w:rPr>
      <w:color w:val="003366"/>
      <w:u w:val="single"/>
    </w:rPr>
  </w:style>
  <w:style w:type="paragraph" w:styleId="a5">
    <w:name w:val="List Paragraph"/>
    <w:basedOn w:val="a"/>
    <w:uiPriority w:val="34"/>
    <w:qFormat/>
    <w:rsid w:val="00D21FC8"/>
    <w:pPr>
      <w:ind w:leftChars="200" w:left="480"/>
    </w:pPr>
  </w:style>
  <w:style w:type="paragraph" w:styleId="a6">
    <w:name w:val="header"/>
    <w:basedOn w:val="a"/>
    <w:link w:val="a7"/>
    <w:uiPriority w:val="99"/>
    <w:semiHidden/>
    <w:unhideWhenUsed/>
    <w:rsid w:val="00133EEC"/>
    <w:pPr>
      <w:tabs>
        <w:tab w:val="center" w:pos="4153"/>
        <w:tab w:val="right" w:pos="8306"/>
      </w:tabs>
      <w:snapToGrid w:val="0"/>
    </w:pPr>
    <w:rPr>
      <w:sz w:val="20"/>
      <w:szCs w:val="20"/>
    </w:rPr>
  </w:style>
  <w:style w:type="character" w:customStyle="1" w:styleId="a7">
    <w:name w:val="頁首 字元"/>
    <w:basedOn w:val="a0"/>
    <w:link w:val="a6"/>
    <w:uiPriority w:val="99"/>
    <w:semiHidden/>
    <w:rsid w:val="00133EEC"/>
    <w:rPr>
      <w:sz w:val="20"/>
      <w:szCs w:val="20"/>
    </w:rPr>
  </w:style>
  <w:style w:type="paragraph" w:styleId="a8">
    <w:name w:val="footer"/>
    <w:basedOn w:val="a"/>
    <w:link w:val="a9"/>
    <w:uiPriority w:val="99"/>
    <w:unhideWhenUsed/>
    <w:rsid w:val="00133EEC"/>
    <w:pPr>
      <w:tabs>
        <w:tab w:val="center" w:pos="4153"/>
        <w:tab w:val="right" w:pos="8306"/>
      </w:tabs>
      <w:snapToGrid w:val="0"/>
    </w:pPr>
    <w:rPr>
      <w:sz w:val="20"/>
      <w:szCs w:val="20"/>
    </w:rPr>
  </w:style>
  <w:style w:type="character" w:customStyle="1" w:styleId="a9">
    <w:name w:val="頁尾 字元"/>
    <w:basedOn w:val="a0"/>
    <w:link w:val="a8"/>
    <w:uiPriority w:val="99"/>
    <w:rsid w:val="00133EEC"/>
    <w:rPr>
      <w:sz w:val="20"/>
      <w:szCs w:val="20"/>
    </w:rPr>
  </w:style>
  <w:style w:type="paragraph" w:styleId="HTML">
    <w:name w:val="HTML Preformatted"/>
    <w:basedOn w:val="a"/>
    <w:link w:val="HTML0"/>
    <w:uiPriority w:val="99"/>
    <w:unhideWhenUsed/>
    <w:rsid w:val="001F2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F202B"/>
    <w:rPr>
      <w:rFonts w:ascii="細明體" w:eastAsia="細明體" w:hAnsi="細明體" w:cs="細明體"/>
      <w:color w:val="333333"/>
      <w:kern w:val="0"/>
      <w:szCs w:val="24"/>
    </w:rPr>
  </w:style>
  <w:style w:type="paragraph" w:customStyle="1" w:styleId="Char">
    <w:name w:val="字元 字元 Char"/>
    <w:basedOn w:val="a"/>
    <w:rsid w:val="0064542A"/>
    <w:pPr>
      <w:widowControl/>
      <w:spacing w:after="160" w:line="240" w:lineRule="exact"/>
    </w:pPr>
    <w:rPr>
      <w:rFonts w:ascii="Arial" w:eastAsia="Times New Roman" w:hAnsi="Arial" w:cs="Arial"/>
      <w:kern w:val="0"/>
      <w:sz w:val="20"/>
      <w:szCs w:val="20"/>
      <w:lang w:eastAsia="en-US"/>
    </w:rPr>
  </w:style>
  <w:style w:type="paragraph" w:styleId="aa">
    <w:name w:val="Body Text"/>
    <w:basedOn w:val="a"/>
    <w:link w:val="ab"/>
    <w:semiHidden/>
    <w:rsid w:val="007A7E6F"/>
    <w:pPr>
      <w:widowControl/>
      <w:jc w:val="both"/>
    </w:pPr>
    <w:rPr>
      <w:rFonts w:ascii="標楷體" w:eastAsia="標楷體" w:hAnsi="標楷體" w:cs="Times New Roman"/>
      <w:kern w:val="0"/>
      <w:szCs w:val="24"/>
    </w:rPr>
  </w:style>
  <w:style w:type="character" w:customStyle="1" w:styleId="ab">
    <w:name w:val="本文 字元"/>
    <w:basedOn w:val="a0"/>
    <w:link w:val="aa"/>
    <w:semiHidden/>
    <w:rsid w:val="007A7E6F"/>
    <w:rPr>
      <w:rFonts w:ascii="標楷體" w:eastAsia="標楷體" w:hAnsi="標楷體"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DA3C8-12D0-42E5-B14E-A9565709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0771</dc:creator>
  <cp:lastModifiedBy>0803</cp:lastModifiedBy>
  <cp:revision>3</cp:revision>
  <cp:lastPrinted>2015-11-27T06:48:00Z</cp:lastPrinted>
  <dcterms:created xsi:type="dcterms:W3CDTF">2016-02-17T07:24:00Z</dcterms:created>
  <dcterms:modified xsi:type="dcterms:W3CDTF">2016-02-24T08:28:00Z</dcterms:modified>
</cp:coreProperties>
</file>