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FC" w:rsidRPr="005C08FC" w:rsidRDefault="005C08FC" w:rsidP="005C08FC">
      <w:pPr>
        <w:pStyle w:val="Default"/>
        <w:rPr>
          <w:rFonts w:ascii="標楷體" w:eastAsia="標楷體" w:hAnsi="標楷體" w:cstheme="minorBidi"/>
          <w:color w:val="auto"/>
        </w:rPr>
      </w:pPr>
    </w:p>
    <w:p w:rsidR="005C08FC" w:rsidRPr="005C08FC" w:rsidRDefault="005C08FC" w:rsidP="005C08FC">
      <w:pPr>
        <w:pStyle w:val="Default"/>
        <w:rPr>
          <w:rFonts w:ascii="標楷體" w:eastAsia="標楷體" w:hAnsi="標楷體" w:cs="Calibri"/>
          <w:color w:val="auto"/>
          <w:sz w:val="20"/>
          <w:szCs w:val="20"/>
        </w:rPr>
      </w:pPr>
    </w:p>
    <w:p w:rsidR="005C08FC" w:rsidRPr="005C08FC" w:rsidRDefault="005C08FC" w:rsidP="005C08FC">
      <w:pPr>
        <w:pStyle w:val="Default"/>
        <w:rPr>
          <w:rFonts w:ascii="標楷體" w:eastAsia="標楷體" w:hAnsi="標楷體" w:cstheme="minorBidi"/>
          <w:color w:val="auto"/>
        </w:rPr>
      </w:pPr>
    </w:p>
    <w:p w:rsidR="00574D1D" w:rsidRPr="00574D1D" w:rsidRDefault="00574D1D" w:rsidP="00574D1D">
      <w:pPr>
        <w:pStyle w:val="Default"/>
        <w:jc w:val="center"/>
        <w:rPr>
          <w:rFonts w:ascii="標楷體" w:eastAsia="標楷體" w:hAnsi="標楷體" w:cs="標楷體"/>
          <w:color w:val="auto"/>
          <w:sz w:val="80"/>
          <w:szCs w:val="80"/>
        </w:rPr>
      </w:pPr>
      <w:r w:rsidRPr="00574D1D">
        <w:rPr>
          <w:rFonts w:ascii="標楷體" w:eastAsia="標楷體" w:hAnsi="標楷體" w:cs="標楷體" w:hint="eastAsia"/>
          <w:color w:val="auto"/>
          <w:sz w:val="80"/>
          <w:szCs w:val="80"/>
        </w:rPr>
        <w:t>指數股票型          期貨信託基金受益憑證</w:t>
      </w:r>
      <w:r w:rsidR="00B05CD9" w:rsidRPr="00574D1D">
        <w:rPr>
          <w:rFonts w:ascii="標楷體" w:eastAsia="標楷體" w:hAnsi="標楷體" w:cs="標楷體" w:hint="eastAsia"/>
          <w:color w:val="auto"/>
          <w:sz w:val="80"/>
          <w:szCs w:val="80"/>
        </w:rPr>
        <w:t>(下稱期貨ETF)</w:t>
      </w:r>
    </w:p>
    <w:p w:rsidR="005C08FC" w:rsidRPr="00574D1D" w:rsidRDefault="005C08FC" w:rsidP="00574D1D">
      <w:pPr>
        <w:pStyle w:val="Default"/>
        <w:jc w:val="center"/>
        <w:rPr>
          <w:rFonts w:ascii="標楷體" w:eastAsia="標楷體" w:hAnsi="標楷體" w:cs="標楷體"/>
          <w:color w:val="auto"/>
          <w:sz w:val="80"/>
          <w:szCs w:val="80"/>
        </w:rPr>
      </w:pPr>
      <w:r w:rsidRPr="00574D1D">
        <w:rPr>
          <w:rFonts w:ascii="標楷體" w:eastAsia="標楷體" w:hAnsi="標楷體" w:cs="標楷體" w:hint="eastAsia"/>
          <w:color w:val="auto"/>
          <w:sz w:val="80"/>
          <w:szCs w:val="80"/>
        </w:rPr>
        <w:t>管控措施</w:t>
      </w:r>
    </w:p>
    <w:p w:rsidR="005C08FC" w:rsidRPr="00574D1D" w:rsidRDefault="005C08FC" w:rsidP="00574D1D">
      <w:pPr>
        <w:pStyle w:val="Default"/>
        <w:jc w:val="center"/>
        <w:rPr>
          <w:rFonts w:ascii="標楷體" w:eastAsia="標楷體" w:hAnsi="標楷體" w:cs="標楷體"/>
          <w:color w:val="auto"/>
          <w:sz w:val="80"/>
          <w:szCs w:val="80"/>
        </w:rPr>
      </w:pPr>
      <w:r w:rsidRPr="00574D1D">
        <w:rPr>
          <w:rFonts w:ascii="標楷體" w:eastAsia="標楷體" w:hAnsi="標楷體" w:cs="標楷體" w:hint="eastAsia"/>
          <w:color w:val="auto"/>
          <w:sz w:val="80"/>
          <w:szCs w:val="80"/>
        </w:rPr>
        <w:t>常見問題與說明</w:t>
      </w: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Pr="005C08FC" w:rsidRDefault="005C08FC" w:rsidP="005C08FC">
      <w:pPr>
        <w:pStyle w:val="Default"/>
        <w:rPr>
          <w:rFonts w:ascii="標楷體" w:eastAsia="標楷體" w:hAnsi="標楷體" w:cs="標楷體"/>
          <w:color w:val="auto"/>
          <w:sz w:val="48"/>
          <w:szCs w:val="48"/>
        </w:rPr>
      </w:pPr>
    </w:p>
    <w:p w:rsidR="005C08FC" w:rsidRDefault="005C08FC" w:rsidP="005C08FC">
      <w:pPr>
        <w:pStyle w:val="Default"/>
        <w:jc w:val="center"/>
        <w:rPr>
          <w:rFonts w:ascii="標楷體" w:eastAsia="標楷體" w:hAnsi="標楷體" w:cs="標楷體"/>
          <w:color w:val="auto"/>
          <w:sz w:val="48"/>
          <w:szCs w:val="48"/>
        </w:rPr>
      </w:pPr>
      <w:r w:rsidRPr="005C08FC">
        <w:rPr>
          <w:rFonts w:ascii="標楷體" w:eastAsia="標楷體" w:hAnsi="標楷體" w:cs="標楷體" w:hint="eastAsia"/>
          <w:color w:val="auto"/>
          <w:sz w:val="48"/>
          <w:szCs w:val="48"/>
        </w:rPr>
        <w:t>臺灣證券交易所彙整</w:t>
      </w:r>
    </w:p>
    <w:p w:rsidR="005C08FC" w:rsidRDefault="005C08FC" w:rsidP="005C08FC">
      <w:pPr>
        <w:pStyle w:val="Default"/>
        <w:jc w:val="center"/>
        <w:rPr>
          <w:rFonts w:ascii="標楷體" w:eastAsia="標楷體" w:hAnsi="標楷體" w:cs="標楷體"/>
          <w:color w:val="auto"/>
          <w:sz w:val="20"/>
          <w:szCs w:val="20"/>
        </w:rPr>
      </w:pPr>
    </w:p>
    <w:p w:rsidR="00C57C96" w:rsidRPr="00C57C96" w:rsidRDefault="00C57C96" w:rsidP="005C08FC">
      <w:pPr>
        <w:pStyle w:val="Default"/>
        <w:jc w:val="center"/>
        <w:rPr>
          <w:rFonts w:ascii="標楷體" w:eastAsia="標楷體" w:hAnsi="標楷體" w:cs="標楷體"/>
          <w:color w:val="auto"/>
          <w:sz w:val="20"/>
          <w:szCs w:val="20"/>
        </w:rPr>
      </w:pPr>
    </w:p>
    <w:p w:rsidR="005C08FC" w:rsidRDefault="005C08FC" w:rsidP="005C08FC">
      <w:pPr>
        <w:pStyle w:val="Default"/>
        <w:rPr>
          <w:rFonts w:ascii="標楷體" w:eastAsia="標楷體" w:hAnsi="標楷體" w:cs="標楷體"/>
          <w:color w:val="auto"/>
          <w:sz w:val="20"/>
          <w:szCs w:val="20"/>
        </w:rPr>
      </w:pPr>
    </w:p>
    <w:p w:rsidR="005C08FC" w:rsidRPr="005C08FC" w:rsidRDefault="005C08FC" w:rsidP="005C08FC">
      <w:pPr>
        <w:pStyle w:val="Default"/>
        <w:jc w:val="center"/>
        <w:rPr>
          <w:rFonts w:ascii="標楷體" w:eastAsia="標楷體" w:hAnsi="標楷體" w:cs="標楷體"/>
          <w:color w:val="auto"/>
          <w:sz w:val="48"/>
          <w:szCs w:val="48"/>
        </w:rPr>
      </w:pPr>
      <w:r w:rsidRPr="005C08FC">
        <w:rPr>
          <w:rFonts w:ascii="標楷體" w:eastAsia="標楷體" w:hAnsi="標楷體" w:cs="標楷體" w:hint="eastAsia"/>
          <w:color w:val="auto"/>
          <w:sz w:val="48"/>
          <w:szCs w:val="48"/>
        </w:rPr>
        <w:lastRenderedPageBreak/>
        <w:t>免責聲明</w:t>
      </w:r>
    </w:p>
    <w:p w:rsidR="005C08FC" w:rsidRPr="005C08FC" w:rsidRDefault="005C08FC" w:rsidP="005C08FC">
      <w:pPr>
        <w:pStyle w:val="Default"/>
        <w:ind w:left="400" w:hangingChars="100" w:hanging="400"/>
        <w:rPr>
          <w:rFonts w:ascii="標楷體" w:eastAsia="標楷體" w:hAnsi="標楷體" w:cs="標楷體"/>
          <w:color w:val="auto"/>
          <w:sz w:val="40"/>
          <w:szCs w:val="40"/>
        </w:rPr>
      </w:pPr>
      <w:r w:rsidRPr="005C08FC">
        <w:rPr>
          <w:rFonts w:ascii="標楷體" w:eastAsia="標楷體" w:hAnsi="標楷體" w:cs="Calibri"/>
          <w:color w:val="auto"/>
          <w:sz w:val="40"/>
          <w:szCs w:val="40"/>
        </w:rPr>
        <w:t>1.</w:t>
      </w:r>
      <w:r w:rsidRPr="005C08FC">
        <w:rPr>
          <w:rFonts w:ascii="標楷體" w:eastAsia="標楷體" w:hAnsi="標楷體" w:cs="標楷體" w:hint="eastAsia"/>
          <w:color w:val="auto"/>
          <w:sz w:val="40"/>
          <w:szCs w:val="40"/>
        </w:rPr>
        <w:t>本文件內容臺灣證券交易所採取合理措施以確保刊載資料之正確性和完整性，但並無法保證資訊絕無疏漏或錯誤。</w:t>
      </w:r>
      <w:r w:rsidRPr="005C08FC">
        <w:rPr>
          <w:rFonts w:ascii="標楷體" w:eastAsia="標楷體" w:hAnsi="標楷體" w:cs="標楷體"/>
          <w:color w:val="auto"/>
          <w:sz w:val="40"/>
          <w:szCs w:val="40"/>
        </w:rPr>
        <w:t xml:space="preserve"> </w:t>
      </w:r>
    </w:p>
    <w:p w:rsidR="005C08FC" w:rsidRPr="005C08FC" w:rsidRDefault="005C08FC" w:rsidP="005C08FC">
      <w:pPr>
        <w:pStyle w:val="Default"/>
        <w:ind w:left="400" w:hangingChars="100" w:hanging="400"/>
        <w:rPr>
          <w:rFonts w:ascii="標楷體" w:eastAsia="標楷體" w:hAnsi="標楷體" w:cs="標楷體"/>
          <w:color w:val="auto"/>
          <w:sz w:val="40"/>
          <w:szCs w:val="40"/>
        </w:rPr>
      </w:pPr>
      <w:r w:rsidRPr="005C08FC">
        <w:rPr>
          <w:rFonts w:ascii="標楷體" w:eastAsia="標楷體" w:hAnsi="標楷體" w:cs="Calibri"/>
          <w:color w:val="auto"/>
          <w:sz w:val="40"/>
          <w:szCs w:val="40"/>
        </w:rPr>
        <w:t>2.</w:t>
      </w:r>
      <w:r w:rsidRPr="005C08FC">
        <w:rPr>
          <w:rFonts w:ascii="標楷體" w:eastAsia="標楷體" w:hAnsi="標楷體" w:cs="標楷體" w:hint="eastAsia"/>
          <w:color w:val="auto"/>
          <w:sz w:val="40"/>
          <w:szCs w:val="40"/>
        </w:rPr>
        <w:t>臺灣證券交易所茲聲明因本文件所載資料之遺漏、錯誤或依賴該等資料而導致之任何損失概不負責。</w:t>
      </w:r>
      <w:r w:rsidRPr="005C08FC">
        <w:rPr>
          <w:rFonts w:ascii="標楷體" w:eastAsia="標楷體" w:hAnsi="標楷體" w:cs="標楷體"/>
          <w:color w:val="auto"/>
          <w:sz w:val="40"/>
          <w:szCs w:val="40"/>
        </w:rPr>
        <w:t xml:space="preserve"> </w:t>
      </w:r>
    </w:p>
    <w:p w:rsidR="00DE6872" w:rsidRDefault="005C08FC" w:rsidP="005C08FC">
      <w:pPr>
        <w:ind w:left="400" w:hangingChars="100" w:hanging="400"/>
        <w:rPr>
          <w:rFonts w:ascii="標楷體" w:eastAsia="標楷體" w:hAnsi="標楷體" w:cs="標楷體"/>
          <w:sz w:val="40"/>
          <w:szCs w:val="40"/>
        </w:rPr>
      </w:pPr>
      <w:r w:rsidRPr="005C08FC">
        <w:rPr>
          <w:rFonts w:ascii="標楷體" w:eastAsia="標楷體" w:hAnsi="標楷體" w:cs="Calibri"/>
          <w:sz w:val="40"/>
          <w:szCs w:val="40"/>
        </w:rPr>
        <w:t>3.</w:t>
      </w:r>
      <w:r w:rsidRPr="005C08FC">
        <w:rPr>
          <w:rFonts w:ascii="標楷體" w:eastAsia="標楷體" w:hAnsi="標楷體" w:cs="標楷體" w:hint="eastAsia"/>
          <w:sz w:val="40"/>
          <w:szCs w:val="40"/>
        </w:rPr>
        <w:t>本內容與臺灣證券交易所及主管機關公布條文</w:t>
      </w:r>
      <w:proofErr w:type="gramStart"/>
      <w:r w:rsidRPr="005C08FC">
        <w:rPr>
          <w:rFonts w:ascii="標楷體" w:eastAsia="標楷體" w:hAnsi="標楷體" w:cs="標楷體" w:hint="eastAsia"/>
          <w:sz w:val="40"/>
          <w:szCs w:val="40"/>
        </w:rPr>
        <w:t>有異者</w:t>
      </w:r>
      <w:proofErr w:type="gramEnd"/>
      <w:r w:rsidRPr="005C08FC">
        <w:rPr>
          <w:rFonts w:ascii="標楷體" w:eastAsia="標楷體" w:hAnsi="標楷體" w:cs="標楷體" w:hint="eastAsia"/>
          <w:sz w:val="40"/>
          <w:szCs w:val="40"/>
        </w:rPr>
        <w:t>，以公布條文為</w:t>
      </w:r>
      <w:proofErr w:type="gramStart"/>
      <w:r w:rsidRPr="005C08FC">
        <w:rPr>
          <w:rFonts w:ascii="標楷體" w:eastAsia="標楷體" w:hAnsi="標楷體" w:cs="標楷體" w:hint="eastAsia"/>
          <w:sz w:val="40"/>
          <w:szCs w:val="40"/>
        </w:rPr>
        <w:t>準</w:t>
      </w:r>
      <w:proofErr w:type="gramEnd"/>
      <w:r w:rsidRPr="005C08FC">
        <w:rPr>
          <w:rFonts w:ascii="標楷體" w:eastAsia="標楷體" w:hAnsi="標楷體" w:cs="標楷體" w:hint="eastAsia"/>
          <w:sz w:val="40"/>
          <w:szCs w:val="40"/>
        </w:rPr>
        <w:t>。</w:t>
      </w:r>
    </w:p>
    <w:p w:rsidR="005C08FC" w:rsidRDefault="005C08FC"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574D1D" w:rsidRDefault="00574D1D" w:rsidP="005C08FC">
      <w:pPr>
        <w:ind w:left="400" w:hangingChars="100" w:hanging="400"/>
        <w:rPr>
          <w:rFonts w:ascii="標楷體" w:eastAsia="標楷體" w:hAnsi="標楷體" w:cs="標楷體"/>
          <w:sz w:val="40"/>
          <w:szCs w:val="40"/>
        </w:rPr>
      </w:pPr>
    </w:p>
    <w:p w:rsidR="00574D1D" w:rsidRDefault="00574D1D" w:rsidP="005C08FC">
      <w:pPr>
        <w:ind w:left="400" w:hangingChars="100" w:hanging="400"/>
        <w:rPr>
          <w:rFonts w:ascii="標楷體" w:eastAsia="標楷體" w:hAnsi="標楷體" w:cs="標楷體"/>
          <w:sz w:val="40"/>
          <w:szCs w:val="40"/>
        </w:rPr>
      </w:pPr>
    </w:p>
    <w:p w:rsidR="00574D1D" w:rsidRDefault="00574D1D" w:rsidP="005C08FC">
      <w:pPr>
        <w:ind w:left="400" w:hangingChars="100" w:hanging="400"/>
        <w:rPr>
          <w:rFonts w:ascii="標楷體" w:eastAsia="標楷體" w:hAnsi="標楷體" w:cs="標楷體"/>
          <w:sz w:val="40"/>
          <w:szCs w:val="40"/>
        </w:rPr>
      </w:pPr>
    </w:p>
    <w:p w:rsidR="005C08FC" w:rsidRDefault="005C08FC" w:rsidP="005C08FC">
      <w:pPr>
        <w:ind w:left="400" w:hangingChars="100" w:hanging="400"/>
        <w:rPr>
          <w:rFonts w:ascii="標楷體" w:eastAsia="標楷體" w:hAnsi="標楷體" w:cs="標楷體"/>
          <w:sz w:val="40"/>
          <w:szCs w:val="40"/>
        </w:rPr>
      </w:pPr>
    </w:p>
    <w:p w:rsidR="00B05CD9" w:rsidRPr="008C1E68" w:rsidRDefault="00B05CD9" w:rsidP="00B05CD9">
      <w:pPr>
        <w:spacing w:line="480" w:lineRule="exact"/>
        <w:ind w:left="561" w:hangingChars="200" w:hanging="561"/>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lastRenderedPageBreak/>
        <w:t>一、</w:t>
      </w:r>
      <w:r w:rsidR="00944940" w:rsidRPr="008C1E68">
        <w:rPr>
          <w:rFonts w:eastAsia="標楷體" w:cstheme="minorHAnsi" w:hint="eastAsia"/>
          <w:b/>
          <w:bCs/>
          <w:color w:val="000000" w:themeColor="text1"/>
          <w:sz w:val="28"/>
          <w:szCs w:val="48"/>
        </w:rPr>
        <w:t>目前</w:t>
      </w:r>
      <w:r w:rsidRPr="008C1E68">
        <w:rPr>
          <w:rFonts w:eastAsia="標楷體" w:cstheme="minorHAnsi" w:hint="eastAsia"/>
          <w:b/>
          <w:bCs/>
          <w:color w:val="000000" w:themeColor="text1"/>
          <w:sz w:val="28"/>
          <w:szCs w:val="48"/>
        </w:rPr>
        <w:t>期貨</w:t>
      </w:r>
      <w:r w:rsidRPr="008C1E68">
        <w:rPr>
          <w:rFonts w:eastAsia="標楷體" w:cstheme="minorHAnsi"/>
          <w:b/>
          <w:bCs/>
          <w:color w:val="000000" w:themeColor="text1"/>
          <w:sz w:val="28"/>
          <w:szCs w:val="48"/>
        </w:rPr>
        <w:t>ETF</w:t>
      </w:r>
      <w:r w:rsidR="00944940" w:rsidRPr="008C1E68">
        <w:rPr>
          <w:rFonts w:eastAsia="標楷體" w:cstheme="minorHAnsi" w:hint="eastAsia"/>
          <w:b/>
          <w:bCs/>
          <w:color w:val="000000" w:themeColor="text1"/>
          <w:sz w:val="28"/>
          <w:szCs w:val="48"/>
        </w:rPr>
        <w:t>下市標準為何</w:t>
      </w:r>
      <w:r w:rsidRPr="008C1E68">
        <w:rPr>
          <w:rFonts w:eastAsia="標楷體" w:cstheme="minorHAnsi" w:hint="eastAsia"/>
          <w:b/>
          <w:bCs/>
          <w:color w:val="000000" w:themeColor="text1"/>
          <w:sz w:val="28"/>
          <w:szCs w:val="48"/>
        </w:rPr>
        <w:t>?</w:t>
      </w:r>
    </w:p>
    <w:p w:rsidR="00B05CD9" w:rsidRPr="008C1E68" w:rsidRDefault="00B05CD9" w:rsidP="00B05CD9">
      <w:pPr>
        <w:spacing w:line="480" w:lineRule="exact"/>
        <w:ind w:leftChars="200" w:left="4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依金融監督管理委員會</w:t>
      </w:r>
      <w:r w:rsidRPr="008C1E68">
        <w:rPr>
          <w:rFonts w:eastAsia="標楷體" w:cstheme="minorHAnsi" w:hint="eastAsia"/>
          <w:bCs/>
          <w:color w:val="000000" w:themeColor="text1"/>
          <w:sz w:val="28"/>
          <w:szCs w:val="48"/>
        </w:rPr>
        <w:t>109</w:t>
      </w:r>
      <w:r w:rsidRPr="008C1E68">
        <w:rPr>
          <w:rFonts w:eastAsia="標楷體" w:cstheme="minorHAnsi" w:hint="eastAsia"/>
          <w:bCs/>
          <w:color w:val="000000" w:themeColor="text1"/>
          <w:sz w:val="28"/>
          <w:szCs w:val="48"/>
        </w:rPr>
        <w:t>年</w:t>
      </w:r>
      <w:r w:rsidRPr="008C1E68">
        <w:rPr>
          <w:rFonts w:eastAsia="標楷體" w:cstheme="minorHAnsi" w:hint="eastAsia"/>
          <w:bCs/>
          <w:color w:val="000000" w:themeColor="text1"/>
          <w:sz w:val="28"/>
          <w:szCs w:val="48"/>
        </w:rPr>
        <w:t>3</w:t>
      </w:r>
      <w:r w:rsidRPr="008C1E68">
        <w:rPr>
          <w:rFonts w:eastAsia="標楷體" w:cstheme="minorHAnsi" w:hint="eastAsia"/>
          <w:bCs/>
          <w:color w:val="000000" w:themeColor="text1"/>
          <w:sz w:val="28"/>
          <w:szCs w:val="48"/>
        </w:rPr>
        <w:t>月</w:t>
      </w:r>
      <w:r w:rsidRPr="008C1E68">
        <w:rPr>
          <w:rFonts w:eastAsia="標楷體" w:cstheme="minorHAnsi" w:hint="eastAsia"/>
          <w:bCs/>
          <w:color w:val="000000" w:themeColor="text1"/>
          <w:sz w:val="28"/>
          <w:szCs w:val="48"/>
        </w:rPr>
        <w:t>19</w:t>
      </w:r>
      <w:r w:rsidRPr="008C1E68">
        <w:rPr>
          <w:rFonts w:eastAsia="標楷體" w:cstheme="minorHAnsi" w:hint="eastAsia"/>
          <w:bCs/>
          <w:color w:val="000000" w:themeColor="text1"/>
          <w:sz w:val="28"/>
          <w:szCs w:val="48"/>
        </w:rPr>
        <w:t>日金</w:t>
      </w:r>
      <w:proofErr w:type="gramStart"/>
      <w:r w:rsidRPr="008C1E68">
        <w:rPr>
          <w:rFonts w:eastAsia="標楷體" w:cstheme="minorHAnsi" w:hint="eastAsia"/>
          <w:bCs/>
          <w:color w:val="000000" w:themeColor="text1"/>
          <w:sz w:val="28"/>
          <w:szCs w:val="48"/>
        </w:rPr>
        <w:t>管證期字</w:t>
      </w:r>
      <w:proofErr w:type="gramEnd"/>
      <w:r w:rsidRPr="008C1E68">
        <w:rPr>
          <w:rFonts w:eastAsia="標楷體" w:cstheme="minorHAnsi" w:hint="eastAsia"/>
          <w:bCs/>
          <w:color w:val="000000" w:themeColor="text1"/>
          <w:sz w:val="28"/>
          <w:szCs w:val="48"/>
        </w:rPr>
        <w:t>第</w:t>
      </w:r>
      <w:r w:rsidRPr="008C1E68">
        <w:rPr>
          <w:rFonts w:eastAsia="標楷體" w:cstheme="minorHAnsi" w:hint="eastAsia"/>
          <w:bCs/>
          <w:color w:val="000000" w:themeColor="text1"/>
          <w:sz w:val="28"/>
          <w:szCs w:val="48"/>
        </w:rPr>
        <w:t>1090335155</w:t>
      </w:r>
      <w:r w:rsidRPr="008C1E68">
        <w:rPr>
          <w:rFonts w:eastAsia="標楷體" w:cstheme="minorHAnsi" w:hint="eastAsia"/>
          <w:bCs/>
          <w:color w:val="000000" w:themeColor="text1"/>
          <w:sz w:val="28"/>
          <w:szCs w:val="48"/>
        </w:rPr>
        <w:t>號令，期貨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最近三十</w:t>
      </w:r>
      <w:proofErr w:type="gramStart"/>
      <w:r w:rsidRPr="008C1E68">
        <w:rPr>
          <w:rFonts w:eastAsia="標楷體" w:cstheme="minorHAnsi" w:hint="eastAsia"/>
          <w:bCs/>
          <w:color w:val="000000" w:themeColor="text1"/>
          <w:sz w:val="28"/>
          <w:szCs w:val="48"/>
        </w:rPr>
        <w:t>個</w:t>
      </w:r>
      <w:proofErr w:type="gramEnd"/>
      <w:r w:rsidRPr="008C1E68">
        <w:rPr>
          <w:rFonts w:eastAsia="標楷體" w:cstheme="minorHAnsi" w:hint="eastAsia"/>
          <w:bCs/>
          <w:color w:val="000000" w:themeColor="text1"/>
          <w:sz w:val="28"/>
          <w:szCs w:val="48"/>
        </w:rPr>
        <w:t>營業日之基金平均單位淨資產價值較其最初單位淨資產累積跌幅達百分之九十時或基金平均淨資產價值低於新臺幣二千萬元者，應報金融監督管理委員會核准後終止期貨信託契約。</w:t>
      </w:r>
    </w:p>
    <w:p w:rsidR="00944940" w:rsidRPr="008C1E68" w:rsidRDefault="00944940" w:rsidP="00944940">
      <w:pPr>
        <w:spacing w:line="480" w:lineRule="exact"/>
        <w:ind w:left="561" w:hangingChars="200" w:hanging="561"/>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t>二、增訂期貨</w:t>
      </w:r>
      <w:r w:rsidRPr="008C1E68">
        <w:rPr>
          <w:rFonts w:eastAsia="標楷體" w:cstheme="minorHAnsi"/>
          <w:b/>
          <w:bCs/>
          <w:color w:val="000000" w:themeColor="text1"/>
          <w:sz w:val="28"/>
          <w:szCs w:val="48"/>
        </w:rPr>
        <w:t>ETF</w:t>
      </w:r>
      <w:r w:rsidRPr="008C1E68">
        <w:rPr>
          <w:rFonts w:eastAsia="標楷體" w:cstheme="minorHAnsi" w:hint="eastAsia"/>
          <w:b/>
          <w:bCs/>
          <w:color w:val="000000" w:themeColor="text1"/>
          <w:sz w:val="28"/>
          <w:szCs w:val="48"/>
        </w:rPr>
        <w:t>管控措施之緣由為何</w:t>
      </w:r>
      <w:r w:rsidRPr="008C1E68">
        <w:rPr>
          <w:rFonts w:eastAsia="標楷體" w:cstheme="minorHAnsi" w:hint="eastAsia"/>
          <w:b/>
          <w:bCs/>
          <w:color w:val="000000" w:themeColor="text1"/>
          <w:sz w:val="28"/>
          <w:szCs w:val="48"/>
        </w:rPr>
        <w:t>?</w:t>
      </w:r>
    </w:p>
    <w:p w:rsidR="00B05CD9" w:rsidRPr="008C1E68" w:rsidRDefault="00B05CD9" w:rsidP="00B05CD9">
      <w:pPr>
        <w:spacing w:line="480" w:lineRule="exact"/>
        <w:ind w:leftChars="200" w:left="4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為進一步保障投資人之權益，</w:t>
      </w:r>
      <w:proofErr w:type="gramStart"/>
      <w:r w:rsidRPr="008C1E68">
        <w:rPr>
          <w:rFonts w:eastAsia="標楷體" w:cstheme="minorHAnsi" w:hint="eastAsia"/>
          <w:bCs/>
          <w:color w:val="000000" w:themeColor="text1"/>
          <w:sz w:val="28"/>
          <w:szCs w:val="48"/>
        </w:rPr>
        <w:t>鑑</w:t>
      </w:r>
      <w:proofErr w:type="gramEnd"/>
      <w:r w:rsidRPr="008C1E68">
        <w:rPr>
          <w:rFonts w:eastAsia="標楷體" w:cstheme="minorHAnsi" w:hint="eastAsia"/>
          <w:bCs/>
          <w:color w:val="000000" w:themeColor="text1"/>
          <w:sz w:val="28"/>
          <w:szCs w:val="48"/>
        </w:rPr>
        <w:t>於原油期貨長期存在正價差且我國期貨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反分割不易，原油期貨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因轉倉需要</w:t>
      </w:r>
      <w:proofErr w:type="gramStart"/>
      <w:r w:rsidRPr="008C1E68">
        <w:rPr>
          <w:rFonts w:eastAsia="標楷體" w:cstheme="minorHAnsi" w:hint="eastAsia"/>
          <w:bCs/>
          <w:color w:val="000000" w:themeColor="text1"/>
          <w:sz w:val="28"/>
          <w:szCs w:val="48"/>
        </w:rPr>
        <w:t>恐</w:t>
      </w:r>
      <w:proofErr w:type="gramEnd"/>
      <w:r w:rsidRPr="008C1E68">
        <w:rPr>
          <w:rFonts w:eastAsia="標楷體" w:cstheme="minorHAnsi" w:hint="eastAsia"/>
          <w:bCs/>
          <w:color w:val="000000" w:themeColor="text1"/>
          <w:sz w:val="28"/>
          <w:szCs w:val="48"/>
        </w:rPr>
        <w:t>面臨淨值長期減損，</w:t>
      </w:r>
      <w:proofErr w:type="gramStart"/>
      <w:r w:rsidRPr="008C1E68">
        <w:rPr>
          <w:rFonts w:eastAsia="標楷體" w:cstheme="minorHAnsi" w:hint="eastAsia"/>
          <w:bCs/>
          <w:color w:val="000000" w:themeColor="text1"/>
          <w:sz w:val="28"/>
          <w:szCs w:val="48"/>
        </w:rPr>
        <w:t>甚或達下市</w:t>
      </w:r>
      <w:proofErr w:type="gramEnd"/>
      <w:r w:rsidRPr="008C1E68">
        <w:rPr>
          <w:rFonts w:eastAsia="標楷體" w:cstheme="minorHAnsi" w:hint="eastAsia"/>
          <w:bCs/>
          <w:color w:val="000000" w:themeColor="text1"/>
          <w:sz w:val="28"/>
          <w:szCs w:val="48"/>
        </w:rPr>
        <w:t>清算門檻，由於槓桿及反向期貨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商品屬性複雜，市場投資人</w:t>
      </w:r>
      <w:proofErr w:type="gramStart"/>
      <w:r w:rsidRPr="008C1E68">
        <w:rPr>
          <w:rFonts w:eastAsia="標楷體" w:cstheme="minorHAnsi" w:hint="eastAsia"/>
          <w:bCs/>
          <w:color w:val="000000" w:themeColor="text1"/>
          <w:sz w:val="28"/>
          <w:szCs w:val="48"/>
        </w:rPr>
        <w:t>並非均能了解</w:t>
      </w:r>
      <w:proofErr w:type="gramEnd"/>
      <w:r w:rsidRPr="008C1E68">
        <w:rPr>
          <w:rFonts w:eastAsia="標楷體" w:cstheme="minorHAnsi" w:hint="eastAsia"/>
          <w:bCs/>
          <w:color w:val="000000" w:themeColor="text1"/>
          <w:sz w:val="28"/>
          <w:szCs w:val="48"/>
        </w:rPr>
        <w:t>該商品之特性及其風險，</w:t>
      </w:r>
      <w:proofErr w:type="gramStart"/>
      <w:r w:rsidRPr="008C1E68">
        <w:rPr>
          <w:rFonts w:eastAsia="標楷體" w:cstheme="minorHAnsi" w:hint="eastAsia"/>
          <w:bCs/>
          <w:color w:val="000000" w:themeColor="text1"/>
          <w:sz w:val="28"/>
          <w:szCs w:val="48"/>
        </w:rPr>
        <w:t>爰</w:t>
      </w:r>
      <w:proofErr w:type="gramEnd"/>
      <w:r w:rsidRPr="008C1E68">
        <w:rPr>
          <w:rFonts w:eastAsia="標楷體" w:cstheme="minorHAnsi" w:hint="eastAsia"/>
          <w:bCs/>
          <w:color w:val="000000" w:themeColor="text1"/>
          <w:sz w:val="28"/>
          <w:szCs w:val="48"/>
        </w:rPr>
        <w:t>再增訂期貨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管控措施</w:t>
      </w:r>
      <w:r w:rsidR="00DC2538" w:rsidRPr="008C1E68">
        <w:rPr>
          <w:rFonts w:eastAsia="標楷體" w:cstheme="minorHAnsi" w:hint="eastAsia"/>
          <w:bCs/>
          <w:color w:val="000000" w:themeColor="text1"/>
          <w:sz w:val="28"/>
          <w:szCs w:val="48"/>
        </w:rPr>
        <w:t>，</w:t>
      </w:r>
      <w:proofErr w:type="gramStart"/>
      <w:r w:rsidR="00DC2538" w:rsidRPr="008C1E68">
        <w:rPr>
          <w:rFonts w:eastAsia="標楷體" w:cstheme="minorHAnsi" w:hint="eastAsia"/>
          <w:bCs/>
          <w:color w:val="000000" w:themeColor="text1"/>
          <w:sz w:val="28"/>
          <w:szCs w:val="48"/>
        </w:rPr>
        <w:t>俾</w:t>
      </w:r>
      <w:proofErr w:type="gramEnd"/>
      <w:r w:rsidR="00DC2538" w:rsidRPr="008C1E68">
        <w:rPr>
          <w:rFonts w:eastAsia="標楷體" w:cstheme="minorHAnsi" w:hint="eastAsia"/>
          <w:bCs/>
          <w:color w:val="000000" w:themeColor="text1"/>
          <w:sz w:val="28"/>
          <w:szCs w:val="48"/>
        </w:rPr>
        <w:t>提醒及預警投資人相關風險，並可提前控管投資人在期貨</w:t>
      </w:r>
      <w:r w:rsidR="00DC2538" w:rsidRPr="008C1E68">
        <w:rPr>
          <w:rFonts w:eastAsia="標楷體" w:cstheme="minorHAnsi" w:hint="eastAsia"/>
          <w:bCs/>
          <w:color w:val="000000" w:themeColor="text1"/>
          <w:sz w:val="28"/>
          <w:szCs w:val="48"/>
        </w:rPr>
        <w:t>E</w:t>
      </w:r>
      <w:r w:rsidR="00DC2538" w:rsidRPr="008C1E68">
        <w:rPr>
          <w:rFonts w:eastAsia="標楷體" w:cstheme="minorHAnsi"/>
          <w:bCs/>
          <w:color w:val="000000" w:themeColor="text1"/>
          <w:sz w:val="28"/>
          <w:szCs w:val="48"/>
        </w:rPr>
        <w:t>TF</w:t>
      </w:r>
      <w:r w:rsidR="00DC2538" w:rsidRPr="008C1E68">
        <w:rPr>
          <w:rFonts w:eastAsia="標楷體" w:cstheme="minorHAnsi" w:hint="eastAsia"/>
          <w:bCs/>
          <w:color w:val="000000" w:themeColor="text1"/>
          <w:sz w:val="28"/>
          <w:szCs w:val="48"/>
        </w:rPr>
        <w:t>之槓桿使用情況，避免期貨</w:t>
      </w:r>
      <w:r w:rsidR="00DC2538" w:rsidRPr="008C1E68">
        <w:rPr>
          <w:rFonts w:eastAsia="標楷體" w:cstheme="minorHAnsi" w:hint="eastAsia"/>
          <w:bCs/>
          <w:color w:val="000000" w:themeColor="text1"/>
          <w:sz w:val="28"/>
          <w:szCs w:val="48"/>
        </w:rPr>
        <w:t>E</w:t>
      </w:r>
      <w:r w:rsidR="00DC2538" w:rsidRPr="008C1E68">
        <w:rPr>
          <w:rFonts w:eastAsia="標楷體" w:cstheme="minorHAnsi"/>
          <w:bCs/>
          <w:color w:val="000000" w:themeColor="text1"/>
          <w:sz w:val="28"/>
          <w:szCs w:val="48"/>
        </w:rPr>
        <w:t>TF</w:t>
      </w:r>
      <w:r w:rsidR="00DC2538" w:rsidRPr="008C1E68">
        <w:rPr>
          <w:rFonts w:eastAsia="標楷體" w:cstheme="minorHAnsi" w:hint="eastAsia"/>
          <w:bCs/>
          <w:color w:val="000000" w:themeColor="text1"/>
          <w:sz w:val="28"/>
          <w:szCs w:val="48"/>
        </w:rPr>
        <w:t>因下市，造成投資人無法順利回補部位之風險</w:t>
      </w:r>
      <w:r w:rsidRPr="008C1E68">
        <w:rPr>
          <w:rFonts w:eastAsia="標楷體" w:cstheme="minorHAnsi" w:hint="eastAsia"/>
          <w:color w:val="000000" w:themeColor="text1"/>
          <w:sz w:val="28"/>
        </w:rPr>
        <w:t>。</w:t>
      </w:r>
    </w:p>
    <w:p w:rsidR="00B05CD9" w:rsidRPr="008C1E68" w:rsidRDefault="00944940" w:rsidP="00280EC2">
      <w:pPr>
        <w:spacing w:line="480" w:lineRule="exact"/>
        <w:ind w:left="561" w:hangingChars="200" w:hanging="561"/>
        <w:jc w:val="both"/>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t>三</w:t>
      </w:r>
      <w:r w:rsidR="00B05CD9" w:rsidRPr="008C1E68">
        <w:rPr>
          <w:rFonts w:eastAsia="標楷體" w:cstheme="minorHAnsi" w:hint="eastAsia"/>
          <w:b/>
          <w:bCs/>
          <w:color w:val="000000" w:themeColor="text1"/>
          <w:sz w:val="28"/>
          <w:szCs w:val="48"/>
        </w:rPr>
        <w:t>、增訂期貨</w:t>
      </w:r>
      <w:r w:rsidR="00B05CD9" w:rsidRPr="008C1E68">
        <w:rPr>
          <w:rFonts w:eastAsia="標楷體" w:cstheme="minorHAnsi"/>
          <w:b/>
          <w:bCs/>
          <w:color w:val="000000" w:themeColor="text1"/>
          <w:sz w:val="28"/>
          <w:szCs w:val="48"/>
        </w:rPr>
        <w:t>ETF</w:t>
      </w:r>
      <w:r w:rsidR="00B05CD9" w:rsidRPr="008C1E68">
        <w:rPr>
          <w:rFonts w:eastAsia="標楷體" w:cstheme="minorHAnsi" w:hint="eastAsia"/>
          <w:b/>
          <w:bCs/>
          <w:color w:val="000000" w:themeColor="text1"/>
          <w:sz w:val="28"/>
          <w:szCs w:val="48"/>
        </w:rPr>
        <w:t>管控措施</w:t>
      </w:r>
      <w:r w:rsidRPr="008C1E68">
        <w:rPr>
          <w:rFonts w:eastAsia="標楷體" w:cstheme="minorHAnsi" w:hint="eastAsia"/>
          <w:b/>
          <w:bCs/>
          <w:color w:val="000000" w:themeColor="text1"/>
          <w:sz w:val="28"/>
          <w:szCs w:val="48"/>
        </w:rPr>
        <w:t>之啟動點及恢復</w:t>
      </w:r>
      <w:r w:rsidRPr="008C1E68">
        <w:rPr>
          <w:rFonts w:eastAsia="標楷體" w:cstheme="minorHAnsi" w:hint="eastAsia"/>
          <w:b/>
          <w:bCs/>
          <w:color w:val="000000" w:themeColor="text1"/>
          <w:sz w:val="28"/>
          <w:szCs w:val="48"/>
        </w:rPr>
        <w:t>(</w:t>
      </w:r>
      <w:r w:rsidRPr="008C1E68">
        <w:rPr>
          <w:rFonts w:eastAsia="標楷體" w:cstheme="minorHAnsi" w:hint="eastAsia"/>
          <w:b/>
          <w:bCs/>
          <w:color w:val="000000" w:themeColor="text1"/>
          <w:sz w:val="28"/>
          <w:szCs w:val="48"/>
        </w:rPr>
        <w:t>取消</w:t>
      </w:r>
      <w:r w:rsidRPr="008C1E68">
        <w:rPr>
          <w:rFonts w:eastAsia="標楷體" w:cstheme="minorHAnsi" w:hint="eastAsia"/>
          <w:b/>
          <w:bCs/>
          <w:color w:val="000000" w:themeColor="text1"/>
          <w:sz w:val="28"/>
          <w:szCs w:val="48"/>
        </w:rPr>
        <w:t>)</w:t>
      </w:r>
      <w:r w:rsidRPr="008C1E68">
        <w:rPr>
          <w:rFonts w:eastAsia="標楷體" w:cstheme="minorHAnsi" w:hint="eastAsia"/>
          <w:b/>
          <w:bCs/>
          <w:color w:val="000000" w:themeColor="text1"/>
          <w:sz w:val="28"/>
          <w:szCs w:val="48"/>
        </w:rPr>
        <w:t>點</w:t>
      </w:r>
      <w:r w:rsidR="00B05CD9" w:rsidRPr="008C1E68">
        <w:rPr>
          <w:rFonts w:eastAsia="標楷體" w:cstheme="minorHAnsi" w:hint="eastAsia"/>
          <w:b/>
          <w:bCs/>
          <w:color w:val="000000" w:themeColor="text1"/>
          <w:sz w:val="28"/>
          <w:szCs w:val="48"/>
        </w:rPr>
        <w:t>為何</w:t>
      </w:r>
      <w:r w:rsidR="00B05CD9" w:rsidRPr="008C1E68">
        <w:rPr>
          <w:rFonts w:eastAsia="標楷體" w:cstheme="minorHAnsi" w:hint="eastAsia"/>
          <w:b/>
          <w:bCs/>
          <w:color w:val="000000" w:themeColor="text1"/>
          <w:sz w:val="28"/>
          <w:szCs w:val="48"/>
        </w:rPr>
        <w:t>?</w:t>
      </w:r>
    </w:p>
    <w:p w:rsidR="00B05CD9" w:rsidRPr="008C1E68" w:rsidRDefault="00B05CD9" w:rsidP="00B05CD9">
      <w:pPr>
        <w:pStyle w:val="a7"/>
        <w:numPr>
          <w:ilvl w:val="0"/>
          <w:numId w:val="2"/>
        </w:numPr>
        <w:spacing w:line="480" w:lineRule="exact"/>
        <w:ind w:leftChars="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如期貨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之最近十個營業日，平均單位淨資產價值較其最初單位淨資產價值累積跌幅達一定比例以上，分階段啟動下列措施：</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1</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取消信用交易、停止借</w:t>
      </w:r>
      <w:proofErr w:type="gramStart"/>
      <w:r w:rsidR="00B05CD9" w:rsidRPr="008C1E68">
        <w:rPr>
          <w:rFonts w:eastAsia="標楷體" w:cstheme="minorHAnsi" w:hint="eastAsia"/>
          <w:bCs/>
          <w:color w:val="000000" w:themeColor="text1"/>
          <w:sz w:val="28"/>
          <w:szCs w:val="48"/>
        </w:rPr>
        <w:t>券</w:t>
      </w:r>
      <w:proofErr w:type="gramEnd"/>
      <w:r w:rsidR="00B05CD9" w:rsidRPr="008C1E68">
        <w:rPr>
          <w:rFonts w:eastAsia="標楷體" w:cstheme="minorHAnsi" w:hint="eastAsia"/>
          <w:bCs/>
          <w:color w:val="000000" w:themeColor="text1"/>
          <w:sz w:val="28"/>
          <w:szCs w:val="48"/>
        </w:rPr>
        <w:t>及當沖交易：達百分之六十五以上。</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2</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預收投資人款</w:t>
      </w:r>
      <w:proofErr w:type="gramStart"/>
      <w:r w:rsidR="00B05CD9" w:rsidRPr="008C1E68">
        <w:rPr>
          <w:rFonts w:eastAsia="標楷體" w:cstheme="minorHAnsi" w:hint="eastAsia"/>
          <w:bCs/>
          <w:color w:val="000000" w:themeColor="text1"/>
          <w:sz w:val="28"/>
          <w:szCs w:val="48"/>
        </w:rPr>
        <w:t>券</w:t>
      </w:r>
      <w:proofErr w:type="gramEnd"/>
      <w:r w:rsidR="00B05CD9" w:rsidRPr="008C1E68">
        <w:rPr>
          <w:rFonts w:eastAsia="標楷體" w:cstheme="minorHAnsi" w:hint="eastAsia"/>
          <w:bCs/>
          <w:color w:val="000000" w:themeColor="text1"/>
          <w:sz w:val="28"/>
          <w:szCs w:val="48"/>
        </w:rPr>
        <w:t>：達百分之七十五以上。</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3</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限制投資人買進：達百分之八十五以上。</w:t>
      </w:r>
    </w:p>
    <w:p w:rsidR="00B05CD9" w:rsidRPr="008C1E68" w:rsidRDefault="00B05CD9" w:rsidP="00B05CD9">
      <w:pPr>
        <w:pStyle w:val="a7"/>
        <w:numPr>
          <w:ilvl w:val="0"/>
          <w:numId w:val="2"/>
        </w:numPr>
        <w:spacing w:line="480" w:lineRule="exact"/>
        <w:ind w:leftChars="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如期貨</w:t>
      </w:r>
      <w:r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自</w:t>
      </w:r>
      <w:proofErr w:type="gramStart"/>
      <w:r w:rsidRPr="008C1E68">
        <w:rPr>
          <w:rFonts w:eastAsia="標楷體" w:cstheme="minorHAnsi" w:hint="eastAsia"/>
          <w:bCs/>
          <w:color w:val="000000" w:themeColor="text1"/>
          <w:sz w:val="28"/>
          <w:szCs w:val="48"/>
        </w:rPr>
        <w:t>採</w:t>
      </w:r>
      <w:proofErr w:type="gramEnd"/>
      <w:r w:rsidRPr="008C1E68">
        <w:rPr>
          <w:rFonts w:eastAsia="標楷體" w:cstheme="minorHAnsi" w:hint="eastAsia"/>
          <w:bCs/>
          <w:color w:val="000000" w:themeColor="text1"/>
          <w:sz w:val="28"/>
          <w:szCs w:val="48"/>
        </w:rPr>
        <w:t>行上述措施日起之連續三十</w:t>
      </w:r>
      <w:proofErr w:type="gramStart"/>
      <w:r w:rsidRPr="008C1E68">
        <w:rPr>
          <w:rFonts w:eastAsia="標楷體" w:cstheme="minorHAnsi" w:hint="eastAsia"/>
          <w:bCs/>
          <w:color w:val="000000" w:themeColor="text1"/>
          <w:sz w:val="28"/>
          <w:szCs w:val="48"/>
        </w:rPr>
        <w:t>個</w:t>
      </w:r>
      <w:proofErr w:type="gramEnd"/>
      <w:r w:rsidRPr="008C1E68">
        <w:rPr>
          <w:rFonts w:eastAsia="標楷體" w:cstheme="minorHAnsi" w:hint="eastAsia"/>
          <w:bCs/>
          <w:color w:val="000000" w:themeColor="text1"/>
          <w:sz w:val="28"/>
          <w:szCs w:val="48"/>
        </w:rPr>
        <w:t>營業日，每日單位淨資產價值較其最初單位淨資產價值累積跌幅回復至一定比例，分階段恢復（取消）下列措施：</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1</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恢復信用、借</w:t>
      </w:r>
      <w:proofErr w:type="gramStart"/>
      <w:r w:rsidR="00B05CD9" w:rsidRPr="008C1E68">
        <w:rPr>
          <w:rFonts w:eastAsia="標楷體" w:cstheme="minorHAnsi" w:hint="eastAsia"/>
          <w:bCs/>
          <w:color w:val="000000" w:themeColor="text1"/>
          <w:sz w:val="28"/>
          <w:szCs w:val="48"/>
        </w:rPr>
        <w:t>券</w:t>
      </w:r>
      <w:proofErr w:type="gramEnd"/>
      <w:r w:rsidR="00B05CD9" w:rsidRPr="008C1E68">
        <w:rPr>
          <w:rFonts w:eastAsia="標楷體" w:cstheme="minorHAnsi" w:hint="eastAsia"/>
          <w:bCs/>
          <w:color w:val="000000" w:themeColor="text1"/>
          <w:sz w:val="28"/>
          <w:szCs w:val="48"/>
        </w:rPr>
        <w:t>及當沖交易：未達百分之六十五。</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2</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取消預收投資人款</w:t>
      </w:r>
      <w:proofErr w:type="gramStart"/>
      <w:r w:rsidR="00B05CD9" w:rsidRPr="008C1E68">
        <w:rPr>
          <w:rFonts w:eastAsia="標楷體" w:cstheme="minorHAnsi" w:hint="eastAsia"/>
          <w:bCs/>
          <w:color w:val="000000" w:themeColor="text1"/>
          <w:sz w:val="28"/>
          <w:szCs w:val="48"/>
        </w:rPr>
        <w:t>券</w:t>
      </w:r>
      <w:proofErr w:type="gramEnd"/>
      <w:r w:rsidR="00B05CD9" w:rsidRPr="008C1E68">
        <w:rPr>
          <w:rFonts w:eastAsia="標楷體" w:cstheme="minorHAnsi" w:hint="eastAsia"/>
          <w:bCs/>
          <w:color w:val="000000" w:themeColor="text1"/>
          <w:sz w:val="28"/>
          <w:szCs w:val="48"/>
        </w:rPr>
        <w:t>：未達百分之七十五。</w:t>
      </w:r>
    </w:p>
    <w:p w:rsidR="00B05CD9" w:rsidRPr="008C1E68" w:rsidRDefault="0038536D" w:rsidP="0038536D">
      <w:pPr>
        <w:spacing w:line="480" w:lineRule="exact"/>
        <w:ind w:leftChars="200" w:left="480" w:firstLineChars="100" w:firstLine="2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3</w:t>
      </w:r>
      <w:r w:rsidRPr="008C1E68">
        <w:rPr>
          <w:rFonts w:eastAsia="標楷體" w:cstheme="minorHAnsi"/>
          <w:bCs/>
          <w:color w:val="000000" w:themeColor="text1"/>
          <w:sz w:val="28"/>
          <w:szCs w:val="48"/>
        </w:rPr>
        <w:t>.</w:t>
      </w:r>
      <w:r w:rsidR="00B05CD9" w:rsidRPr="008C1E68">
        <w:rPr>
          <w:rFonts w:eastAsia="標楷體" w:cstheme="minorHAnsi" w:hint="eastAsia"/>
          <w:bCs/>
          <w:color w:val="000000" w:themeColor="text1"/>
          <w:sz w:val="28"/>
          <w:szCs w:val="48"/>
        </w:rPr>
        <w:t>取消限制投資人買進：未達百分之八十五。</w:t>
      </w:r>
    </w:p>
    <w:p w:rsidR="00944940" w:rsidRPr="008C1E68" w:rsidRDefault="00944940" w:rsidP="005F3CFC">
      <w:pPr>
        <w:spacing w:line="480" w:lineRule="exact"/>
        <w:ind w:left="561" w:hangingChars="200" w:hanging="561"/>
        <w:rPr>
          <w:rFonts w:eastAsia="標楷體" w:cstheme="minorHAnsi"/>
          <w:b/>
          <w:bCs/>
          <w:color w:val="000000" w:themeColor="text1"/>
          <w:sz w:val="28"/>
          <w:szCs w:val="48"/>
        </w:rPr>
      </w:pPr>
    </w:p>
    <w:p w:rsidR="005F3CFC" w:rsidRPr="008C1E68" w:rsidRDefault="00944940" w:rsidP="00A76BBA">
      <w:pPr>
        <w:spacing w:line="480" w:lineRule="exact"/>
        <w:ind w:left="561" w:hangingChars="200" w:hanging="561"/>
        <w:jc w:val="both"/>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lastRenderedPageBreak/>
        <w:t>四</w:t>
      </w:r>
      <w:r w:rsidR="005F3CFC" w:rsidRPr="008C1E68">
        <w:rPr>
          <w:rFonts w:eastAsia="標楷體" w:cstheme="minorHAnsi" w:hint="eastAsia"/>
          <w:b/>
          <w:bCs/>
          <w:color w:val="000000" w:themeColor="text1"/>
          <w:sz w:val="28"/>
          <w:szCs w:val="48"/>
        </w:rPr>
        <w:t>、</w:t>
      </w:r>
      <w:r w:rsidR="00EC08E8" w:rsidRPr="008C1E68">
        <w:rPr>
          <w:rFonts w:eastAsia="標楷體" w:cstheme="minorHAnsi" w:hint="eastAsia"/>
          <w:b/>
          <w:bCs/>
          <w:color w:val="000000" w:themeColor="text1"/>
          <w:sz w:val="28"/>
          <w:szCs w:val="48"/>
        </w:rPr>
        <w:t>期貨</w:t>
      </w:r>
      <w:r w:rsidR="00EC08E8" w:rsidRPr="008C1E68">
        <w:rPr>
          <w:rFonts w:eastAsia="標楷體" w:cstheme="minorHAnsi" w:hint="eastAsia"/>
          <w:b/>
          <w:bCs/>
          <w:color w:val="000000" w:themeColor="text1"/>
          <w:sz w:val="28"/>
          <w:szCs w:val="48"/>
        </w:rPr>
        <w:t>E</w:t>
      </w:r>
      <w:r w:rsidR="00EC08E8" w:rsidRPr="008C1E68">
        <w:rPr>
          <w:rFonts w:eastAsia="標楷體" w:cstheme="minorHAnsi"/>
          <w:b/>
          <w:bCs/>
          <w:color w:val="000000" w:themeColor="text1"/>
          <w:sz w:val="28"/>
          <w:szCs w:val="48"/>
        </w:rPr>
        <w:t>TF</w:t>
      </w:r>
      <w:r w:rsidR="005F3CFC" w:rsidRPr="008C1E68">
        <w:rPr>
          <w:rFonts w:eastAsia="標楷體" w:cstheme="minorHAnsi" w:hint="eastAsia"/>
          <w:b/>
          <w:bCs/>
          <w:color w:val="000000" w:themeColor="text1"/>
          <w:sz w:val="28"/>
          <w:szCs w:val="48"/>
        </w:rPr>
        <w:t>最近十個營業日之基金平均單位淨資產價值較其最初單位淨資產價值累積跌幅達百分之六十五以上者，於本公司公告後次一營業日起，暫停融資融券交易、停止有價證券借貸及當日沖銷交易，請問可以進行融資融券交易之了結嗎</w:t>
      </w:r>
      <w:r w:rsidR="005F3CFC" w:rsidRPr="008C1E68">
        <w:rPr>
          <w:rFonts w:eastAsia="標楷體" w:cstheme="minorHAnsi" w:hint="eastAsia"/>
          <w:b/>
          <w:bCs/>
          <w:color w:val="000000" w:themeColor="text1"/>
          <w:sz w:val="28"/>
          <w:szCs w:val="48"/>
        </w:rPr>
        <w:t>?</w:t>
      </w:r>
    </w:p>
    <w:p w:rsidR="005F3CFC" w:rsidRPr="008C1E68" w:rsidRDefault="005F3CFC" w:rsidP="00617B61">
      <w:pPr>
        <w:spacing w:line="480" w:lineRule="exact"/>
        <w:ind w:leftChars="200" w:left="480"/>
        <w:jc w:val="both"/>
        <w:rPr>
          <w:rFonts w:eastAsia="標楷體" w:cstheme="minorHAnsi"/>
          <w:bCs/>
          <w:color w:val="000000" w:themeColor="text1"/>
          <w:sz w:val="28"/>
          <w:szCs w:val="48"/>
        </w:rPr>
      </w:pPr>
      <w:r w:rsidRPr="00693451">
        <w:rPr>
          <w:rFonts w:eastAsia="標楷體" w:cstheme="minorHAnsi" w:hint="eastAsia"/>
          <w:bCs/>
          <w:color w:val="FF0000"/>
          <w:sz w:val="28"/>
          <w:szCs w:val="48"/>
        </w:rPr>
        <w:t>自基金平均單位淨資產價值較其最初單位淨資產價值累積跌幅達百分之六十五以上者，暫停融資融券係指不可以再新增融資融券交易，惟可進行融資融券了結交易</w:t>
      </w:r>
      <w:r w:rsidRPr="00693451">
        <w:rPr>
          <w:rFonts w:eastAsia="標楷體" w:cstheme="minorHAnsi" w:hint="eastAsia"/>
          <w:color w:val="FF0000"/>
          <w:sz w:val="28"/>
        </w:rPr>
        <w:t>。</w:t>
      </w:r>
    </w:p>
    <w:p w:rsidR="005C08FC" w:rsidRPr="008C1E68" w:rsidRDefault="00944940" w:rsidP="00280EC2">
      <w:pPr>
        <w:spacing w:line="480" w:lineRule="exact"/>
        <w:ind w:left="561" w:hangingChars="200" w:hanging="561"/>
        <w:jc w:val="both"/>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t>五</w:t>
      </w:r>
      <w:r w:rsidR="005C08FC" w:rsidRPr="008C1E68">
        <w:rPr>
          <w:rFonts w:eastAsia="標楷體" w:cstheme="minorHAnsi" w:hint="eastAsia"/>
          <w:b/>
          <w:bCs/>
          <w:color w:val="000000" w:themeColor="text1"/>
          <w:sz w:val="28"/>
          <w:szCs w:val="48"/>
        </w:rPr>
        <w:t>、</w:t>
      </w:r>
      <w:r w:rsidR="00EC08E8" w:rsidRPr="008C1E68">
        <w:rPr>
          <w:rFonts w:eastAsia="標楷體" w:cstheme="minorHAnsi" w:hint="eastAsia"/>
          <w:b/>
          <w:bCs/>
          <w:color w:val="000000" w:themeColor="text1"/>
          <w:sz w:val="28"/>
          <w:szCs w:val="48"/>
        </w:rPr>
        <w:t>期貨</w:t>
      </w:r>
      <w:r w:rsidR="00EC08E8" w:rsidRPr="008C1E68">
        <w:rPr>
          <w:rFonts w:eastAsia="標楷體" w:cstheme="minorHAnsi" w:hint="eastAsia"/>
          <w:b/>
          <w:bCs/>
          <w:color w:val="000000" w:themeColor="text1"/>
          <w:sz w:val="28"/>
          <w:szCs w:val="48"/>
        </w:rPr>
        <w:t>E</w:t>
      </w:r>
      <w:r w:rsidR="00EC08E8" w:rsidRPr="008C1E68">
        <w:rPr>
          <w:rFonts w:eastAsia="標楷體" w:cstheme="minorHAnsi"/>
          <w:b/>
          <w:bCs/>
          <w:color w:val="000000" w:themeColor="text1"/>
          <w:sz w:val="28"/>
          <w:szCs w:val="48"/>
        </w:rPr>
        <w:t>TF</w:t>
      </w:r>
      <w:r w:rsidR="005F3CFC" w:rsidRPr="008C1E68">
        <w:rPr>
          <w:rFonts w:eastAsia="標楷體" w:cstheme="minorHAnsi" w:hint="eastAsia"/>
          <w:b/>
          <w:bCs/>
          <w:color w:val="000000" w:themeColor="text1"/>
          <w:sz w:val="28"/>
          <w:szCs w:val="48"/>
        </w:rPr>
        <w:t>最近十個營業日之基金平均單位淨資產價值較其最初單位淨資產價值累積跌幅達百分之八十五以上者，於本公司公告後次一營業日起，</w:t>
      </w:r>
      <w:proofErr w:type="gramStart"/>
      <w:r w:rsidR="005F3CFC" w:rsidRPr="008C1E68">
        <w:rPr>
          <w:rFonts w:eastAsia="標楷體" w:cstheme="minorHAnsi" w:hint="eastAsia"/>
          <w:b/>
          <w:bCs/>
          <w:color w:val="000000" w:themeColor="text1"/>
          <w:sz w:val="28"/>
          <w:szCs w:val="48"/>
        </w:rPr>
        <w:t>併</w:t>
      </w:r>
      <w:proofErr w:type="gramEnd"/>
      <w:r w:rsidR="005F3CFC" w:rsidRPr="008C1E68">
        <w:rPr>
          <w:rFonts w:eastAsia="標楷體" w:cstheme="minorHAnsi" w:hint="eastAsia"/>
          <w:b/>
          <w:bCs/>
          <w:color w:val="000000" w:themeColor="text1"/>
          <w:sz w:val="28"/>
          <w:szCs w:val="48"/>
        </w:rPr>
        <w:t>同以其為標的之認購</w:t>
      </w:r>
      <w:r w:rsidR="005F3CFC" w:rsidRPr="008C1E68">
        <w:rPr>
          <w:rFonts w:eastAsia="標楷體" w:cstheme="minorHAnsi" w:hint="eastAsia"/>
          <w:b/>
          <w:bCs/>
          <w:color w:val="000000" w:themeColor="text1"/>
          <w:sz w:val="28"/>
          <w:szCs w:val="48"/>
        </w:rPr>
        <w:t>(</w:t>
      </w:r>
      <w:r w:rsidR="005F3CFC" w:rsidRPr="008C1E68">
        <w:rPr>
          <w:rFonts w:eastAsia="標楷體" w:cstheme="minorHAnsi" w:hint="eastAsia"/>
          <w:b/>
          <w:bCs/>
          <w:color w:val="000000" w:themeColor="text1"/>
          <w:sz w:val="28"/>
          <w:szCs w:val="48"/>
        </w:rPr>
        <w:t>售</w:t>
      </w:r>
      <w:r w:rsidR="005F3CFC" w:rsidRPr="008C1E68">
        <w:rPr>
          <w:rFonts w:eastAsia="標楷體" w:cstheme="minorHAnsi" w:hint="eastAsia"/>
          <w:b/>
          <w:bCs/>
          <w:color w:val="000000" w:themeColor="text1"/>
          <w:sz w:val="28"/>
          <w:szCs w:val="48"/>
        </w:rPr>
        <w:t>)</w:t>
      </w:r>
      <w:r w:rsidR="005F3CFC" w:rsidRPr="008C1E68">
        <w:rPr>
          <w:rFonts w:eastAsia="標楷體" w:cstheme="minorHAnsi" w:hint="eastAsia"/>
          <w:b/>
          <w:bCs/>
          <w:color w:val="000000" w:themeColor="text1"/>
          <w:sz w:val="28"/>
          <w:szCs w:val="48"/>
        </w:rPr>
        <w:t>權證，除權證流動量提供者專戶及避險專戶、指數股票型期貨信託基金受益憑證流動量提供者專戶外，其他投資人僅得賣出，不得買進委託，請問可以進行融資融券交易之了結嗎</w:t>
      </w:r>
      <w:r w:rsidR="005F3CFC" w:rsidRPr="008C1E68">
        <w:rPr>
          <w:rFonts w:eastAsia="標楷體" w:cstheme="minorHAnsi" w:hint="eastAsia"/>
          <w:b/>
          <w:bCs/>
          <w:color w:val="000000" w:themeColor="text1"/>
          <w:sz w:val="28"/>
          <w:szCs w:val="48"/>
        </w:rPr>
        <w:t>?</w:t>
      </w:r>
    </w:p>
    <w:p w:rsidR="00D42F1C" w:rsidRPr="00A76BBA" w:rsidRDefault="00693451" w:rsidP="00A76BBA">
      <w:pPr>
        <w:pStyle w:val="a7"/>
        <w:spacing w:line="480" w:lineRule="exact"/>
        <w:ind w:leftChars="0" w:left="669"/>
        <w:jc w:val="both"/>
        <w:rPr>
          <w:rFonts w:eastAsia="標楷體" w:cstheme="minorHAnsi"/>
          <w:color w:val="FF0000"/>
          <w:sz w:val="28"/>
        </w:rPr>
      </w:pPr>
      <w:r>
        <w:rPr>
          <w:rFonts w:eastAsia="標楷體" w:cstheme="minorHAnsi" w:hint="eastAsia"/>
          <w:bCs/>
          <w:color w:val="FF0000"/>
          <w:sz w:val="28"/>
          <w:szCs w:val="48"/>
        </w:rPr>
        <w:t>自</w:t>
      </w:r>
      <w:r w:rsidR="005F3CFC" w:rsidRPr="00A76BBA">
        <w:rPr>
          <w:rFonts w:eastAsia="標楷體" w:cstheme="minorHAnsi" w:hint="eastAsia"/>
          <w:bCs/>
          <w:color w:val="FF0000"/>
          <w:sz w:val="28"/>
          <w:szCs w:val="48"/>
        </w:rPr>
        <w:t>基金平均單位淨資產價值較其最初單位淨資產價值累積跌幅達百分之</w:t>
      </w:r>
      <w:r w:rsidR="00B06273" w:rsidRPr="00A76BBA">
        <w:rPr>
          <w:rFonts w:eastAsia="標楷體" w:cstheme="minorHAnsi" w:hint="eastAsia"/>
          <w:bCs/>
          <w:color w:val="FF0000"/>
          <w:sz w:val="28"/>
          <w:szCs w:val="48"/>
        </w:rPr>
        <w:t>八</w:t>
      </w:r>
      <w:r w:rsidR="005F3CFC" w:rsidRPr="00A76BBA">
        <w:rPr>
          <w:rFonts w:eastAsia="標楷體" w:cstheme="minorHAnsi" w:hint="eastAsia"/>
          <w:bCs/>
          <w:color w:val="FF0000"/>
          <w:sz w:val="28"/>
          <w:szCs w:val="48"/>
        </w:rPr>
        <w:t>十五以上者，</w:t>
      </w:r>
      <w:r w:rsidR="00B06273" w:rsidRPr="00A76BBA">
        <w:rPr>
          <w:rFonts w:eastAsia="標楷體" w:cstheme="minorHAnsi" w:hint="eastAsia"/>
          <w:bCs/>
          <w:color w:val="FF0000"/>
          <w:sz w:val="28"/>
          <w:szCs w:val="48"/>
        </w:rPr>
        <w:t>其他投資人僅得賣出，不得買進委託</w:t>
      </w:r>
      <w:r w:rsidR="007B7B50" w:rsidRPr="00A76BBA">
        <w:rPr>
          <w:rFonts w:eastAsia="標楷體" w:cstheme="minorHAnsi" w:hint="eastAsia"/>
          <w:bCs/>
          <w:color w:val="FF0000"/>
          <w:sz w:val="28"/>
          <w:szCs w:val="48"/>
        </w:rPr>
        <w:t>，</w:t>
      </w:r>
      <w:r w:rsidR="00A76BBA" w:rsidRPr="00A76BBA">
        <w:rPr>
          <w:rFonts w:eastAsia="標楷體" w:cstheme="minorHAnsi" w:hint="eastAsia"/>
          <w:bCs/>
          <w:color w:val="FF0000"/>
          <w:sz w:val="28"/>
          <w:szCs w:val="48"/>
        </w:rPr>
        <w:t>惟</w:t>
      </w:r>
      <w:bookmarkStart w:id="0" w:name="_GoBack"/>
      <w:bookmarkEnd w:id="0"/>
      <w:r w:rsidR="00A76BBA" w:rsidRPr="00A76BBA">
        <w:rPr>
          <w:rFonts w:eastAsia="標楷體" w:cstheme="minorHAnsi" w:hint="eastAsia"/>
          <w:bCs/>
          <w:color w:val="FF0000"/>
          <w:sz w:val="28"/>
          <w:szCs w:val="48"/>
        </w:rPr>
        <w:t>仍得</w:t>
      </w:r>
      <w:r w:rsidR="007B7B50" w:rsidRPr="00A76BBA">
        <w:rPr>
          <w:rFonts w:eastAsia="標楷體" w:cstheme="minorHAnsi" w:hint="eastAsia"/>
          <w:bCs/>
          <w:color w:val="FF0000"/>
          <w:sz w:val="28"/>
          <w:szCs w:val="48"/>
        </w:rPr>
        <w:t>進行</w:t>
      </w:r>
      <w:r w:rsidR="005F3CFC" w:rsidRPr="00A76BBA">
        <w:rPr>
          <w:rFonts w:eastAsia="標楷體" w:cstheme="minorHAnsi" w:hint="eastAsia"/>
          <w:bCs/>
          <w:color w:val="FF0000"/>
          <w:sz w:val="28"/>
          <w:szCs w:val="48"/>
        </w:rPr>
        <w:t>融資融券</w:t>
      </w:r>
      <w:r w:rsidR="007B7B50" w:rsidRPr="00A76BBA">
        <w:rPr>
          <w:rFonts w:eastAsia="標楷體" w:cstheme="minorHAnsi" w:hint="eastAsia"/>
          <w:bCs/>
          <w:color w:val="FF0000"/>
          <w:sz w:val="28"/>
          <w:szCs w:val="48"/>
        </w:rPr>
        <w:t>交易之了結</w:t>
      </w:r>
      <w:r w:rsidR="007B7B50" w:rsidRPr="00A76BBA">
        <w:rPr>
          <w:rFonts w:eastAsia="標楷體" w:cstheme="minorHAnsi" w:hint="eastAsia"/>
          <w:bCs/>
          <w:color w:val="FF0000"/>
          <w:sz w:val="28"/>
          <w:szCs w:val="48"/>
        </w:rPr>
        <w:t>(</w:t>
      </w:r>
      <w:r w:rsidR="00B06273" w:rsidRPr="00A76BBA">
        <w:rPr>
          <w:rFonts w:eastAsia="標楷體" w:cstheme="minorHAnsi" w:hint="eastAsia"/>
          <w:bCs/>
          <w:color w:val="FF0000"/>
          <w:sz w:val="28"/>
          <w:szCs w:val="48"/>
        </w:rPr>
        <w:t>包含融券買進</w:t>
      </w:r>
      <w:r w:rsidR="00ED13E6" w:rsidRPr="00A76BBA">
        <w:rPr>
          <w:rFonts w:eastAsia="標楷體" w:cstheme="minorHAnsi" w:hint="eastAsia"/>
          <w:bCs/>
          <w:color w:val="FF0000"/>
          <w:sz w:val="28"/>
          <w:szCs w:val="48"/>
        </w:rPr>
        <w:t>及</w:t>
      </w:r>
      <w:r w:rsidR="00B06273" w:rsidRPr="00A76BBA">
        <w:rPr>
          <w:rFonts w:eastAsia="標楷體" w:cstheme="minorHAnsi" w:hint="eastAsia"/>
          <w:bCs/>
          <w:color w:val="FF0000"/>
          <w:sz w:val="28"/>
          <w:szCs w:val="48"/>
        </w:rPr>
        <w:t>融資賣出交易</w:t>
      </w:r>
      <w:r w:rsidR="007B7B50" w:rsidRPr="00A76BBA">
        <w:rPr>
          <w:rFonts w:eastAsia="標楷體" w:cstheme="minorHAnsi" w:hint="eastAsia"/>
          <w:bCs/>
          <w:color w:val="FF0000"/>
          <w:sz w:val="28"/>
          <w:szCs w:val="48"/>
        </w:rPr>
        <w:t>)</w:t>
      </w:r>
      <w:r w:rsidR="005F3CFC" w:rsidRPr="00A76BBA">
        <w:rPr>
          <w:rFonts w:eastAsia="標楷體" w:cstheme="minorHAnsi" w:hint="eastAsia"/>
          <w:bCs/>
          <w:color w:val="FF0000"/>
          <w:sz w:val="28"/>
          <w:szCs w:val="48"/>
        </w:rPr>
        <w:t>。</w:t>
      </w:r>
    </w:p>
    <w:p w:rsidR="00FC5850" w:rsidRPr="008C1E68" w:rsidRDefault="00FC5850" w:rsidP="00280EC2">
      <w:pPr>
        <w:spacing w:line="480" w:lineRule="exact"/>
        <w:ind w:left="561" w:hangingChars="200" w:hanging="561"/>
        <w:jc w:val="both"/>
        <w:rPr>
          <w:rFonts w:eastAsia="標楷體" w:cstheme="minorHAnsi"/>
          <w:b/>
          <w:bCs/>
          <w:color w:val="000000" w:themeColor="text1"/>
          <w:sz w:val="28"/>
          <w:szCs w:val="48"/>
        </w:rPr>
      </w:pPr>
      <w:r w:rsidRPr="008C1E68">
        <w:rPr>
          <w:rFonts w:eastAsia="標楷體" w:cstheme="minorHAnsi" w:hint="eastAsia"/>
          <w:b/>
          <w:bCs/>
          <w:color w:val="000000" w:themeColor="text1"/>
          <w:sz w:val="28"/>
          <w:szCs w:val="48"/>
        </w:rPr>
        <w:t>六、</w:t>
      </w:r>
      <w:r w:rsidR="00EC08E8" w:rsidRPr="008C1E68">
        <w:rPr>
          <w:rFonts w:eastAsia="標楷體" w:cstheme="minorHAnsi" w:hint="eastAsia"/>
          <w:b/>
          <w:bCs/>
          <w:color w:val="000000" w:themeColor="text1"/>
          <w:sz w:val="28"/>
          <w:szCs w:val="48"/>
        </w:rPr>
        <w:t>期貨</w:t>
      </w:r>
      <w:r w:rsidR="00EC08E8" w:rsidRPr="008C1E68">
        <w:rPr>
          <w:rFonts w:eastAsia="標楷體" w:cstheme="minorHAnsi" w:hint="eastAsia"/>
          <w:b/>
          <w:bCs/>
          <w:color w:val="000000" w:themeColor="text1"/>
          <w:sz w:val="28"/>
          <w:szCs w:val="48"/>
        </w:rPr>
        <w:t>E</w:t>
      </w:r>
      <w:r w:rsidR="00EC08E8" w:rsidRPr="008C1E68">
        <w:rPr>
          <w:rFonts w:eastAsia="標楷體" w:cstheme="minorHAnsi"/>
          <w:b/>
          <w:bCs/>
          <w:color w:val="000000" w:themeColor="text1"/>
          <w:sz w:val="28"/>
          <w:szCs w:val="48"/>
        </w:rPr>
        <w:t>TF</w:t>
      </w:r>
      <w:r w:rsidRPr="008C1E68">
        <w:rPr>
          <w:rFonts w:eastAsia="標楷體" w:cstheme="minorHAnsi" w:hint="eastAsia"/>
          <w:b/>
          <w:bCs/>
          <w:color w:val="000000" w:themeColor="text1"/>
          <w:sz w:val="28"/>
          <w:szCs w:val="48"/>
        </w:rPr>
        <w:t>最近十個營業日之基金平均單位淨資產價值較其最初單位淨資產價值累積跌幅達百分之八十五以上者，於本公司公告後次一營業日起，</w:t>
      </w:r>
      <w:proofErr w:type="gramStart"/>
      <w:r w:rsidRPr="008C1E68">
        <w:rPr>
          <w:rFonts w:eastAsia="標楷體" w:cstheme="minorHAnsi" w:hint="eastAsia"/>
          <w:b/>
          <w:bCs/>
          <w:color w:val="000000" w:themeColor="text1"/>
          <w:sz w:val="28"/>
          <w:szCs w:val="48"/>
        </w:rPr>
        <w:t>併</w:t>
      </w:r>
      <w:proofErr w:type="gramEnd"/>
      <w:r w:rsidRPr="008C1E68">
        <w:rPr>
          <w:rFonts w:eastAsia="標楷體" w:cstheme="minorHAnsi" w:hint="eastAsia"/>
          <w:b/>
          <w:bCs/>
          <w:color w:val="000000" w:themeColor="text1"/>
          <w:sz w:val="28"/>
          <w:szCs w:val="48"/>
        </w:rPr>
        <w:t>同以其為標的之認購</w:t>
      </w:r>
      <w:r w:rsidRPr="008C1E68">
        <w:rPr>
          <w:rFonts w:eastAsia="標楷體" w:cstheme="minorHAnsi" w:hint="eastAsia"/>
          <w:b/>
          <w:bCs/>
          <w:color w:val="000000" w:themeColor="text1"/>
          <w:sz w:val="28"/>
          <w:szCs w:val="48"/>
        </w:rPr>
        <w:t>(</w:t>
      </w:r>
      <w:r w:rsidRPr="008C1E68">
        <w:rPr>
          <w:rFonts w:eastAsia="標楷體" w:cstheme="minorHAnsi" w:hint="eastAsia"/>
          <w:b/>
          <w:bCs/>
          <w:color w:val="000000" w:themeColor="text1"/>
          <w:sz w:val="28"/>
          <w:szCs w:val="48"/>
        </w:rPr>
        <w:t>售</w:t>
      </w:r>
      <w:r w:rsidRPr="008C1E68">
        <w:rPr>
          <w:rFonts w:eastAsia="標楷體" w:cstheme="minorHAnsi" w:hint="eastAsia"/>
          <w:b/>
          <w:bCs/>
          <w:color w:val="000000" w:themeColor="text1"/>
          <w:sz w:val="28"/>
          <w:szCs w:val="48"/>
        </w:rPr>
        <w:t>)</w:t>
      </w:r>
      <w:r w:rsidRPr="008C1E68">
        <w:rPr>
          <w:rFonts w:eastAsia="標楷體" w:cstheme="minorHAnsi" w:hint="eastAsia"/>
          <w:b/>
          <w:bCs/>
          <w:color w:val="000000" w:themeColor="text1"/>
          <w:sz w:val="28"/>
          <w:szCs w:val="48"/>
        </w:rPr>
        <w:t>權證，</w:t>
      </w:r>
      <w:r w:rsidR="009249B2" w:rsidRPr="008C1E68">
        <w:rPr>
          <w:rFonts w:eastAsia="標楷體" w:cstheme="minorHAnsi" w:hint="eastAsia"/>
          <w:bCs/>
          <w:color w:val="000000" w:themeColor="text1"/>
          <w:sz w:val="28"/>
          <w:szCs w:val="48"/>
        </w:rPr>
        <w:t>投資人僅得賣出，不得買進委託</w:t>
      </w:r>
      <w:r w:rsidR="007475AB" w:rsidRPr="008C1E68">
        <w:rPr>
          <w:rFonts w:eastAsia="標楷體" w:cstheme="minorHAnsi" w:hint="eastAsia"/>
          <w:bCs/>
          <w:color w:val="000000" w:themeColor="text1"/>
          <w:sz w:val="28"/>
          <w:szCs w:val="48"/>
        </w:rPr>
        <w:t>。</w:t>
      </w:r>
      <w:r w:rsidRPr="008C1E68">
        <w:rPr>
          <w:rFonts w:eastAsia="標楷體" w:cstheme="minorHAnsi" w:hint="eastAsia"/>
          <w:b/>
          <w:bCs/>
          <w:color w:val="000000" w:themeColor="text1"/>
          <w:sz w:val="28"/>
          <w:szCs w:val="48"/>
        </w:rPr>
        <w:t>為何允許權證流動量提供者專戶及避險專戶、期貨</w:t>
      </w:r>
      <w:r w:rsidR="007475AB" w:rsidRPr="008C1E68">
        <w:rPr>
          <w:rFonts w:eastAsia="標楷體" w:cstheme="minorHAnsi" w:hint="eastAsia"/>
          <w:b/>
          <w:bCs/>
          <w:color w:val="000000" w:themeColor="text1"/>
          <w:sz w:val="28"/>
          <w:szCs w:val="48"/>
        </w:rPr>
        <w:t>ETF</w:t>
      </w:r>
      <w:r w:rsidRPr="008C1E68">
        <w:rPr>
          <w:rFonts w:eastAsia="標楷體" w:cstheme="minorHAnsi" w:hint="eastAsia"/>
          <w:b/>
          <w:bCs/>
          <w:color w:val="000000" w:themeColor="text1"/>
          <w:sz w:val="28"/>
          <w:szCs w:val="48"/>
        </w:rPr>
        <w:t>流動量提供者專戶，進行買進委託</w:t>
      </w:r>
      <w:r w:rsidRPr="008C1E68">
        <w:rPr>
          <w:rFonts w:eastAsia="標楷體" w:cstheme="minorHAnsi" w:hint="eastAsia"/>
          <w:b/>
          <w:bCs/>
          <w:color w:val="000000" w:themeColor="text1"/>
          <w:sz w:val="28"/>
          <w:szCs w:val="48"/>
        </w:rPr>
        <w:t>?</w:t>
      </w:r>
      <w:r w:rsidR="008F7A76" w:rsidRPr="008C1E68">
        <w:rPr>
          <w:rFonts w:eastAsia="標楷體" w:cstheme="minorHAnsi"/>
          <w:b/>
          <w:bCs/>
          <w:color w:val="000000" w:themeColor="text1"/>
          <w:sz w:val="28"/>
          <w:szCs w:val="48"/>
        </w:rPr>
        <w:t xml:space="preserve"> </w:t>
      </w:r>
    </w:p>
    <w:p w:rsidR="008F7A76" w:rsidRPr="008C1E68" w:rsidRDefault="00280EC2" w:rsidP="008F7A76">
      <w:pPr>
        <w:spacing w:line="480" w:lineRule="exact"/>
        <w:ind w:leftChars="200" w:left="480"/>
        <w:jc w:val="both"/>
        <w:rPr>
          <w:rFonts w:eastAsia="標楷體" w:cstheme="minorHAnsi"/>
          <w:bCs/>
          <w:color w:val="000000" w:themeColor="text1"/>
          <w:sz w:val="28"/>
          <w:szCs w:val="48"/>
        </w:rPr>
      </w:pPr>
      <w:r w:rsidRPr="008C1E68">
        <w:rPr>
          <w:rFonts w:eastAsia="標楷體" w:cstheme="minorHAnsi" w:hint="eastAsia"/>
          <w:bCs/>
          <w:color w:val="000000" w:themeColor="text1"/>
          <w:sz w:val="28"/>
          <w:szCs w:val="48"/>
        </w:rPr>
        <w:t>由於已限制其他投資人僅得賣出</w:t>
      </w:r>
      <w:r w:rsidR="0075185A" w:rsidRPr="008C1E68">
        <w:rPr>
          <w:rFonts w:eastAsia="標楷體" w:cstheme="minorHAnsi" w:hint="eastAsia"/>
          <w:bCs/>
          <w:color w:val="000000" w:themeColor="text1"/>
          <w:sz w:val="28"/>
          <w:szCs w:val="48"/>
        </w:rPr>
        <w:t>而不能再買進</w:t>
      </w:r>
      <w:r w:rsidR="00EC08E8" w:rsidRPr="008C1E68">
        <w:rPr>
          <w:rFonts w:eastAsia="標楷體" w:cstheme="minorHAnsi" w:hint="eastAsia"/>
          <w:bCs/>
          <w:color w:val="000000" w:themeColor="text1"/>
          <w:sz w:val="28"/>
          <w:szCs w:val="48"/>
        </w:rPr>
        <w:t>期貨</w:t>
      </w:r>
      <w:r w:rsidR="00EC08E8" w:rsidRPr="008C1E68">
        <w:rPr>
          <w:rFonts w:eastAsia="標楷體" w:cstheme="minorHAnsi" w:hint="eastAsia"/>
          <w:bCs/>
          <w:color w:val="000000" w:themeColor="text1"/>
          <w:sz w:val="28"/>
          <w:szCs w:val="48"/>
        </w:rPr>
        <w:t>E</w:t>
      </w:r>
      <w:r w:rsidR="00EC08E8" w:rsidRPr="008C1E68">
        <w:rPr>
          <w:rFonts w:eastAsia="標楷體" w:cstheme="minorHAnsi"/>
          <w:bCs/>
          <w:color w:val="000000" w:themeColor="text1"/>
          <w:sz w:val="28"/>
          <w:szCs w:val="48"/>
        </w:rPr>
        <w:t>TF</w:t>
      </w:r>
      <w:r w:rsidR="0075185A" w:rsidRPr="008C1E68">
        <w:rPr>
          <w:rFonts w:eastAsia="標楷體" w:cstheme="minorHAnsi" w:hint="eastAsia"/>
          <w:bCs/>
          <w:color w:val="000000" w:themeColor="text1"/>
          <w:sz w:val="28"/>
          <w:szCs w:val="48"/>
        </w:rPr>
        <w:t>及以其為標的之認購</w:t>
      </w:r>
      <w:r w:rsidR="0075185A" w:rsidRPr="008C1E68">
        <w:rPr>
          <w:rFonts w:eastAsia="標楷體" w:cstheme="minorHAnsi" w:hint="eastAsia"/>
          <w:bCs/>
          <w:color w:val="000000" w:themeColor="text1"/>
          <w:sz w:val="28"/>
          <w:szCs w:val="48"/>
        </w:rPr>
        <w:t>(</w:t>
      </w:r>
      <w:r w:rsidR="0075185A" w:rsidRPr="008C1E68">
        <w:rPr>
          <w:rFonts w:eastAsia="標楷體" w:cstheme="minorHAnsi" w:hint="eastAsia"/>
          <w:bCs/>
          <w:color w:val="000000" w:themeColor="text1"/>
          <w:sz w:val="28"/>
          <w:szCs w:val="48"/>
        </w:rPr>
        <w:t>售</w:t>
      </w:r>
      <w:r w:rsidR="0075185A" w:rsidRPr="008C1E68">
        <w:rPr>
          <w:rFonts w:eastAsia="標楷體" w:cstheme="minorHAnsi" w:hint="eastAsia"/>
          <w:bCs/>
          <w:color w:val="000000" w:themeColor="text1"/>
          <w:sz w:val="28"/>
          <w:szCs w:val="48"/>
        </w:rPr>
        <w:t>)</w:t>
      </w:r>
      <w:r w:rsidR="0075185A" w:rsidRPr="008C1E68">
        <w:rPr>
          <w:rFonts w:eastAsia="標楷體" w:cstheme="minorHAnsi" w:hint="eastAsia"/>
          <w:bCs/>
          <w:color w:val="000000" w:themeColor="text1"/>
          <w:sz w:val="28"/>
          <w:szCs w:val="48"/>
        </w:rPr>
        <w:t>權證</w:t>
      </w:r>
      <w:r w:rsidRPr="008C1E68">
        <w:rPr>
          <w:rFonts w:eastAsia="標楷體" w:cstheme="minorHAnsi" w:hint="eastAsia"/>
          <w:bCs/>
          <w:color w:val="000000" w:themeColor="text1"/>
          <w:sz w:val="28"/>
          <w:szCs w:val="48"/>
        </w:rPr>
        <w:t>，為讓</w:t>
      </w:r>
      <w:r w:rsidR="00EC08E8" w:rsidRPr="008C1E68">
        <w:rPr>
          <w:rFonts w:eastAsia="標楷體" w:cstheme="minorHAnsi" w:hint="eastAsia"/>
          <w:bCs/>
          <w:color w:val="000000" w:themeColor="text1"/>
          <w:sz w:val="28"/>
          <w:szCs w:val="48"/>
        </w:rPr>
        <w:t>其他投資人賣出</w:t>
      </w:r>
      <w:r w:rsidR="0075185A" w:rsidRPr="008C1E68">
        <w:rPr>
          <w:rFonts w:eastAsia="標楷體" w:cstheme="minorHAnsi" w:hint="eastAsia"/>
          <w:bCs/>
          <w:color w:val="000000" w:themeColor="text1"/>
          <w:sz w:val="28"/>
          <w:szCs w:val="48"/>
        </w:rPr>
        <w:t>前述有價證券仍有出路</w:t>
      </w:r>
      <w:r w:rsidRPr="008C1E68">
        <w:rPr>
          <w:rFonts w:eastAsia="標楷體" w:cstheme="minorHAnsi" w:hint="eastAsia"/>
          <w:bCs/>
          <w:color w:val="000000" w:themeColor="text1"/>
          <w:sz w:val="28"/>
          <w:szCs w:val="48"/>
        </w:rPr>
        <w:t>，</w:t>
      </w:r>
      <w:r w:rsidR="0075185A" w:rsidRPr="008C1E68">
        <w:rPr>
          <w:rFonts w:eastAsia="標楷體" w:cstheme="minorHAnsi" w:hint="eastAsia"/>
          <w:bCs/>
          <w:color w:val="000000" w:themeColor="text1"/>
          <w:sz w:val="28"/>
          <w:szCs w:val="48"/>
        </w:rPr>
        <w:t>爰</w:t>
      </w:r>
      <w:r w:rsidRPr="008C1E68">
        <w:rPr>
          <w:rFonts w:eastAsia="標楷體" w:cstheme="minorHAnsi" w:hint="eastAsia"/>
          <w:bCs/>
          <w:color w:val="000000" w:themeColor="text1"/>
          <w:sz w:val="28"/>
          <w:szCs w:val="48"/>
        </w:rPr>
        <w:t>允許權證流動量提供者專戶及避險專戶、期貨</w:t>
      </w:r>
      <w:r w:rsidR="007475AB" w:rsidRPr="008C1E68">
        <w:rPr>
          <w:rFonts w:eastAsia="標楷體" w:cstheme="minorHAnsi" w:hint="eastAsia"/>
          <w:bCs/>
          <w:color w:val="000000" w:themeColor="text1"/>
          <w:sz w:val="28"/>
          <w:szCs w:val="48"/>
        </w:rPr>
        <w:t>ETF</w:t>
      </w:r>
      <w:r w:rsidRPr="008C1E68">
        <w:rPr>
          <w:rFonts w:eastAsia="標楷體" w:cstheme="minorHAnsi" w:hint="eastAsia"/>
          <w:bCs/>
          <w:color w:val="000000" w:themeColor="text1"/>
          <w:sz w:val="28"/>
          <w:szCs w:val="48"/>
        </w:rPr>
        <w:t>流動量提供者專戶</w:t>
      </w:r>
      <w:r w:rsidR="0075185A" w:rsidRPr="008C1E68">
        <w:rPr>
          <w:rFonts w:eastAsia="標楷體" w:cstheme="minorHAnsi" w:hint="eastAsia"/>
          <w:bCs/>
          <w:color w:val="000000" w:themeColor="text1"/>
          <w:sz w:val="28"/>
          <w:szCs w:val="48"/>
        </w:rPr>
        <w:t>等，可以繼續買進前述有價證券，以避免造成投資人無法順利</w:t>
      </w:r>
      <w:r w:rsidR="00664074" w:rsidRPr="008C1E68">
        <w:rPr>
          <w:rFonts w:eastAsia="標楷體" w:cstheme="minorHAnsi" w:hint="eastAsia"/>
          <w:bCs/>
          <w:color w:val="000000" w:themeColor="text1"/>
          <w:sz w:val="28"/>
          <w:szCs w:val="48"/>
        </w:rPr>
        <w:t>回補</w:t>
      </w:r>
      <w:r w:rsidR="0075185A" w:rsidRPr="008C1E68">
        <w:rPr>
          <w:rFonts w:eastAsia="標楷體" w:cstheme="minorHAnsi" w:hint="eastAsia"/>
          <w:bCs/>
          <w:color w:val="000000" w:themeColor="text1"/>
          <w:sz w:val="28"/>
          <w:szCs w:val="48"/>
        </w:rPr>
        <w:t>部位之風險。</w:t>
      </w:r>
    </w:p>
    <w:p w:rsidR="00FC5850" w:rsidRPr="00FC5850" w:rsidRDefault="00FC5850" w:rsidP="00FC5850">
      <w:pPr>
        <w:spacing w:line="480" w:lineRule="exact"/>
        <w:ind w:left="204"/>
        <w:jc w:val="both"/>
        <w:rPr>
          <w:rFonts w:eastAsia="標楷體" w:cstheme="minorHAnsi"/>
          <w:color w:val="FF0000"/>
          <w:sz w:val="28"/>
        </w:rPr>
      </w:pPr>
    </w:p>
    <w:sectPr w:rsidR="00FC5850" w:rsidRPr="00FC585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DF" w:rsidRDefault="005725DF" w:rsidP="00617B61">
      <w:r>
        <w:separator/>
      </w:r>
    </w:p>
  </w:endnote>
  <w:endnote w:type="continuationSeparator" w:id="0">
    <w:p w:rsidR="005725DF" w:rsidRDefault="005725DF" w:rsidP="0061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61052"/>
      <w:docPartObj>
        <w:docPartGallery w:val="Page Numbers (Bottom of Page)"/>
        <w:docPartUnique/>
      </w:docPartObj>
    </w:sdtPr>
    <w:sdtEndPr/>
    <w:sdtContent>
      <w:p w:rsidR="00944940" w:rsidRDefault="00944940">
        <w:pPr>
          <w:pStyle w:val="a5"/>
          <w:jc w:val="center"/>
        </w:pPr>
        <w:r>
          <w:fldChar w:fldCharType="begin"/>
        </w:r>
        <w:r>
          <w:instrText>PAGE   \* MERGEFORMAT</w:instrText>
        </w:r>
        <w:r>
          <w:fldChar w:fldCharType="separate"/>
        </w:r>
        <w:r w:rsidR="00693451" w:rsidRPr="00693451">
          <w:rPr>
            <w:noProof/>
            <w:lang w:val="zh-TW"/>
          </w:rPr>
          <w:t>2</w:t>
        </w:r>
        <w:r>
          <w:fldChar w:fldCharType="end"/>
        </w:r>
      </w:p>
    </w:sdtContent>
  </w:sdt>
  <w:p w:rsidR="00944940" w:rsidRDefault="009449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DF" w:rsidRDefault="005725DF" w:rsidP="00617B61">
      <w:r>
        <w:separator/>
      </w:r>
    </w:p>
  </w:footnote>
  <w:footnote w:type="continuationSeparator" w:id="0">
    <w:p w:rsidR="005725DF" w:rsidRDefault="005725DF" w:rsidP="0061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12C0"/>
    <w:multiLevelType w:val="hybridMultilevel"/>
    <w:tmpl w:val="F3407C82"/>
    <w:lvl w:ilvl="0" w:tplc="8CCCDB2E">
      <w:start w:val="1"/>
      <w:numFmt w:val="taiwaneseCountingThousand"/>
      <w:lvlText w:val="(%1)"/>
      <w:lvlJc w:val="left"/>
      <w:pPr>
        <w:ind w:left="1410" w:hanging="465"/>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15:restartNumberingAfterBreak="0">
    <w:nsid w:val="43C34B86"/>
    <w:multiLevelType w:val="hybridMultilevel"/>
    <w:tmpl w:val="509A84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6706F07"/>
    <w:multiLevelType w:val="hybridMultilevel"/>
    <w:tmpl w:val="7150932C"/>
    <w:lvl w:ilvl="0" w:tplc="4A8E7A68">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FC"/>
    <w:rsid w:val="000F029A"/>
    <w:rsid w:val="00280EC2"/>
    <w:rsid w:val="002B45C3"/>
    <w:rsid w:val="00373EF6"/>
    <w:rsid w:val="0038536D"/>
    <w:rsid w:val="003B55DD"/>
    <w:rsid w:val="003C2859"/>
    <w:rsid w:val="00474589"/>
    <w:rsid w:val="00475C7D"/>
    <w:rsid w:val="0048634B"/>
    <w:rsid w:val="004D4AAB"/>
    <w:rsid w:val="004F4FA4"/>
    <w:rsid w:val="005725DF"/>
    <w:rsid w:val="0057406D"/>
    <w:rsid w:val="00574D1D"/>
    <w:rsid w:val="00594159"/>
    <w:rsid w:val="005C08FC"/>
    <w:rsid w:val="005F3CFC"/>
    <w:rsid w:val="00617B61"/>
    <w:rsid w:val="0062348E"/>
    <w:rsid w:val="00664074"/>
    <w:rsid w:val="00693451"/>
    <w:rsid w:val="007475AB"/>
    <w:rsid w:val="0075185A"/>
    <w:rsid w:val="00751ABE"/>
    <w:rsid w:val="00764D5D"/>
    <w:rsid w:val="007B7B50"/>
    <w:rsid w:val="007D0481"/>
    <w:rsid w:val="00823FDE"/>
    <w:rsid w:val="008C1E68"/>
    <w:rsid w:val="008F7A76"/>
    <w:rsid w:val="009249B2"/>
    <w:rsid w:val="00944940"/>
    <w:rsid w:val="0094749B"/>
    <w:rsid w:val="009C4327"/>
    <w:rsid w:val="00A24FA1"/>
    <w:rsid w:val="00A76BBA"/>
    <w:rsid w:val="00AD76ED"/>
    <w:rsid w:val="00AF6EEA"/>
    <w:rsid w:val="00B05CD9"/>
    <w:rsid w:val="00B06273"/>
    <w:rsid w:val="00B449DD"/>
    <w:rsid w:val="00B777FF"/>
    <w:rsid w:val="00B823D0"/>
    <w:rsid w:val="00C57C96"/>
    <w:rsid w:val="00D42F1C"/>
    <w:rsid w:val="00D51230"/>
    <w:rsid w:val="00D707A5"/>
    <w:rsid w:val="00DC2538"/>
    <w:rsid w:val="00DC5956"/>
    <w:rsid w:val="00DE6872"/>
    <w:rsid w:val="00EC08E8"/>
    <w:rsid w:val="00ED13E6"/>
    <w:rsid w:val="00F27979"/>
    <w:rsid w:val="00F829F6"/>
    <w:rsid w:val="00FC5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2112"/>
  <w15:chartTrackingRefBased/>
  <w15:docId w15:val="{FDCDA6EB-AADE-493E-AF87-7BE0B215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8FC"/>
    <w:pPr>
      <w:widowControl w:val="0"/>
      <w:autoSpaceDE w:val="0"/>
      <w:autoSpaceDN w:val="0"/>
      <w:adjustRightInd w:val="0"/>
    </w:pPr>
    <w:rPr>
      <w:rFonts w:ascii="微軟正黑體" w:eastAsia="微軟正黑體" w:cs="微軟正黑體"/>
      <w:color w:val="000000"/>
      <w:kern w:val="0"/>
      <w:szCs w:val="24"/>
    </w:rPr>
  </w:style>
  <w:style w:type="paragraph" w:styleId="a3">
    <w:name w:val="header"/>
    <w:basedOn w:val="a"/>
    <w:link w:val="a4"/>
    <w:uiPriority w:val="99"/>
    <w:unhideWhenUsed/>
    <w:rsid w:val="00617B61"/>
    <w:pPr>
      <w:tabs>
        <w:tab w:val="center" w:pos="4153"/>
        <w:tab w:val="right" w:pos="8306"/>
      </w:tabs>
      <w:snapToGrid w:val="0"/>
    </w:pPr>
    <w:rPr>
      <w:sz w:val="20"/>
      <w:szCs w:val="20"/>
    </w:rPr>
  </w:style>
  <w:style w:type="character" w:customStyle="1" w:styleId="a4">
    <w:name w:val="頁首 字元"/>
    <w:basedOn w:val="a0"/>
    <w:link w:val="a3"/>
    <w:uiPriority w:val="99"/>
    <w:rsid w:val="00617B61"/>
    <w:rPr>
      <w:sz w:val="20"/>
      <w:szCs w:val="20"/>
    </w:rPr>
  </w:style>
  <w:style w:type="paragraph" w:styleId="a5">
    <w:name w:val="footer"/>
    <w:basedOn w:val="a"/>
    <w:link w:val="a6"/>
    <w:uiPriority w:val="99"/>
    <w:unhideWhenUsed/>
    <w:rsid w:val="00617B61"/>
    <w:pPr>
      <w:tabs>
        <w:tab w:val="center" w:pos="4153"/>
        <w:tab w:val="right" w:pos="8306"/>
      </w:tabs>
      <w:snapToGrid w:val="0"/>
    </w:pPr>
    <w:rPr>
      <w:sz w:val="20"/>
      <w:szCs w:val="20"/>
    </w:rPr>
  </w:style>
  <w:style w:type="character" w:customStyle="1" w:styleId="a6">
    <w:name w:val="頁尾 字元"/>
    <w:basedOn w:val="a0"/>
    <w:link w:val="a5"/>
    <w:uiPriority w:val="99"/>
    <w:rsid w:val="00617B61"/>
    <w:rPr>
      <w:sz w:val="20"/>
      <w:szCs w:val="20"/>
    </w:rPr>
  </w:style>
  <w:style w:type="paragraph" w:styleId="a7">
    <w:name w:val="List Paragraph"/>
    <w:basedOn w:val="a"/>
    <w:uiPriority w:val="34"/>
    <w:qFormat/>
    <w:rsid w:val="00D42F1C"/>
    <w:pPr>
      <w:ind w:leftChars="200" w:left="480"/>
    </w:pPr>
  </w:style>
  <w:style w:type="paragraph" w:styleId="a8">
    <w:name w:val="Balloon Text"/>
    <w:basedOn w:val="a"/>
    <w:link w:val="a9"/>
    <w:uiPriority w:val="99"/>
    <w:semiHidden/>
    <w:unhideWhenUsed/>
    <w:rsid w:val="00751A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42D6-E9F1-417D-B68F-6A05903A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235</Words>
  <Characters>1343</Characters>
  <Application>Microsoft Office Word</Application>
  <DocSecurity>0</DocSecurity>
  <Lines>11</Lines>
  <Paragraphs>3</Paragraphs>
  <ScaleCrop>false</ScaleCrop>
  <Company>TWSE 臺灣證券交易所</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楊家豪</dc:creator>
  <cp:keywords/>
  <dc:description/>
  <cp:lastModifiedBy>楊家豪</cp:lastModifiedBy>
  <cp:revision>7</cp:revision>
  <cp:lastPrinted>2023-07-19T08:03:00Z</cp:lastPrinted>
  <dcterms:created xsi:type="dcterms:W3CDTF">2023-07-14T08:32:00Z</dcterms:created>
  <dcterms:modified xsi:type="dcterms:W3CDTF">2023-07-19T08:17:00Z</dcterms:modified>
</cp:coreProperties>
</file>