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1B3" w:rsidRDefault="000861B3">
      <w:pPr>
        <w:rPr>
          <w:rFonts w:ascii="Helvetica" w:hAnsi="Helvetica" w:cs="Helvetica"/>
        </w:rPr>
      </w:pPr>
      <w:r>
        <w:rPr>
          <w:rFonts w:ascii="Helvetica" w:hAnsi="Helvetica" w:cs="Helvetica"/>
        </w:rPr>
        <w:t xml:space="preserve">Issuing </w:t>
      </w:r>
      <w:r>
        <w:rPr>
          <w:rFonts w:ascii="Helvetica" w:hAnsi="Helvetica" w:cs="Helvetica" w:hint="eastAsia"/>
        </w:rPr>
        <w:t xml:space="preserve">    </w:t>
      </w:r>
      <w:r>
        <w:rPr>
          <w:rFonts w:ascii="Helvetica" w:hAnsi="Helvetica" w:cs="Helvetica"/>
        </w:rPr>
        <w:t>2021/05/06</w:t>
      </w:r>
    </w:p>
    <w:p w:rsidR="009C2B69" w:rsidRDefault="000861B3">
      <w:pPr>
        <w:rPr>
          <w:rFonts w:ascii="Helvetica" w:hAnsi="Helvetica" w:cs="Helvetica"/>
        </w:rPr>
      </w:pPr>
      <w:r>
        <w:rPr>
          <w:rFonts w:ascii="Helvetica" w:hAnsi="Helvetica" w:cs="Helvetica"/>
        </w:rPr>
        <w:t>Date</w:t>
      </w:r>
    </w:p>
    <w:p w:rsidR="000861B3" w:rsidRDefault="000861B3">
      <w:pPr>
        <w:rPr>
          <w:rFonts w:ascii="Helvetica" w:hAnsi="Helvetica" w:cs="Helvetica"/>
        </w:rPr>
      </w:pPr>
      <w:r>
        <w:rPr>
          <w:rFonts w:ascii="Helvetica" w:hAnsi="Helvetica" w:cs="Helvetica"/>
        </w:rPr>
        <w:t>Reference</w:t>
      </w:r>
      <w:r>
        <w:rPr>
          <w:rFonts w:ascii="Helvetica" w:hAnsi="Helvetica" w:cs="Helvetica" w:hint="eastAsia"/>
        </w:rPr>
        <w:t xml:space="preserve">  </w:t>
      </w:r>
      <w:r>
        <w:rPr>
          <w:rFonts w:ascii="Helvetica" w:hAnsi="Helvetica" w:cs="Helvetica"/>
        </w:rPr>
        <w:t>1100007868</w:t>
      </w:r>
    </w:p>
    <w:p w:rsidR="000861B3" w:rsidRDefault="000861B3">
      <w:pPr>
        <w:rPr>
          <w:rFonts w:ascii="Helvetica" w:hAnsi="Helvetica" w:cs="Helvetica"/>
        </w:rPr>
      </w:pPr>
      <w:r>
        <w:rPr>
          <w:rFonts w:ascii="Helvetica" w:hAnsi="Helvetica" w:cs="Helvetica"/>
        </w:rPr>
        <w:t>No.</w:t>
      </w:r>
    </w:p>
    <w:p w:rsidR="000861B3" w:rsidRDefault="000861B3" w:rsidP="000861B3">
      <w:pPr>
        <w:spacing w:beforeLines="100" w:before="360"/>
        <w:ind w:left="1320" w:hangingChars="550" w:hanging="1320"/>
        <w:rPr>
          <w:rFonts w:ascii="Helvetica" w:hAnsi="Helvetica" w:cs="Helvetica"/>
        </w:rPr>
      </w:pPr>
      <w:r>
        <w:rPr>
          <w:rFonts w:ascii="Helvetica" w:hAnsi="Helvetica" w:cs="Helvetica"/>
        </w:rPr>
        <w:t>Subject</w:t>
      </w:r>
      <w:r>
        <w:rPr>
          <w:rFonts w:ascii="Helvetica" w:hAnsi="Helvetica" w:cs="Helvetica" w:hint="eastAsia"/>
        </w:rPr>
        <w:t xml:space="preserve">    </w:t>
      </w:r>
      <w:r>
        <w:rPr>
          <w:rFonts w:ascii="Helvetica" w:hAnsi="Helvetica" w:cs="Helvetica"/>
        </w:rPr>
        <w:t>The ceiling of the SBL fee rate is adjusted from 20% to 16% per annum.</w:t>
      </w:r>
    </w:p>
    <w:p w:rsidR="000861B3" w:rsidRDefault="000861B3" w:rsidP="000861B3">
      <w:pPr>
        <w:spacing w:beforeLines="100" w:before="360"/>
        <w:ind w:left="1320" w:hangingChars="550" w:hanging="1320"/>
      </w:pPr>
      <w:r>
        <w:rPr>
          <w:rFonts w:ascii="Helvetica" w:hAnsi="Helvetica" w:cs="Helvetica"/>
        </w:rPr>
        <w:t>Content</w:t>
      </w:r>
      <w:r>
        <w:rPr>
          <w:rFonts w:ascii="Helvetica" w:hAnsi="Helvetica" w:cs="Helvetica" w:hint="eastAsia"/>
        </w:rPr>
        <w:t xml:space="preserve">    </w:t>
      </w:r>
      <w:r>
        <w:rPr>
          <w:rFonts w:ascii="Helvetica" w:hAnsi="Helvetica" w:cs="Helvetica"/>
        </w:rPr>
        <w:t xml:space="preserve">The amendments to Article 5 of the“Taiwan Stock Exchange Corporation Securities Borrowing and Lending Rules”and Article 14 of the“Operating Rules for Securities Lending by Securities Firms”will be implemented on July 20, 2021. For further details, </w:t>
      </w:r>
      <w:bookmarkStart w:id="0" w:name="_GoBack"/>
      <w:bookmarkEnd w:id="0"/>
      <w:r>
        <w:rPr>
          <w:rFonts w:ascii="Helvetica" w:hAnsi="Helvetica" w:cs="Helvetica"/>
        </w:rPr>
        <w:t xml:space="preserve">please refer to </w:t>
      </w:r>
      <w:hyperlink r:id="rId5" w:history="1">
        <w:r w:rsidRPr="000861B3">
          <w:rPr>
            <w:rStyle w:val="a3"/>
            <w:rFonts w:ascii="Helvetica" w:hAnsi="Helvetica" w:cs="Helvetica"/>
          </w:rPr>
          <w:t>http://market-regulation.twse.com.tw</w:t>
        </w:r>
        <w:r w:rsidRPr="000861B3">
          <w:rPr>
            <w:rStyle w:val="a3"/>
            <w:rFonts w:ascii="Helvetica" w:hAnsi="Helvetica" w:cs="Helvetica"/>
          </w:rPr>
          <w:t>/</w:t>
        </w:r>
        <w:r w:rsidRPr="000861B3">
          <w:rPr>
            <w:rStyle w:val="a3"/>
            <w:rFonts w:ascii="Helvetica" w:hAnsi="Helvetica" w:cs="Helvetica"/>
          </w:rPr>
          <w:t>ENG/EN/law/DAT0201.aspx?FLCODE=FL007044</w:t>
        </w:r>
      </w:hyperlink>
      <w:r>
        <w:rPr>
          <w:rFonts w:ascii="Helvetica" w:hAnsi="Helvetica" w:cs="Helvetica"/>
        </w:rPr>
        <w:t xml:space="preserve"> and </w:t>
      </w:r>
      <w:hyperlink r:id="rId6" w:history="1">
        <w:r w:rsidRPr="00C038BC">
          <w:rPr>
            <w:rStyle w:val="a3"/>
            <w:rFonts w:ascii="Helvetica" w:hAnsi="Helvetica" w:cs="Helvetica"/>
          </w:rPr>
          <w:t>http://m</w:t>
        </w:r>
        <w:r w:rsidRPr="00C038BC">
          <w:rPr>
            <w:rStyle w:val="a3"/>
            <w:rFonts w:ascii="Helvetica" w:hAnsi="Helvetica" w:cs="Helvetica"/>
          </w:rPr>
          <w:t>a</w:t>
        </w:r>
        <w:r w:rsidRPr="00C038BC">
          <w:rPr>
            <w:rStyle w:val="a3"/>
            <w:rFonts w:ascii="Helvetica" w:hAnsi="Helvetica" w:cs="Helvetica"/>
          </w:rPr>
          <w:t>rket-regulation.twse.com.tw/ENG/EN/law/DAT0201.aspx?FLCODE=FL041484</w:t>
        </w:r>
      </w:hyperlink>
      <w:r>
        <w:rPr>
          <w:rFonts w:ascii="Helvetica" w:hAnsi="Helvetica" w:cs="Helvetica"/>
        </w:rPr>
        <w:t>. For existing SBL loans with the borrowing fee rate exceeding 16% per annum, actions shall be taken as follows: 1.Competitive bidding of the TWSE platform: Borrowers shall return the securities by July 19, 2021. 2.Negotiated trades of the TWSE platform: The two parties concerned shall negotiate a fee rate lower than 16% per annum, and entrust a securities firm to submit with the TWSE the change of the fee rate information by July 19, 2021. Otherwise, borrowers shall return the securities by July 19, 2021. 3.Negotiated transactions with brokers: Brokers shall reach out to their SBL clients to negotiate a fee rate lower than 16% per annum, and articulate the newly-negotiated rate in the SBL agreements by July 19, 2021. Otherwise, borrowers shall return the securities by July 19, 2021.</w:t>
      </w:r>
    </w:p>
    <w:sectPr w:rsidR="000861B3" w:rsidSect="000861B3">
      <w:pgSz w:w="11906" w:h="16838"/>
      <w:pgMar w:top="1440" w:right="1701" w:bottom="144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B3"/>
    <w:rsid w:val="000861B3"/>
    <w:rsid w:val="009C2B69"/>
    <w:rsid w:val="00C038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3E50"/>
  <w15:chartTrackingRefBased/>
  <w15:docId w15:val="{A58DF0BF-72D6-43B8-91EB-C0A0C6C2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61B3"/>
    <w:rPr>
      <w:color w:val="0563C1" w:themeColor="hyperlink"/>
      <w:u w:val="single"/>
    </w:rPr>
  </w:style>
  <w:style w:type="character" w:styleId="a4">
    <w:name w:val="FollowedHyperlink"/>
    <w:basedOn w:val="a0"/>
    <w:uiPriority w:val="99"/>
    <w:semiHidden/>
    <w:unhideWhenUsed/>
    <w:rsid w:val="000861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13001">
      <w:bodyDiv w:val="1"/>
      <w:marLeft w:val="0"/>
      <w:marRight w:val="0"/>
      <w:marTop w:val="0"/>
      <w:marBottom w:val="0"/>
      <w:divBdr>
        <w:top w:val="none" w:sz="0" w:space="0" w:color="auto"/>
        <w:left w:val="none" w:sz="0" w:space="0" w:color="auto"/>
        <w:bottom w:val="none" w:sz="0" w:space="0" w:color="auto"/>
        <w:right w:val="none" w:sz="0" w:space="0" w:color="auto"/>
      </w:divBdr>
      <w:divsChild>
        <w:div w:id="1640963448">
          <w:marLeft w:val="0"/>
          <w:marRight w:val="0"/>
          <w:marTop w:val="0"/>
          <w:marBottom w:val="0"/>
          <w:divBdr>
            <w:top w:val="none" w:sz="0" w:space="0" w:color="auto"/>
            <w:left w:val="none" w:sz="0" w:space="0" w:color="auto"/>
            <w:bottom w:val="none" w:sz="0" w:space="0" w:color="auto"/>
            <w:right w:val="none" w:sz="0" w:space="0" w:color="auto"/>
          </w:divBdr>
          <w:divsChild>
            <w:div w:id="1437405805">
              <w:marLeft w:val="0"/>
              <w:marRight w:val="0"/>
              <w:marTop w:val="0"/>
              <w:marBottom w:val="0"/>
              <w:divBdr>
                <w:top w:val="none" w:sz="0" w:space="0" w:color="auto"/>
                <w:left w:val="none" w:sz="0" w:space="0" w:color="auto"/>
                <w:bottom w:val="none" w:sz="0" w:space="0" w:color="auto"/>
                <w:right w:val="none" w:sz="0" w:space="0" w:color="auto"/>
              </w:divBdr>
              <w:divsChild>
                <w:div w:id="141891354">
                  <w:marLeft w:val="0"/>
                  <w:marRight w:val="0"/>
                  <w:marTop w:val="0"/>
                  <w:marBottom w:val="0"/>
                  <w:divBdr>
                    <w:top w:val="none" w:sz="0" w:space="0" w:color="auto"/>
                    <w:left w:val="none" w:sz="0" w:space="0" w:color="auto"/>
                    <w:bottom w:val="none" w:sz="0" w:space="0" w:color="auto"/>
                    <w:right w:val="none" w:sz="0" w:space="0" w:color="auto"/>
                  </w:divBdr>
                  <w:divsChild>
                    <w:div w:id="10818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6942">
      <w:bodyDiv w:val="1"/>
      <w:marLeft w:val="0"/>
      <w:marRight w:val="0"/>
      <w:marTop w:val="0"/>
      <w:marBottom w:val="0"/>
      <w:divBdr>
        <w:top w:val="none" w:sz="0" w:space="0" w:color="auto"/>
        <w:left w:val="none" w:sz="0" w:space="0" w:color="auto"/>
        <w:bottom w:val="none" w:sz="0" w:space="0" w:color="auto"/>
        <w:right w:val="none" w:sz="0" w:space="0" w:color="auto"/>
      </w:divBdr>
      <w:divsChild>
        <w:div w:id="1058671998">
          <w:marLeft w:val="0"/>
          <w:marRight w:val="0"/>
          <w:marTop w:val="0"/>
          <w:marBottom w:val="0"/>
          <w:divBdr>
            <w:top w:val="none" w:sz="0" w:space="0" w:color="auto"/>
            <w:left w:val="none" w:sz="0" w:space="0" w:color="auto"/>
            <w:bottom w:val="none" w:sz="0" w:space="0" w:color="auto"/>
            <w:right w:val="none" w:sz="0" w:space="0" w:color="auto"/>
          </w:divBdr>
          <w:divsChild>
            <w:div w:id="1463838939">
              <w:marLeft w:val="0"/>
              <w:marRight w:val="0"/>
              <w:marTop w:val="0"/>
              <w:marBottom w:val="0"/>
              <w:divBdr>
                <w:top w:val="none" w:sz="0" w:space="0" w:color="auto"/>
                <w:left w:val="none" w:sz="0" w:space="0" w:color="auto"/>
                <w:bottom w:val="none" w:sz="0" w:space="0" w:color="auto"/>
                <w:right w:val="none" w:sz="0" w:space="0" w:color="auto"/>
              </w:divBdr>
              <w:divsChild>
                <w:div w:id="1600724129">
                  <w:marLeft w:val="0"/>
                  <w:marRight w:val="0"/>
                  <w:marTop w:val="0"/>
                  <w:marBottom w:val="0"/>
                  <w:divBdr>
                    <w:top w:val="none" w:sz="0" w:space="0" w:color="auto"/>
                    <w:left w:val="none" w:sz="0" w:space="0" w:color="auto"/>
                    <w:bottom w:val="none" w:sz="0" w:space="0" w:color="auto"/>
                    <w:right w:val="none" w:sz="0" w:space="0" w:color="auto"/>
                  </w:divBdr>
                  <w:divsChild>
                    <w:div w:id="9386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arket-regulation.twse.com.tw/ENG/EN/law/DAT0201.aspx?FLCODE=FL041484" TargetMode="External"/><Relationship Id="rId5" Type="http://schemas.openxmlformats.org/officeDocument/2006/relationships/hyperlink" Target="http://market-regulation.twse.com.tw/ENG/EN/law/DAT0201.aspx?FLCODE=FL007044"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5AB5A-3D6D-4FF6-9613-771C059C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231</Words>
  <Characters>1320</Characters>
  <Application>Microsoft Office Word</Application>
  <DocSecurity>0</DocSecurity>
  <Lines>11</Lines>
  <Paragraphs>3</Paragraphs>
  <ScaleCrop>false</ScaleCrop>
  <Company>TWSE 臺灣證券交易所</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林崇英</dc:creator>
  <cp:keywords/>
  <dc:description/>
  <cp:lastModifiedBy>林崇英</cp:lastModifiedBy>
  <cp:revision>1</cp:revision>
  <dcterms:created xsi:type="dcterms:W3CDTF">2021-05-19T02:28:00Z</dcterms:created>
  <dcterms:modified xsi:type="dcterms:W3CDTF">2021-05-19T02:41:00Z</dcterms:modified>
</cp:coreProperties>
</file>