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3B" w:rsidRPr="00BA245B" w:rsidRDefault="005D6F3B" w:rsidP="005D6F3B">
      <w:pPr>
        <w:snapToGrid w:val="0"/>
        <w:rPr>
          <w:rFonts w:eastAsia="標楷體"/>
          <w:color w:val="002060"/>
          <w:sz w:val="32"/>
          <w:szCs w:val="28"/>
        </w:rPr>
      </w:pPr>
    </w:p>
    <w:p w:rsidR="00BA245B" w:rsidRDefault="003D4C71" w:rsidP="003B6930">
      <w:pPr>
        <w:snapToGrid w:val="0"/>
        <w:jc w:val="center"/>
        <w:rPr>
          <w:rFonts w:eastAsia="標楷體"/>
          <w:b/>
          <w:color w:val="002060"/>
          <w:sz w:val="36"/>
          <w:szCs w:val="28"/>
        </w:rPr>
      </w:pPr>
      <w:r>
        <w:rPr>
          <w:rFonts w:eastAsia="標楷體"/>
          <w:b/>
          <w:color w:val="002060"/>
          <w:sz w:val="36"/>
          <w:szCs w:val="28"/>
        </w:rPr>
        <w:t>1</w:t>
      </w:r>
      <w:r>
        <w:rPr>
          <w:rFonts w:eastAsia="標楷體" w:hint="eastAsia"/>
          <w:b/>
          <w:color w:val="002060"/>
          <w:sz w:val="36"/>
          <w:szCs w:val="28"/>
        </w:rPr>
        <w:t>12</w:t>
      </w:r>
      <w:r w:rsidR="00794D6E">
        <w:rPr>
          <w:rFonts w:eastAsia="標楷體"/>
          <w:b/>
          <w:color w:val="002060"/>
          <w:sz w:val="36"/>
          <w:szCs w:val="28"/>
        </w:rPr>
        <w:t>年</w:t>
      </w:r>
      <w:r w:rsidR="00B5223C">
        <w:rPr>
          <w:rFonts w:eastAsia="標楷體" w:hint="eastAsia"/>
          <w:b/>
          <w:color w:val="002060"/>
          <w:sz w:val="36"/>
          <w:szCs w:val="28"/>
        </w:rPr>
        <w:t>第</w:t>
      </w:r>
      <w:r w:rsidR="00553D40">
        <w:rPr>
          <w:rFonts w:eastAsia="標楷體" w:hint="eastAsia"/>
          <w:b/>
          <w:color w:val="002060"/>
          <w:sz w:val="36"/>
          <w:szCs w:val="28"/>
        </w:rPr>
        <w:t>2</w:t>
      </w:r>
      <w:bookmarkStart w:id="0" w:name="_GoBack"/>
      <w:bookmarkEnd w:id="0"/>
      <w:r w:rsidR="00B5223C">
        <w:rPr>
          <w:rFonts w:eastAsia="標楷體" w:hint="eastAsia"/>
          <w:b/>
          <w:color w:val="002060"/>
          <w:sz w:val="36"/>
          <w:szCs w:val="28"/>
        </w:rPr>
        <w:t>季</w:t>
      </w:r>
      <w:r w:rsidR="002D3767" w:rsidRPr="00BA245B">
        <w:rPr>
          <w:rFonts w:eastAsia="標楷體" w:hAnsi="標楷體"/>
          <w:b/>
          <w:color w:val="002060"/>
          <w:sz w:val="36"/>
          <w:szCs w:val="28"/>
        </w:rPr>
        <w:t>證券承銷商業務宣導會課程表</w:t>
      </w:r>
    </w:p>
    <w:p w:rsidR="004649CC" w:rsidRDefault="004649CC" w:rsidP="005D6F3B">
      <w:pPr>
        <w:snapToGrid w:val="0"/>
        <w:rPr>
          <w:rFonts w:eastAsia="標楷體"/>
          <w:color w:val="002060"/>
          <w:sz w:val="32"/>
          <w:szCs w:val="28"/>
        </w:rPr>
      </w:pPr>
    </w:p>
    <w:p w:rsidR="004A6144" w:rsidRPr="000A2E6D" w:rsidRDefault="004A6144" w:rsidP="004A6144">
      <w:pPr>
        <w:snapToGrid w:val="0"/>
        <w:jc w:val="both"/>
        <w:rPr>
          <w:rFonts w:eastAsia="標楷體" w:hAnsi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日期：</w:t>
      </w:r>
      <w:r w:rsidR="003D4C71">
        <w:rPr>
          <w:rFonts w:eastAsia="標楷體"/>
          <w:b/>
          <w:bCs/>
          <w:color w:val="002060"/>
          <w:sz w:val="32"/>
          <w:szCs w:val="28"/>
        </w:rPr>
        <w:t>1</w:t>
      </w:r>
      <w:r w:rsidR="003D4C71">
        <w:rPr>
          <w:rFonts w:eastAsia="標楷體" w:hint="eastAsia"/>
          <w:b/>
          <w:bCs/>
          <w:color w:val="002060"/>
          <w:sz w:val="32"/>
          <w:szCs w:val="28"/>
        </w:rPr>
        <w:t>12</w:t>
      </w:r>
      <w:r w:rsidR="00794D6E">
        <w:rPr>
          <w:rFonts w:eastAsia="標楷體"/>
          <w:b/>
          <w:bCs/>
          <w:color w:val="002060"/>
          <w:sz w:val="32"/>
          <w:szCs w:val="28"/>
        </w:rPr>
        <w:t>年</w:t>
      </w:r>
      <w:r w:rsidR="00553D40">
        <w:rPr>
          <w:rFonts w:eastAsia="標楷體" w:hint="eastAsia"/>
          <w:b/>
          <w:bCs/>
          <w:color w:val="002060"/>
          <w:sz w:val="32"/>
          <w:szCs w:val="28"/>
        </w:rPr>
        <w:t>6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月</w:t>
      </w:r>
      <w:r w:rsidR="00553D40">
        <w:rPr>
          <w:rFonts w:eastAsia="標楷體" w:hAnsi="標楷體" w:hint="eastAsia"/>
          <w:b/>
          <w:bCs/>
          <w:color w:val="002060"/>
          <w:sz w:val="32"/>
          <w:szCs w:val="28"/>
        </w:rPr>
        <w:t>15</w:t>
      </w:r>
      <w:r w:rsidR="00794D6E">
        <w:rPr>
          <w:rFonts w:eastAsia="標楷體" w:hAnsi="標楷體" w:hint="eastAsia"/>
          <w:b/>
          <w:bCs/>
          <w:color w:val="002060"/>
          <w:sz w:val="32"/>
          <w:szCs w:val="28"/>
        </w:rPr>
        <w:t>日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（</w:t>
      </w:r>
      <w:r w:rsidR="003B6930">
        <w:rPr>
          <w:rFonts w:eastAsia="標楷體" w:hAnsi="標楷體"/>
          <w:b/>
          <w:bCs/>
          <w:color w:val="002060"/>
          <w:sz w:val="32"/>
          <w:szCs w:val="28"/>
        </w:rPr>
        <w:t>週</w:t>
      </w:r>
      <w:r w:rsidR="000A2E6D">
        <w:rPr>
          <w:rFonts w:eastAsia="標楷體" w:hAnsi="標楷體" w:hint="eastAsia"/>
          <w:b/>
          <w:bCs/>
          <w:color w:val="002060"/>
          <w:sz w:val="32"/>
          <w:szCs w:val="28"/>
        </w:rPr>
        <w:t>四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）</w:t>
      </w:r>
    </w:p>
    <w:p w:rsidR="004A6144" w:rsidRPr="00BA245B" w:rsidRDefault="004A6144" w:rsidP="004A6144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  <w:r w:rsidRPr="00BA245B">
        <w:rPr>
          <w:rFonts w:eastAsia="標楷體" w:hAnsi="標楷體"/>
          <w:b/>
          <w:bCs/>
          <w:color w:val="002060"/>
          <w:sz w:val="32"/>
          <w:szCs w:val="28"/>
        </w:rPr>
        <w:t>地點：台北</w:t>
      </w:r>
      <w:r w:rsidRPr="00BA245B">
        <w:rPr>
          <w:rFonts w:eastAsia="標楷體"/>
          <w:b/>
          <w:bCs/>
          <w:color w:val="002060"/>
          <w:sz w:val="32"/>
          <w:szCs w:val="28"/>
        </w:rPr>
        <w:t>101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金融大樓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樓（台北市信義區信義路</w:t>
      </w:r>
      <w:r w:rsidRPr="00BA245B">
        <w:rPr>
          <w:rFonts w:eastAsia="標楷體"/>
          <w:b/>
          <w:bCs/>
          <w:color w:val="002060"/>
          <w:sz w:val="32"/>
          <w:szCs w:val="28"/>
        </w:rPr>
        <w:t>5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段</w:t>
      </w:r>
      <w:r w:rsidRPr="00BA245B">
        <w:rPr>
          <w:rFonts w:eastAsia="標楷體"/>
          <w:b/>
          <w:bCs/>
          <w:color w:val="002060"/>
          <w:sz w:val="32"/>
          <w:szCs w:val="28"/>
        </w:rPr>
        <w:t>7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號</w:t>
      </w:r>
      <w:r w:rsidRPr="00BA245B">
        <w:rPr>
          <w:rFonts w:eastAsia="標楷體"/>
          <w:b/>
          <w:bCs/>
          <w:color w:val="002060"/>
          <w:sz w:val="32"/>
          <w:szCs w:val="28"/>
        </w:rPr>
        <w:t>9</w:t>
      </w:r>
      <w:r w:rsidRPr="00BA245B">
        <w:rPr>
          <w:rFonts w:eastAsia="標楷體" w:hAnsi="標楷體"/>
          <w:b/>
          <w:bCs/>
          <w:color w:val="002060"/>
          <w:sz w:val="32"/>
          <w:szCs w:val="28"/>
        </w:rPr>
        <w:t>樓）</w:t>
      </w:r>
    </w:p>
    <w:p w:rsidR="003B6930" w:rsidRPr="0092055C" w:rsidRDefault="003B6930" w:rsidP="003B6930">
      <w:pPr>
        <w:snapToGrid w:val="0"/>
        <w:rPr>
          <w:rFonts w:eastAsia="標楷體"/>
          <w:color w:val="002060"/>
          <w:sz w:val="44"/>
          <w:szCs w:val="28"/>
        </w:rPr>
      </w:pPr>
    </w:p>
    <w:tbl>
      <w:tblPr>
        <w:tblStyle w:val="-1"/>
        <w:tblW w:w="0" w:type="auto"/>
        <w:tblLook w:val="0420" w:firstRow="1" w:lastRow="0" w:firstColumn="0" w:lastColumn="0" w:noHBand="0" w:noVBand="1"/>
      </w:tblPr>
      <w:tblGrid>
        <w:gridCol w:w="8810"/>
        <w:gridCol w:w="2552"/>
        <w:gridCol w:w="2575"/>
      </w:tblGrid>
      <w:tr w:rsidR="003B6930" w:rsidRPr="00BA245B" w:rsidTr="0082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課程內容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主講人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b w:val="0"/>
                <w:bCs w:val="0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時間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來賓報到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08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30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主持人致詞</w:t>
            </w:r>
          </w:p>
        </w:tc>
        <w:tc>
          <w:tcPr>
            <w:tcW w:w="2552" w:type="dxa"/>
          </w:tcPr>
          <w:p w:rsidR="003B6930" w:rsidRPr="00BA245B" w:rsidRDefault="000B437B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/>
                <w:color w:val="002060"/>
                <w:sz w:val="32"/>
                <w:szCs w:val="28"/>
              </w:rPr>
              <w:t>上市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二</w:t>
            </w:r>
            <w:r w:rsidR="003B6930"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810A49">
              <w:rPr>
                <w:rFonts w:eastAsia="標楷體" w:hAnsi="標楷體" w:hint="eastAsia"/>
                <w:color w:val="002060"/>
                <w:sz w:val="32"/>
                <w:szCs w:val="28"/>
              </w:rPr>
              <w:t>副理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tabs>
                <w:tab w:val="left" w:pos="5580"/>
              </w:tabs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國內有價證券上市相關規章新修正重點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ab/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40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國內上市審查實務應注意事項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上市一部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09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40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中場休息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外國有價證券上市相關規章新修正重點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外國企業來臺上市審查實務應注意事項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上市二部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5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公司治理宣導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 w:hAnsi="標楷體"/>
                <w:color w:val="002060"/>
                <w:sz w:val="32"/>
                <w:szCs w:val="28"/>
              </w:rPr>
            </w:pP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公司治理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C016F6">
              <w:rPr>
                <w:rFonts w:eastAsia="標楷體" w:hAnsi="標楷體" w:hint="eastAsia"/>
                <w:color w:val="002060"/>
                <w:sz w:val="32"/>
                <w:szCs w:val="28"/>
              </w:rPr>
              <w:t>同仁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2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</w:t>
            </w:r>
            <w:r>
              <w:rPr>
                <w:rFonts w:eastAsia="標楷體" w:hint="eastAsia"/>
                <w:color w:val="002060"/>
                <w:sz w:val="32"/>
                <w:szCs w:val="28"/>
              </w:rPr>
              <w:t>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</w:p>
        </w:tc>
      </w:tr>
      <w:tr w:rsidR="003B6930" w:rsidRPr="00BA245B" w:rsidTr="0082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10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意見交流與綜合座談</w:t>
            </w:r>
          </w:p>
        </w:tc>
        <w:tc>
          <w:tcPr>
            <w:tcW w:w="2552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上市</w:t>
            </w:r>
            <w:r w:rsidR="001E654D">
              <w:rPr>
                <w:rFonts w:eastAsia="標楷體" w:hAnsi="標楷體" w:hint="eastAsia"/>
                <w:color w:val="002060"/>
                <w:sz w:val="32"/>
                <w:szCs w:val="28"/>
              </w:rPr>
              <w:t>二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部</w:t>
            </w:r>
            <w:r w:rsidR="00810A49">
              <w:rPr>
                <w:rFonts w:eastAsia="標楷體" w:hAnsi="標楷體" w:hint="eastAsia"/>
                <w:color w:val="002060"/>
                <w:sz w:val="32"/>
                <w:szCs w:val="28"/>
              </w:rPr>
              <w:t>副理</w:t>
            </w:r>
          </w:p>
        </w:tc>
        <w:tc>
          <w:tcPr>
            <w:tcW w:w="2575" w:type="dxa"/>
          </w:tcPr>
          <w:p w:rsidR="003B6930" w:rsidRPr="00BA245B" w:rsidRDefault="003B6930" w:rsidP="00821D97">
            <w:pPr>
              <w:snapToGrid w:val="0"/>
              <w:spacing w:beforeLines="30" w:before="108" w:afterLines="30" w:after="108"/>
              <w:jc w:val="center"/>
              <w:rPr>
                <w:rFonts w:eastAsia="標楷體"/>
                <w:color w:val="002060"/>
                <w:sz w:val="32"/>
                <w:szCs w:val="28"/>
              </w:rPr>
            </w:pPr>
            <w:r w:rsidRPr="00BA245B">
              <w:rPr>
                <w:rFonts w:eastAsia="標楷體"/>
                <w:color w:val="002060"/>
                <w:sz w:val="32"/>
                <w:szCs w:val="28"/>
              </w:rPr>
              <w:t>11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>
              <w:rPr>
                <w:rFonts w:eastAsia="標楷體" w:hAnsi="標楷體" w:hint="eastAsia"/>
                <w:color w:val="002060"/>
                <w:sz w:val="32"/>
                <w:szCs w:val="28"/>
              </w:rPr>
              <w:t>4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～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12</w:t>
            </w:r>
            <w:r w:rsidRPr="00BA245B">
              <w:rPr>
                <w:rFonts w:eastAsia="標楷體" w:hAnsi="標楷體"/>
                <w:color w:val="002060"/>
                <w:sz w:val="32"/>
                <w:szCs w:val="28"/>
              </w:rPr>
              <w:t>：</w:t>
            </w:r>
            <w:r w:rsidRPr="00BA245B">
              <w:rPr>
                <w:rFonts w:eastAsia="標楷體"/>
                <w:color w:val="002060"/>
                <w:sz w:val="32"/>
                <w:szCs w:val="28"/>
              </w:rPr>
              <w:t>00</w:t>
            </w:r>
          </w:p>
        </w:tc>
      </w:tr>
    </w:tbl>
    <w:p w:rsidR="00577838" w:rsidRDefault="00577838" w:rsidP="005D6F3B">
      <w:pPr>
        <w:snapToGrid w:val="0"/>
        <w:rPr>
          <w:rFonts w:eastAsia="標楷體"/>
          <w:b/>
          <w:bCs/>
          <w:color w:val="002060"/>
          <w:sz w:val="32"/>
          <w:szCs w:val="28"/>
        </w:rPr>
      </w:pPr>
    </w:p>
    <w:p w:rsidR="00577838" w:rsidRDefault="00577838">
      <w:pPr>
        <w:widowControl/>
        <w:rPr>
          <w:rFonts w:eastAsia="標楷體"/>
          <w:b/>
          <w:bCs/>
          <w:color w:val="002060"/>
          <w:sz w:val="32"/>
          <w:szCs w:val="28"/>
        </w:rPr>
      </w:pPr>
    </w:p>
    <w:sectPr w:rsidR="00577838" w:rsidSect="00BA245B">
      <w:pgSz w:w="16838" w:h="11906" w:orient="landscape"/>
      <w:pgMar w:top="851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66" w:rsidRDefault="00D81466" w:rsidP="00551EC3">
      <w:r>
        <w:separator/>
      </w:r>
    </w:p>
  </w:endnote>
  <w:endnote w:type="continuationSeparator" w:id="0">
    <w:p w:rsidR="00D81466" w:rsidRDefault="00D81466" w:rsidP="0055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66" w:rsidRDefault="00D81466" w:rsidP="00551EC3">
      <w:r>
        <w:separator/>
      </w:r>
    </w:p>
  </w:footnote>
  <w:footnote w:type="continuationSeparator" w:id="0">
    <w:p w:rsidR="00D81466" w:rsidRDefault="00D81466" w:rsidP="00551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67"/>
    <w:rsid w:val="00003134"/>
    <w:rsid w:val="00021C8F"/>
    <w:rsid w:val="000A2E6D"/>
    <w:rsid w:val="000B437B"/>
    <w:rsid w:val="000F730E"/>
    <w:rsid w:val="0011732F"/>
    <w:rsid w:val="001225EA"/>
    <w:rsid w:val="00194473"/>
    <w:rsid w:val="001E654D"/>
    <w:rsid w:val="00262B00"/>
    <w:rsid w:val="002D3767"/>
    <w:rsid w:val="003631FA"/>
    <w:rsid w:val="003B6930"/>
    <w:rsid w:val="003D4C71"/>
    <w:rsid w:val="003D5668"/>
    <w:rsid w:val="00436C66"/>
    <w:rsid w:val="004649CC"/>
    <w:rsid w:val="0047188E"/>
    <w:rsid w:val="00495EB0"/>
    <w:rsid w:val="004973F0"/>
    <w:rsid w:val="004A6144"/>
    <w:rsid w:val="004F402E"/>
    <w:rsid w:val="00520A20"/>
    <w:rsid w:val="00541A21"/>
    <w:rsid w:val="00551EC3"/>
    <w:rsid w:val="00553D40"/>
    <w:rsid w:val="00577838"/>
    <w:rsid w:val="005A0314"/>
    <w:rsid w:val="005B5139"/>
    <w:rsid w:val="005D6F3B"/>
    <w:rsid w:val="005E0A32"/>
    <w:rsid w:val="006A3910"/>
    <w:rsid w:val="006B6278"/>
    <w:rsid w:val="006D320E"/>
    <w:rsid w:val="006E493F"/>
    <w:rsid w:val="00794D6E"/>
    <w:rsid w:val="007F7382"/>
    <w:rsid w:val="00810A49"/>
    <w:rsid w:val="008503FD"/>
    <w:rsid w:val="00866FD1"/>
    <w:rsid w:val="008B2452"/>
    <w:rsid w:val="008C71CB"/>
    <w:rsid w:val="00904D9F"/>
    <w:rsid w:val="0092055C"/>
    <w:rsid w:val="00932A16"/>
    <w:rsid w:val="009E551E"/>
    <w:rsid w:val="00A85A60"/>
    <w:rsid w:val="00AB1939"/>
    <w:rsid w:val="00AD3401"/>
    <w:rsid w:val="00B042A0"/>
    <w:rsid w:val="00B0540E"/>
    <w:rsid w:val="00B5223C"/>
    <w:rsid w:val="00B95E38"/>
    <w:rsid w:val="00BA19FB"/>
    <w:rsid w:val="00BA245B"/>
    <w:rsid w:val="00C016F6"/>
    <w:rsid w:val="00C7715B"/>
    <w:rsid w:val="00D2429D"/>
    <w:rsid w:val="00D434EE"/>
    <w:rsid w:val="00D463AD"/>
    <w:rsid w:val="00D81466"/>
    <w:rsid w:val="00DB0CFD"/>
    <w:rsid w:val="00EA5279"/>
    <w:rsid w:val="00EA5C45"/>
    <w:rsid w:val="00EC44EC"/>
    <w:rsid w:val="00EC6712"/>
    <w:rsid w:val="00EE4B1D"/>
    <w:rsid w:val="00F1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E9CB4"/>
  <w15:docId w15:val="{29E2DAA9-52F2-4DF0-A26D-67E89C8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1E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1EC3"/>
    <w:rPr>
      <w:rFonts w:ascii="Times New Roman" w:eastAsia="新細明體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BA245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BA24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TWSE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</dc:creator>
  <cp:lastModifiedBy>林耿民</cp:lastModifiedBy>
  <cp:revision>5</cp:revision>
  <dcterms:created xsi:type="dcterms:W3CDTF">2023-02-20T02:49:00Z</dcterms:created>
  <dcterms:modified xsi:type="dcterms:W3CDTF">2023-05-19T06:27:00Z</dcterms:modified>
</cp:coreProperties>
</file>