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175" w:rsidRPr="00400859" w:rsidRDefault="00E5173E" w:rsidP="00405175">
      <w:pPr>
        <w:jc w:val="center"/>
        <w:rPr>
          <w:rFonts w:ascii="標楷體" w:eastAsia="標楷體" w:hAnsi="標楷體"/>
          <w:b/>
          <w:sz w:val="28"/>
          <w:szCs w:val="24"/>
        </w:rPr>
      </w:pPr>
      <w:r w:rsidRPr="00400859">
        <w:rPr>
          <w:rFonts w:ascii="標楷體" w:eastAsia="標楷體" w:hAnsi="標楷體" w:hint="eastAsia"/>
          <w:b/>
          <w:sz w:val="28"/>
          <w:szCs w:val="24"/>
        </w:rPr>
        <w:t>臺灣證券交易所</w:t>
      </w:r>
    </w:p>
    <w:p w:rsidR="0064530B" w:rsidRPr="00400859" w:rsidRDefault="00405175" w:rsidP="00405175">
      <w:pPr>
        <w:jc w:val="center"/>
        <w:rPr>
          <w:rFonts w:ascii="標楷體" w:eastAsia="標楷體" w:hAnsi="標楷體"/>
          <w:b/>
          <w:sz w:val="28"/>
          <w:szCs w:val="24"/>
        </w:rPr>
      </w:pPr>
      <w:r w:rsidRPr="00400859">
        <w:rPr>
          <w:rFonts w:ascii="標楷體" w:eastAsia="標楷體" w:hAnsi="標楷體" w:hint="eastAsia"/>
          <w:b/>
          <w:sz w:val="28"/>
          <w:szCs w:val="24"/>
        </w:rPr>
        <w:t>「</w:t>
      </w:r>
      <w:r w:rsidR="00260AA0" w:rsidRPr="00400859">
        <w:rPr>
          <w:rFonts w:ascii="標楷體" w:eastAsia="標楷體" w:hAnsi="標楷體" w:hint="eastAsia"/>
          <w:b/>
          <w:sz w:val="28"/>
          <w:szCs w:val="24"/>
        </w:rPr>
        <w:t>上市</w:t>
      </w:r>
      <w:r w:rsidRPr="00400859">
        <w:rPr>
          <w:rFonts w:ascii="標楷體" w:eastAsia="標楷體" w:hAnsi="標楷體" w:hint="eastAsia"/>
          <w:b/>
          <w:sz w:val="28"/>
          <w:szCs w:val="24"/>
        </w:rPr>
        <w:t>公司編製與申報企業社會責任報告書作業辦法」</w:t>
      </w:r>
    </w:p>
    <w:p w:rsidR="00405175" w:rsidRPr="00400859" w:rsidRDefault="00C84880" w:rsidP="00405175">
      <w:pPr>
        <w:jc w:val="center"/>
        <w:rPr>
          <w:rFonts w:ascii="標楷體" w:eastAsia="標楷體" w:hAnsi="標楷體"/>
          <w:b/>
          <w:sz w:val="28"/>
          <w:szCs w:val="24"/>
        </w:rPr>
      </w:pPr>
      <w:r w:rsidRPr="00400859">
        <w:rPr>
          <w:rFonts w:ascii="標楷體" w:eastAsia="標楷體" w:hAnsi="標楷體" w:hint="eastAsia"/>
          <w:b/>
          <w:sz w:val="28"/>
          <w:szCs w:val="24"/>
        </w:rPr>
        <w:t>部分條文</w:t>
      </w:r>
      <w:r w:rsidR="00C13C6D">
        <w:rPr>
          <w:rFonts w:ascii="標楷體" w:eastAsia="標楷體" w:hAnsi="標楷體" w:hint="eastAsia"/>
          <w:b/>
          <w:sz w:val="28"/>
          <w:szCs w:val="24"/>
        </w:rPr>
        <w:t>修正</w:t>
      </w:r>
      <w:r w:rsidR="009B0E5B" w:rsidRPr="00400859">
        <w:rPr>
          <w:rFonts w:ascii="標楷體" w:eastAsia="標楷體" w:hAnsi="標楷體" w:hint="eastAsia"/>
          <w:b/>
          <w:sz w:val="28"/>
          <w:szCs w:val="24"/>
        </w:rPr>
        <w:t>總說明</w:t>
      </w:r>
    </w:p>
    <w:p w:rsidR="009B0E5B" w:rsidRPr="00400859" w:rsidRDefault="00260AA0">
      <w:pPr>
        <w:ind w:firstLineChars="202" w:firstLine="566"/>
        <w:rPr>
          <w:rFonts w:ascii="標楷體" w:eastAsia="標楷體" w:hAnsi="標楷體"/>
          <w:sz w:val="28"/>
          <w:szCs w:val="24"/>
        </w:rPr>
      </w:pPr>
      <w:r w:rsidRPr="00400859">
        <w:rPr>
          <w:rFonts w:ascii="標楷體" w:eastAsia="標楷體" w:hAnsi="標楷體" w:hint="eastAsia"/>
          <w:sz w:val="28"/>
          <w:szCs w:val="24"/>
        </w:rPr>
        <w:t>上市</w:t>
      </w:r>
      <w:r w:rsidR="009B0E5B" w:rsidRPr="00400859">
        <w:rPr>
          <w:rFonts w:ascii="標楷體" w:eastAsia="標楷體" w:hAnsi="標楷體" w:hint="eastAsia"/>
          <w:sz w:val="28"/>
          <w:szCs w:val="24"/>
        </w:rPr>
        <w:t>公司編製與申報企業社會責任報告書作業辦法自103年12月4日公告施行以來，其間經2次修正。</w:t>
      </w:r>
      <w:r w:rsidR="00675D7D" w:rsidRPr="00400859">
        <w:rPr>
          <w:rFonts w:ascii="標楷體" w:eastAsia="標楷體" w:hAnsi="標楷體" w:hint="eastAsia"/>
          <w:sz w:val="28"/>
          <w:szCs w:val="24"/>
        </w:rPr>
        <w:t>本次修正係配合主管機關新版</w:t>
      </w:r>
      <w:r w:rsidR="00735563" w:rsidRPr="00400859">
        <w:rPr>
          <w:rFonts w:ascii="標楷體" w:eastAsia="標楷體" w:hAnsi="標楷體" w:hint="eastAsia"/>
          <w:sz w:val="28"/>
          <w:szCs w:val="24"/>
        </w:rPr>
        <w:t>公司治理</w:t>
      </w:r>
      <w:r w:rsidR="00675D7D" w:rsidRPr="00400859">
        <w:rPr>
          <w:rFonts w:ascii="標楷體" w:eastAsia="標楷體" w:hAnsi="標楷體" w:hint="eastAsia"/>
          <w:sz w:val="28"/>
          <w:szCs w:val="24"/>
        </w:rPr>
        <w:t>藍圖計畫項目IV「提升資訊揭露品質」之策略目標</w:t>
      </w:r>
      <w:bookmarkStart w:id="0" w:name="_GoBack"/>
      <w:bookmarkEnd w:id="0"/>
      <w:r w:rsidR="00675D7D" w:rsidRPr="00400859">
        <w:rPr>
          <w:rFonts w:ascii="標楷體" w:eastAsia="標楷體" w:hAnsi="標楷體" w:hint="eastAsia"/>
          <w:sz w:val="28"/>
          <w:szCs w:val="24"/>
        </w:rPr>
        <w:t>十二「提升非財務資訊之揭露品質」，</w:t>
      </w:r>
      <w:r w:rsidR="001812F7" w:rsidRPr="00400859">
        <w:rPr>
          <w:rFonts w:ascii="標楷體" w:eastAsia="標楷體" w:hAnsi="標楷體" w:hint="eastAsia"/>
          <w:sz w:val="28"/>
          <w:szCs w:val="24"/>
        </w:rPr>
        <w:t>依據</w:t>
      </w:r>
      <w:r w:rsidR="009B0E5B" w:rsidRPr="00400859">
        <w:rPr>
          <w:rFonts w:ascii="標楷體" w:eastAsia="標楷體" w:hAnsi="標楷體" w:hint="eastAsia"/>
          <w:sz w:val="28"/>
          <w:szCs w:val="24"/>
        </w:rPr>
        <w:t>第22項具體措施</w:t>
      </w:r>
      <w:r w:rsidR="001812F7" w:rsidRPr="00400859">
        <w:rPr>
          <w:rFonts w:ascii="標楷體" w:eastAsia="標楷體" w:hAnsi="標楷體" w:hint="eastAsia"/>
          <w:sz w:val="28"/>
          <w:szCs w:val="24"/>
        </w:rPr>
        <w:t>「</w:t>
      </w:r>
      <w:r w:rsidR="002E1AE8" w:rsidRPr="00400859">
        <w:rPr>
          <w:rFonts w:ascii="標楷體" w:eastAsia="標楷體" w:hAnsi="標楷體" w:hint="eastAsia"/>
          <w:sz w:val="28"/>
          <w:szCs w:val="24"/>
        </w:rPr>
        <w:t>配合國際GRI準則發布，要求強制編製CSR報告書之上市櫃公司應依GRI準則編製</w:t>
      </w:r>
      <w:r w:rsidR="001812F7" w:rsidRPr="00400859">
        <w:rPr>
          <w:rFonts w:ascii="標楷體" w:eastAsia="標楷體" w:hAnsi="標楷體" w:hint="eastAsia"/>
          <w:sz w:val="28"/>
          <w:szCs w:val="24"/>
        </w:rPr>
        <w:t>」</w:t>
      </w:r>
      <w:r w:rsidR="009B0E5B" w:rsidRPr="00400859">
        <w:rPr>
          <w:rFonts w:ascii="標楷體" w:eastAsia="標楷體" w:hAnsi="標楷體" w:hint="eastAsia"/>
          <w:sz w:val="28"/>
          <w:szCs w:val="24"/>
        </w:rPr>
        <w:t>，以符合國際趨勢並提升</w:t>
      </w:r>
      <w:r w:rsidRPr="00400859">
        <w:rPr>
          <w:rFonts w:ascii="標楷體" w:eastAsia="標楷體" w:hAnsi="標楷體" w:hint="eastAsia"/>
          <w:sz w:val="28"/>
          <w:szCs w:val="24"/>
        </w:rPr>
        <w:t>上市</w:t>
      </w:r>
      <w:r w:rsidR="009B0E5B" w:rsidRPr="00400859">
        <w:rPr>
          <w:rFonts w:ascii="標楷體" w:eastAsia="標楷體" w:hAnsi="標楷體" w:hint="eastAsia"/>
          <w:sz w:val="28"/>
          <w:szCs w:val="24"/>
        </w:rPr>
        <w:t>公司資訊揭露品質。</w:t>
      </w:r>
    </w:p>
    <w:p w:rsidR="009B0E5B" w:rsidRPr="00400859" w:rsidRDefault="009B0E5B" w:rsidP="009B0E5B">
      <w:pPr>
        <w:ind w:firstLineChars="202" w:firstLine="566"/>
        <w:rPr>
          <w:rFonts w:ascii="標楷體" w:eastAsia="標楷體" w:hAnsi="標楷體"/>
          <w:sz w:val="28"/>
          <w:szCs w:val="24"/>
        </w:rPr>
      </w:pPr>
      <w:r w:rsidRPr="00400859">
        <w:rPr>
          <w:rFonts w:ascii="標楷體" w:eastAsia="標楷體" w:hAnsi="標楷體" w:hint="eastAsia"/>
          <w:sz w:val="28"/>
          <w:szCs w:val="24"/>
        </w:rPr>
        <w:t>茲將修正重點擇要分述如下：</w:t>
      </w:r>
    </w:p>
    <w:p w:rsidR="009B0E5B" w:rsidRPr="00400859" w:rsidRDefault="009B0E5B" w:rsidP="00673836">
      <w:pPr>
        <w:pStyle w:val="a7"/>
        <w:numPr>
          <w:ilvl w:val="0"/>
          <w:numId w:val="13"/>
        </w:numPr>
        <w:ind w:leftChars="0" w:left="1134" w:hanging="567"/>
        <w:rPr>
          <w:rFonts w:ascii="標楷體" w:eastAsia="標楷體" w:hAnsi="標楷體"/>
          <w:sz w:val="28"/>
          <w:szCs w:val="24"/>
        </w:rPr>
      </w:pPr>
      <w:r w:rsidRPr="00400859">
        <w:rPr>
          <w:rFonts w:ascii="標楷體" w:eastAsia="標楷體" w:hAnsi="標楷體" w:hint="eastAsia"/>
          <w:sz w:val="28"/>
          <w:szCs w:val="24"/>
        </w:rPr>
        <w:t>配合全球永續性報告協會發布GRI準則取代永續性報告指南，依GRI準則用語修正第3條文字。</w:t>
      </w:r>
      <w:r w:rsidR="00C84880" w:rsidRPr="00400859">
        <w:rPr>
          <w:rFonts w:ascii="標楷體" w:eastAsia="標楷體" w:hAnsi="標楷體" w:hint="eastAsia"/>
          <w:sz w:val="28"/>
          <w:szCs w:val="24"/>
        </w:rPr>
        <w:t>(修正條文第3條)</w:t>
      </w:r>
    </w:p>
    <w:p w:rsidR="009B0E5B" w:rsidRPr="00400859" w:rsidRDefault="009B0E5B" w:rsidP="00673836">
      <w:pPr>
        <w:pStyle w:val="a7"/>
        <w:numPr>
          <w:ilvl w:val="0"/>
          <w:numId w:val="13"/>
        </w:numPr>
        <w:ind w:leftChars="0" w:left="1134" w:hanging="567"/>
        <w:rPr>
          <w:rFonts w:ascii="標楷體" w:eastAsia="標楷體" w:hAnsi="標楷體"/>
          <w:sz w:val="28"/>
          <w:szCs w:val="24"/>
        </w:rPr>
      </w:pPr>
      <w:r w:rsidRPr="00400859">
        <w:rPr>
          <w:rFonts w:ascii="標楷體" w:eastAsia="標楷體" w:hAnsi="標楷體" w:hint="eastAsia"/>
          <w:sz w:val="28"/>
          <w:szCs w:val="24"/>
        </w:rPr>
        <w:t>配合GRI準則之發布，將食品工業、化學工業及金融業等特定揭露要求內容修改為對應之GRI</w:t>
      </w:r>
      <w:r w:rsidR="00F37316" w:rsidRPr="00400859">
        <w:rPr>
          <w:rFonts w:ascii="標楷體" w:eastAsia="標楷體" w:hAnsi="標楷體" w:hint="eastAsia"/>
          <w:sz w:val="28"/>
          <w:szCs w:val="24"/>
        </w:rPr>
        <w:t>準則之重大主題</w:t>
      </w:r>
      <w:r w:rsidRPr="00400859">
        <w:rPr>
          <w:rFonts w:ascii="標楷體" w:eastAsia="標楷體" w:hAnsi="標楷體" w:hint="eastAsia"/>
          <w:sz w:val="28"/>
          <w:szCs w:val="24"/>
        </w:rPr>
        <w:t>，及參考</w:t>
      </w:r>
      <w:r w:rsidR="00206697" w:rsidRPr="00400859">
        <w:rPr>
          <w:rFonts w:ascii="標楷體" w:eastAsia="標楷體" w:hAnsi="標楷體" w:hint="eastAsia"/>
          <w:sz w:val="28"/>
          <w:szCs w:val="24"/>
        </w:rPr>
        <w:t>本公司</w:t>
      </w:r>
      <w:r w:rsidRPr="00400859">
        <w:rPr>
          <w:rFonts w:ascii="標楷體" w:eastAsia="標楷體" w:hAnsi="標楷體" w:hint="eastAsia"/>
          <w:sz w:val="28"/>
          <w:szCs w:val="24"/>
        </w:rPr>
        <w:t>資訊申報作業辦法所訂「員工福利政策及權益維護措施」規定，揭露非擔任主管職務之全時員工薪資平均數及中位數</w:t>
      </w:r>
      <w:r w:rsidR="00C84880" w:rsidRPr="00400859">
        <w:rPr>
          <w:rFonts w:ascii="標楷體" w:eastAsia="標楷體" w:hAnsi="標楷體" w:hint="eastAsia"/>
          <w:sz w:val="28"/>
          <w:szCs w:val="24"/>
        </w:rPr>
        <w:t>。(</w:t>
      </w:r>
      <w:r w:rsidRPr="00400859">
        <w:rPr>
          <w:rFonts w:ascii="標楷體" w:eastAsia="標楷體" w:hAnsi="標楷體" w:hint="eastAsia"/>
          <w:sz w:val="28"/>
          <w:szCs w:val="24"/>
        </w:rPr>
        <w:t>修正</w:t>
      </w:r>
      <w:r w:rsidR="00C84880" w:rsidRPr="00400859">
        <w:rPr>
          <w:rFonts w:ascii="標楷體" w:eastAsia="標楷體" w:hAnsi="標楷體" w:hint="eastAsia"/>
          <w:sz w:val="28"/>
          <w:szCs w:val="24"/>
        </w:rPr>
        <w:t>條文</w:t>
      </w:r>
      <w:r w:rsidRPr="00400859">
        <w:rPr>
          <w:rFonts w:ascii="標楷體" w:eastAsia="標楷體" w:hAnsi="標楷體" w:hint="eastAsia"/>
          <w:sz w:val="28"/>
          <w:szCs w:val="24"/>
        </w:rPr>
        <w:t>第4條</w:t>
      </w:r>
      <w:r w:rsidR="00C84880" w:rsidRPr="00400859">
        <w:rPr>
          <w:rFonts w:ascii="標楷體" w:eastAsia="標楷體" w:hAnsi="標楷體" w:hint="eastAsia"/>
          <w:sz w:val="28"/>
          <w:szCs w:val="24"/>
        </w:rPr>
        <w:t>)</w:t>
      </w:r>
    </w:p>
    <w:p w:rsidR="00405175" w:rsidRPr="00400859" w:rsidRDefault="009B0E5B" w:rsidP="00551320">
      <w:pPr>
        <w:pStyle w:val="a7"/>
        <w:numPr>
          <w:ilvl w:val="0"/>
          <w:numId w:val="13"/>
        </w:numPr>
        <w:ind w:leftChars="0" w:left="1134" w:hanging="568"/>
        <w:rPr>
          <w:rFonts w:ascii="標楷體" w:eastAsia="標楷體" w:hAnsi="標楷體"/>
          <w:b/>
          <w:sz w:val="28"/>
          <w:szCs w:val="24"/>
        </w:rPr>
      </w:pPr>
      <w:r w:rsidRPr="00400859">
        <w:rPr>
          <w:rFonts w:ascii="標楷體" w:eastAsia="標楷體" w:hAnsi="標楷體" w:hint="eastAsia"/>
          <w:sz w:val="28"/>
          <w:szCs w:val="24"/>
        </w:rPr>
        <w:t>參考鄰近國家交易所之規定調整得延後申報報告書期限</w:t>
      </w:r>
      <w:r w:rsidR="00C84880" w:rsidRPr="00400859">
        <w:rPr>
          <w:rFonts w:ascii="標楷體" w:eastAsia="標楷體" w:hAnsi="標楷體" w:hint="eastAsia"/>
          <w:sz w:val="28"/>
          <w:szCs w:val="24"/>
        </w:rPr>
        <w:t>。</w:t>
      </w:r>
      <w:r w:rsidR="0064530B" w:rsidRPr="00400859">
        <w:rPr>
          <w:rFonts w:ascii="標楷體" w:eastAsia="標楷體" w:hAnsi="標楷體" w:hint="eastAsia"/>
          <w:sz w:val="28"/>
          <w:szCs w:val="24"/>
        </w:rPr>
        <w:t>(</w:t>
      </w:r>
      <w:r w:rsidRPr="00400859">
        <w:rPr>
          <w:rFonts w:ascii="標楷體" w:eastAsia="標楷體" w:hAnsi="標楷體" w:hint="eastAsia"/>
          <w:sz w:val="28"/>
          <w:szCs w:val="24"/>
        </w:rPr>
        <w:t>修正</w:t>
      </w:r>
      <w:r w:rsidR="00C84880" w:rsidRPr="00400859">
        <w:rPr>
          <w:rFonts w:ascii="標楷體" w:eastAsia="標楷體" w:hAnsi="標楷體" w:hint="eastAsia"/>
          <w:sz w:val="28"/>
          <w:szCs w:val="24"/>
        </w:rPr>
        <w:t>條文</w:t>
      </w:r>
      <w:r w:rsidRPr="00400859">
        <w:rPr>
          <w:rFonts w:ascii="標楷體" w:eastAsia="標楷體" w:hAnsi="標楷體" w:hint="eastAsia"/>
          <w:sz w:val="28"/>
          <w:szCs w:val="24"/>
        </w:rPr>
        <w:t>第</w:t>
      </w:r>
      <w:r w:rsidR="00BB2E13" w:rsidRPr="00400859">
        <w:rPr>
          <w:rFonts w:ascii="標楷體" w:eastAsia="標楷體" w:hAnsi="標楷體" w:hint="eastAsia"/>
          <w:sz w:val="28"/>
          <w:szCs w:val="24"/>
        </w:rPr>
        <w:t>5</w:t>
      </w:r>
      <w:r w:rsidRPr="00400859">
        <w:rPr>
          <w:rFonts w:ascii="標楷體" w:eastAsia="標楷體" w:hAnsi="標楷體" w:hint="eastAsia"/>
          <w:sz w:val="28"/>
          <w:szCs w:val="24"/>
        </w:rPr>
        <w:t>條</w:t>
      </w:r>
      <w:r w:rsidR="0064530B" w:rsidRPr="00400859">
        <w:rPr>
          <w:rFonts w:ascii="標楷體" w:eastAsia="標楷體" w:hAnsi="標楷體" w:hint="eastAsia"/>
          <w:sz w:val="28"/>
          <w:szCs w:val="24"/>
        </w:rPr>
        <w:t>)</w:t>
      </w:r>
    </w:p>
    <w:p w:rsidR="00405175" w:rsidRPr="00400859" w:rsidRDefault="00405175" w:rsidP="00BE72CD">
      <w:pPr>
        <w:jc w:val="center"/>
        <w:rPr>
          <w:rFonts w:ascii="標楷體" w:eastAsia="標楷體" w:hAnsi="標楷體"/>
          <w:b/>
          <w:sz w:val="28"/>
          <w:szCs w:val="24"/>
        </w:rPr>
        <w:sectPr w:rsidR="00405175" w:rsidRPr="00400859" w:rsidSect="00484512">
          <w:footerReference w:type="default" r:id="rId8"/>
          <w:pgSz w:w="11906" w:h="16838" w:code="9"/>
          <w:pgMar w:top="1440" w:right="1418" w:bottom="1440" w:left="1418" w:header="567" w:footer="567" w:gutter="0"/>
          <w:cols w:space="425"/>
          <w:docGrid w:type="lines" w:linePitch="360"/>
        </w:sectPr>
      </w:pPr>
    </w:p>
    <w:p w:rsidR="005903FB" w:rsidRPr="00400859" w:rsidRDefault="005903FB" w:rsidP="005903FB">
      <w:pPr>
        <w:jc w:val="center"/>
        <w:rPr>
          <w:rFonts w:ascii="標楷體" w:eastAsia="標楷體" w:hAnsi="標楷體"/>
          <w:b/>
          <w:sz w:val="28"/>
          <w:szCs w:val="24"/>
        </w:rPr>
      </w:pPr>
      <w:r w:rsidRPr="00400859">
        <w:rPr>
          <w:rFonts w:ascii="標楷體" w:eastAsia="標楷體" w:hAnsi="標楷體" w:hint="eastAsia"/>
          <w:b/>
          <w:sz w:val="28"/>
          <w:szCs w:val="24"/>
        </w:rPr>
        <w:lastRenderedPageBreak/>
        <w:t>臺灣證券交易所</w:t>
      </w:r>
    </w:p>
    <w:p w:rsidR="00E870A9" w:rsidRPr="00400859" w:rsidRDefault="00BE72CD" w:rsidP="00BE72CD">
      <w:pPr>
        <w:jc w:val="center"/>
        <w:rPr>
          <w:rFonts w:ascii="標楷體" w:eastAsia="標楷體" w:hAnsi="標楷體"/>
          <w:b/>
          <w:sz w:val="28"/>
          <w:szCs w:val="24"/>
        </w:rPr>
      </w:pPr>
      <w:r w:rsidRPr="00400859">
        <w:rPr>
          <w:rFonts w:ascii="標楷體" w:eastAsia="標楷體" w:hAnsi="標楷體" w:hint="eastAsia"/>
          <w:b/>
          <w:sz w:val="28"/>
          <w:szCs w:val="24"/>
        </w:rPr>
        <w:t>「</w:t>
      </w:r>
      <w:r w:rsidR="00260AA0" w:rsidRPr="00400859">
        <w:rPr>
          <w:rFonts w:ascii="標楷體" w:eastAsia="標楷體" w:hAnsi="標楷體" w:hint="eastAsia"/>
          <w:b/>
          <w:sz w:val="28"/>
          <w:szCs w:val="24"/>
        </w:rPr>
        <w:t>上市</w:t>
      </w:r>
      <w:r w:rsidRPr="00400859">
        <w:rPr>
          <w:rFonts w:ascii="標楷體" w:eastAsia="標楷體" w:hAnsi="標楷體" w:hint="eastAsia"/>
          <w:b/>
          <w:sz w:val="28"/>
          <w:szCs w:val="24"/>
        </w:rPr>
        <w:t>公司編製與申報企業社會責任報告書作業辦法」</w:t>
      </w:r>
      <w:r w:rsidR="00C84880" w:rsidRPr="00400859">
        <w:rPr>
          <w:rFonts w:ascii="標楷體" w:eastAsia="標楷體" w:hAnsi="標楷體" w:hint="eastAsia"/>
          <w:b/>
          <w:sz w:val="28"/>
          <w:szCs w:val="24"/>
        </w:rPr>
        <w:t>部分條文</w:t>
      </w:r>
      <w:r w:rsidR="002A3A43">
        <w:rPr>
          <w:rFonts w:ascii="標楷體" w:eastAsia="標楷體" w:hAnsi="標楷體" w:hint="eastAsia"/>
          <w:b/>
          <w:sz w:val="28"/>
          <w:szCs w:val="24"/>
        </w:rPr>
        <w:t>修正</w:t>
      </w:r>
      <w:r w:rsidRPr="00400859">
        <w:rPr>
          <w:rFonts w:ascii="標楷體" w:eastAsia="標楷體" w:hAnsi="標楷體" w:hint="eastAsia"/>
          <w:b/>
          <w:sz w:val="28"/>
          <w:szCs w:val="24"/>
        </w:rPr>
        <w:t>條文對照表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28" w:type="dxa"/>
          <w:right w:w="28" w:type="dxa"/>
        </w:tblCellMar>
        <w:tblLook w:val="04A0" w:firstRow="1" w:lastRow="0" w:firstColumn="1" w:lastColumn="0" w:noHBand="0" w:noVBand="1"/>
      </w:tblPr>
      <w:tblGrid>
        <w:gridCol w:w="2766"/>
        <w:gridCol w:w="2766"/>
        <w:gridCol w:w="2764"/>
      </w:tblGrid>
      <w:tr w:rsidR="00400859" w:rsidRPr="00400859" w:rsidTr="00C218B1">
        <w:trPr>
          <w:trHeight w:val="485"/>
          <w:tblHeader/>
        </w:trPr>
        <w:tc>
          <w:tcPr>
            <w:tcW w:w="1667" w:type="pct"/>
            <w:shd w:val="clear" w:color="auto" w:fill="AEAAAA" w:themeFill="background2" w:themeFillShade="BF"/>
          </w:tcPr>
          <w:p w:rsidR="00C218B1" w:rsidRPr="00400859" w:rsidRDefault="00C218B1" w:rsidP="00D23CFA">
            <w:pPr>
              <w:widowControl/>
              <w:spacing w:line="480" w:lineRule="exact"/>
              <w:jc w:val="center"/>
              <w:rPr>
                <w:rFonts w:ascii="標楷體" w:eastAsia="標楷體" w:hAnsi="標楷體" w:cs="新細明體"/>
                <w:kern w:val="0"/>
                <w:szCs w:val="24"/>
              </w:rPr>
            </w:pPr>
            <w:r w:rsidRPr="00400859">
              <w:rPr>
                <w:rFonts w:ascii="標楷體" w:eastAsia="標楷體" w:hAnsi="標楷體"/>
                <w:sz w:val="28"/>
                <w:szCs w:val="24"/>
              </w:rPr>
              <w:tab/>
            </w:r>
            <w:r w:rsidRPr="00400859">
              <w:rPr>
                <w:rFonts w:ascii="標楷體" w:eastAsia="標楷體" w:hAnsi="標楷體" w:cs="新細明體" w:hint="eastAsia"/>
                <w:kern w:val="0"/>
                <w:szCs w:val="24"/>
              </w:rPr>
              <w:t>修正條文</w:t>
            </w:r>
          </w:p>
        </w:tc>
        <w:tc>
          <w:tcPr>
            <w:tcW w:w="1667" w:type="pct"/>
            <w:shd w:val="clear" w:color="auto" w:fill="AEAAAA" w:themeFill="background2" w:themeFillShade="BF"/>
          </w:tcPr>
          <w:p w:rsidR="00C218B1" w:rsidRPr="00400859" w:rsidRDefault="00C218B1" w:rsidP="00D23CFA">
            <w:pPr>
              <w:widowControl/>
              <w:spacing w:line="480" w:lineRule="exact"/>
              <w:jc w:val="center"/>
              <w:rPr>
                <w:rFonts w:ascii="標楷體" w:eastAsia="標楷體" w:hAnsi="標楷體" w:cs="新細明體"/>
                <w:kern w:val="0"/>
                <w:szCs w:val="24"/>
              </w:rPr>
            </w:pPr>
            <w:r w:rsidRPr="00400859">
              <w:rPr>
                <w:rFonts w:ascii="標楷體" w:eastAsia="標楷體" w:hAnsi="標楷體" w:cs="新細明體" w:hint="eastAsia"/>
                <w:kern w:val="0"/>
                <w:szCs w:val="24"/>
              </w:rPr>
              <w:t>現行條文</w:t>
            </w:r>
          </w:p>
        </w:tc>
        <w:tc>
          <w:tcPr>
            <w:tcW w:w="1667" w:type="pct"/>
            <w:shd w:val="clear" w:color="auto" w:fill="AEAAAA" w:themeFill="background2" w:themeFillShade="BF"/>
            <w:noWrap/>
          </w:tcPr>
          <w:p w:rsidR="00C218B1" w:rsidRPr="00400859" w:rsidRDefault="00C218B1" w:rsidP="00D23CFA">
            <w:pPr>
              <w:widowControl/>
              <w:spacing w:line="480" w:lineRule="exact"/>
              <w:jc w:val="center"/>
              <w:rPr>
                <w:rFonts w:ascii="標楷體" w:eastAsia="標楷體" w:hAnsi="標楷體" w:cs="新細明體"/>
                <w:kern w:val="0"/>
                <w:szCs w:val="24"/>
              </w:rPr>
            </w:pPr>
            <w:r w:rsidRPr="00400859">
              <w:rPr>
                <w:rFonts w:ascii="標楷體" w:eastAsia="標楷體" w:hAnsi="標楷體" w:hint="eastAsia"/>
                <w:bCs/>
                <w:szCs w:val="24"/>
              </w:rPr>
              <w:t>說        明</w:t>
            </w:r>
          </w:p>
        </w:tc>
      </w:tr>
      <w:tr w:rsidR="00400859" w:rsidRPr="00400859" w:rsidTr="00C218B1">
        <w:trPr>
          <w:trHeight w:val="488"/>
        </w:trPr>
        <w:tc>
          <w:tcPr>
            <w:tcW w:w="1667" w:type="pct"/>
            <w:shd w:val="clear" w:color="auto" w:fill="FFFFFF" w:themeFill="background1"/>
          </w:tcPr>
          <w:p w:rsidR="00C218B1" w:rsidRPr="00400859" w:rsidRDefault="00C218B1" w:rsidP="00D23CFA">
            <w:pPr>
              <w:widowControl/>
              <w:spacing w:line="480" w:lineRule="exact"/>
              <w:rPr>
                <w:rFonts w:ascii="標楷體" w:eastAsia="標楷體" w:hAnsi="標楷體" w:cs="新細明體"/>
                <w:kern w:val="0"/>
                <w:szCs w:val="24"/>
              </w:rPr>
            </w:pPr>
            <w:r w:rsidRPr="00400859">
              <w:rPr>
                <w:rFonts w:ascii="標楷體" w:eastAsia="標楷體" w:hAnsi="標楷體" w:cs="新細明體" w:hint="eastAsia"/>
                <w:kern w:val="0"/>
                <w:szCs w:val="24"/>
              </w:rPr>
              <w:t>第二條</w:t>
            </w:r>
            <w:r w:rsidRPr="00400859">
              <w:rPr>
                <w:rFonts w:ascii="標楷體" w:eastAsia="標楷體" w:hAnsi="標楷體" w:cs="新細明體" w:hint="eastAsia"/>
                <w:kern w:val="0"/>
                <w:szCs w:val="24"/>
              </w:rPr>
              <w:tab/>
              <w:t xml:space="preserve">  </w:t>
            </w:r>
          </w:p>
          <w:p w:rsidR="00C218B1" w:rsidRPr="00400859" w:rsidRDefault="00C218B1" w:rsidP="00D23CFA">
            <w:pPr>
              <w:widowControl/>
              <w:spacing w:line="480" w:lineRule="exact"/>
              <w:rPr>
                <w:rFonts w:ascii="標楷體" w:eastAsia="標楷體" w:hAnsi="標楷體" w:cs="新細明體"/>
                <w:kern w:val="0"/>
                <w:szCs w:val="24"/>
              </w:rPr>
            </w:pPr>
            <w:r w:rsidRPr="00400859">
              <w:rPr>
                <w:rFonts w:ascii="標楷體" w:eastAsia="標楷體" w:hAnsi="標楷體" w:cs="新細明體" w:hint="eastAsia"/>
                <w:kern w:val="0"/>
                <w:szCs w:val="24"/>
              </w:rPr>
              <w:t>上市公司符合下列情事之一者，應依本作業辦法之規定編製與申報中文版本之企業社會責任報告書：</w:t>
            </w:r>
          </w:p>
          <w:p w:rsidR="00C218B1" w:rsidRPr="00400859" w:rsidRDefault="00C218B1" w:rsidP="00D23CFA">
            <w:pPr>
              <w:pStyle w:val="a7"/>
              <w:widowControl/>
              <w:numPr>
                <w:ilvl w:val="0"/>
                <w:numId w:val="4"/>
              </w:numPr>
              <w:spacing w:line="480" w:lineRule="exact"/>
              <w:ind w:leftChars="0"/>
              <w:rPr>
                <w:rFonts w:ascii="標楷體" w:eastAsia="標楷體" w:hAnsi="標楷體" w:cs="新細明體"/>
                <w:kern w:val="0"/>
                <w:szCs w:val="24"/>
              </w:rPr>
            </w:pPr>
            <w:r w:rsidRPr="00400859">
              <w:rPr>
                <w:rFonts w:ascii="標楷體" w:eastAsia="標楷體" w:hAnsi="標楷體" w:cs="新細明體" w:hint="eastAsia"/>
                <w:kern w:val="0"/>
                <w:szCs w:val="24"/>
              </w:rPr>
              <w:t>最近一會計年度終了，依據本公司「上市公司產業類別劃分暨調整要點」規定屬食品工業、化學工業及金融保險業者。</w:t>
            </w:r>
          </w:p>
          <w:p w:rsidR="00C218B1" w:rsidRPr="00400859" w:rsidRDefault="00C218B1" w:rsidP="00D23CFA">
            <w:pPr>
              <w:pStyle w:val="a7"/>
              <w:widowControl/>
              <w:numPr>
                <w:ilvl w:val="0"/>
                <w:numId w:val="4"/>
              </w:numPr>
              <w:spacing w:line="480" w:lineRule="exact"/>
              <w:ind w:leftChars="0"/>
              <w:rPr>
                <w:rFonts w:ascii="標楷體" w:eastAsia="標楷體" w:hAnsi="標楷體" w:cs="新細明體"/>
                <w:kern w:val="0"/>
                <w:szCs w:val="24"/>
              </w:rPr>
            </w:pPr>
            <w:r w:rsidRPr="00400859">
              <w:rPr>
                <w:rFonts w:ascii="標楷體" w:eastAsia="標楷體" w:hAnsi="標楷體" w:cs="新細明體" w:hint="eastAsia"/>
                <w:kern w:val="0"/>
                <w:szCs w:val="24"/>
              </w:rPr>
              <w:t>依證券交易法第三十六條規定檢送之最近一會計年度財務報告，餐飲收入占其全部營業收入之比率達百分之五十以上者。</w:t>
            </w:r>
          </w:p>
          <w:p w:rsidR="00C218B1" w:rsidRPr="00400859" w:rsidRDefault="00C218B1" w:rsidP="00D23CFA">
            <w:pPr>
              <w:pStyle w:val="a7"/>
              <w:numPr>
                <w:ilvl w:val="0"/>
                <w:numId w:val="4"/>
              </w:numPr>
              <w:spacing w:line="480" w:lineRule="exact"/>
              <w:ind w:leftChars="0"/>
              <w:rPr>
                <w:rFonts w:ascii="標楷體" w:eastAsia="標楷體" w:hAnsi="標楷體" w:cs="新細明體"/>
                <w:kern w:val="0"/>
                <w:szCs w:val="24"/>
              </w:rPr>
            </w:pPr>
            <w:r w:rsidRPr="00400859">
              <w:rPr>
                <w:rFonts w:ascii="標楷體" w:eastAsia="標楷體" w:hAnsi="標楷體" w:cs="新細明體" w:hint="eastAsia"/>
                <w:kern w:val="0"/>
                <w:szCs w:val="24"/>
              </w:rPr>
              <w:t>依證券交易法第三十六條規定檢送之最近一會計年度財務報告，股本達新臺幣五十億元以上者。</w:t>
            </w:r>
          </w:p>
        </w:tc>
        <w:tc>
          <w:tcPr>
            <w:tcW w:w="1667" w:type="pct"/>
            <w:shd w:val="clear" w:color="auto" w:fill="FFFFFF" w:themeFill="background1"/>
            <w:hideMark/>
          </w:tcPr>
          <w:p w:rsidR="00C218B1" w:rsidRPr="00400859" w:rsidRDefault="00C218B1" w:rsidP="00D23CFA">
            <w:pPr>
              <w:widowControl/>
              <w:spacing w:line="480" w:lineRule="exact"/>
              <w:rPr>
                <w:rFonts w:ascii="標楷體" w:eastAsia="標楷體" w:hAnsi="標楷體" w:cs="新細明體"/>
                <w:kern w:val="0"/>
                <w:szCs w:val="24"/>
              </w:rPr>
            </w:pPr>
            <w:r w:rsidRPr="00400859">
              <w:rPr>
                <w:rFonts w:ascii="標楷體" w:eastAsia="標楷體" w:hAnsi="標楷體" w:cs="新細明體" w:hint="eastAsia"/>
                <w:kern w:val="0"/>
                <w:szCs w:val="24"/>
              </w:rPr>
              <w:t>第二條</w:t>
            </w:r>
            <w:r w:rsidRPr="00400859">
              <w:rPr>
                <w:rFonts w:ascii="標楷體" w:eastAsia="標楷體" w:hAnsi="標楷體" w:cs="新細明體" w:hint="eastAsia"/>
                <w:kern w:val="0"/>
                <w:szCs w:val="24"/>
              </w:rPr>
              <w:tab/>
              <w:t xml:space="preserve">  </w:t>
            </w:r>
          </w:p>
          <w:p w:rsidR="00C218B1" w:rsidRPr="00400859" w:rsidRDefault="00C218B1" w:rsidP="00D23CFA">
            <w:pPr>
              <w:widowControl/>
              <w:spacing w:line="480" w:lineRule="exact"/>
              <w:rPr>
                <w:rFonts w:ascii="標楷體" w:eastAsia="標楷體" w:hAnsi="標楷體" w:cs="新細明體"/>
                <w:kern w:val="0"/>
                <w:szCs w:val="24"/>
              </w:rPr>
            </w:pPr>
            <w:r w:rsidRPr="00400859">
              <w:rPr>
                <w:rFonts w:ascii="標楷體" w:eastAsia="標楷體" w:hAnsi="標楷體" w:cs="新細明體" w:hint="eastAsia"/>
                <w:kern w:val="0"/>
                <w:szCs w:val="24"/>
              </w:rPr>
              <w:t>上市公司符合下列情事之一者，應依本作業辦法之規定編製與申報中文版本之企業社會責任報告書：</w:t>
            </w:r>
          </w:p>
          <w:p w:rsidR="00C218B1" w:rsidRPr="00400859" w:rsidRDefault="00C218B1" w:rsidP="00D23CFA">
            <w:pPr>
              <w:pStyle w:val="a7"/>
              <w:widowControl/>
              <w:numPr>
                <w:ilvl w:val="0"/>
                <w:numId w:val="5"/>
              </w:numPr>
              <w:spacing w:line="480" w:lineRule="exact"/>
              <w:ind w:leftChars="0"/>
              <w:rPr>
                <w:rFonts w:ascii="標楷體" w:eastAsia="標楷體" w:hAnsi="標楷體" w:cs="新細明體"/>
                <w:kern w:val="0"/>
                <w:szCs w:val="24"/>
              </w:rPr>
            </w:pPr>
            <w:r w:rsidRPr="00400859">
              <w:rPr>
                <w:rFonts w:ascii="標楷體" w:eastAsia="標楷體" w:hAnsi="標楷體" w:cs="新細明體" w:hint="eastAsia"/>
                <w:kern w:val="0"/>
                <w:szCs w:val="24"/>
              </w:rPr>
              <w:t>最近一會計年度終了，依據本公司「上市公司產業類別劃分暨調整要點」規定屬食品工業、化學工業及金融保險業者。</w:t>
            </w:r>
          </w:p>
          <w:p w:rsidR="00C218B1" w:rsidRPr="00400859" w:rsidRDefault="00C218B1" w:rsidP="00D23CFA">
            <w:pPr>
              <w:pStyle w:val="a7"/>
              <w:widowControl/>
              <w:numPr>
                <w:ilvl w:val="0"/>
                <w:numId w:val="5"/>
              </w:numPr>
              <w:spacing w:line="480" w:lineRule="exact"/>
              <w:ind w:leftChars="0"/>
              <w:rPr>
                <w:rFonts w:ascii="標楷體" w:eastAsia="標楷體" w:hAnsi="標楷體" w:cs="新細明體"/>
                <w:kern w:val="0"/>
                <w:szCs w:val="24"/>
              </w:rPr>
            </w:pPr>
            <w:r w:rsidRPr="00400859">
              <w:rPr>
                <w:rFonts w:ascii="標楷體" w:eastAsia="標楷體" w:hAnsi="標楷體" w:cs="新細明體" w:hint="eastAsia"/>
                <w:kern w:val="0"/>
                <w:szCs w:val="24"/>
              </w:rPr>
              <w:t>依證券交易法第三十六條規定檢送之最近一會計年度財務報告，餐飲收入占其全部營業收入之比率達百分之五十以上者。</w:t>
            </w:r>
          </w:p>
          <w:p w:rsidR="00C218B1" w:rsidRPr="00400859" w:rsidRDefault="00C218B1" w:rsidP="00D23CFA">
            <w:pPr>
              <w:pStyle w:val="a7"/>
              <w:numPr>
                <w:ilvl w:val="0"/>
                <w:numId w:val="5"/>
              </w:numPr>
              <w:spacing w:line="480" w:lineRule="exact"/>
              <w:ind w:leftChars="0"/>
              <w:rPr>
                <w:rFonts w:ascii="標楷體" w:eastAsia="標楷體" w:hAnsi="標楷體" w:cs="新細明體"/>
                <w:kern w:val="0"/>
                <w:szCs w:val="24"/>
              </w:rPr>
            </w:pPr>
            <w:r w:rsidRPr="00400859">
              <w:rPr>
                <w:rFonts w:ascii="標楷體" w:eastAsia="標楷體" w:hAnsi="標楷體" w:cs="新細明體" w:hint="eastAsia"/>
                <w:kern w:val="0"/>
                <w:szCs w:val="24"/>
              </w:rPr>
              <w:t>依證券交易法第三十六條規定檢送之最近一會計年度財務報告，股本達新臺幣五十億元以上者。</w:t>
            </w:r>
            <w:r w:rsidRPr="00400859">
              <w:rPr>
                <w:rFonts w:ascii="標楷體" w:eastAsia="標楷體" w:hAnsi="標楷體" w:cs="新細明體" w:hint="eastAsia"/>
                <w:kern w:val="0"/>
                <w:szCs w:val="24"/>
                <w:u w:val="single"/>
              </w:rPr>
              <w:t>但未達一百億元者，得自中華民國一百零六年適用；其年度決算有累積虧損者，得自民國一百零八年適用。</w:t>
            </w:r>
          </w:p>
        </w:tc>
        <w:tc>
          <w:tcPr>
            <w:tcW w:w="1667" w:type="pct"/>
            <w:shd w:val="clear" w:color="auto" w:fill="FFFFFF" w:themeFill="background1"/>
            <w:noWrap/>
            <w:hideMark/>
          </w:tcPr>
          <w:p w:rsidR="00C218B1" w:rsidRPr="00400859" w:rsidRDefault="00C218B1" w:rsidP="00D23CFA">
            <w:pPr>
              <w:spacing w:line="480" w:lineRule="exact"/>
              <w:rPr>
                <w:rFonts w:ascii="標楷體" w:eastAsia="標楷體" w:hAnsi="標楷體" w:cs="新細明體"/>
                <w:kern w:val="0"/>
                <w:szCs w:val="24"/>
              </w:rPr>
            </w:pPr>
            <w:r w:rsidRPr="00400859">
              <w:rPr>
                <w:rFonts w:ascii="標楷體" w:eastAsia="標楷體" w:hAnsi="標楷體" w:cs="新細明體" w:hint="eastAsia"/>
                <w:kern w:val="0"/>
                <w:szCs w:val="24"/>
              </w:rPr>
              <w:t>配合本作業辦法修正條文</w:t>
            </w:r>
            <w:r w:rsidRPr="00400859">
              <w:rPr>
                <w:rFonts w:ascii="標楷體" w:eastAsia="標楷體" w:hAnsi="標楷體" w:cs="新細明體" w:hint="eastAsia"/>
                <w:kern w:val="0"/>
                <w:szCs w:val="24"/>
                <w:u w:val="single"/>
              </w:rPr>
              <w:t>自108年度起適用</w:t>
            </w:r>
            <w:r w:rsidRPr="00400859">
              <w:rPr>
                <w:rFonts w:ascii="標楷體" w:eastAsia="標楷體" w:hAnsi="標楷體" w:cs="新細明體" w:hint="eastAsia"/>
                <w:kern w:val="0"/>
                <w:szCs w:val="24"/>
              </w:rPr>
              <w:t>，爰刪除本條第一項第三款後段之文字。</w:t>
            </w:r>
          </w:p>
        </w:tc>
      </w:tr>
      <w:tr w:rsidR="00400859" w:rsidRPr="00400859" w:rsidTr="00C218B1">
        <w:trPr>
          <w:trHeight w:val="488"/>
        </w:trPr>
        <w:tc>
          <w:tcPr>
            <w:tcW w:w="1667" w:type="pct"/>
            <w:shd w:val="clear" w:color="auto" w:fill="FFFFFF" w:themeFill="background1"/>
          </w:tcPr>
          <w:p w:rsidR="00C218B1" w:rsidRPr="00400859" w:rsidRDefault="00C218B1" w:rsidP="00D23CFA">
            <w:pPr>
              <w:widowControl/>
              <w:spacing w:line="480" w:lineRule="exact"/>
              <w:rPr>
                <w:rFonts w:ascii="標楷體" w:eastAsia="標楷體" w:hAnsi="標楷體" w:cs="新細明體"/>
                <w:kern w:val="0"/>
                <w:szCs w:val="24"/>
              </w:rPr>
            </w:pPr>
            <w:r w:rsidRPr="00400859">
              <w:rPr>
                <w:rFonts w:ascii="標楷體" w:eastAsia="標楷體" w:hAnsi="標楷體" w:cs="新細明體" w:hint="eastAsia"/>
                <w:kern w:val="0"/>
                <w:szCs w:val="24"/>
              </w:rPr>
              <w:t>第三條</w:t>
            </w:r>
            <w:r w:rsidRPr="00400859">
              <w:rPr>
                <w:rFonts w:ascii="標楷體" w:eastAsia="標楷體" w:hAnsi="標楷體" w:cs="新細明體" w:hint="eastAsia"/>
                <w:kern w:val="0"/>
                <w:szCs w:val="24"/>
              </w:rPr>
              <w:tab/>
              <w:t xml:space="preserve">  </w:t>
            </w:r>
          </w:p>
          <w:p w:rsidR="00C218B1" w:rsidRPr="00400859" w:rsidRDefault="00C218B1" w:rsidP="00D23CFA">
            <w:pPr>
              <w:spacing w:line="480" w:lineRule="exact"/>
              <w:rPr>
                <w:rFonts w:ascii="標楷體" w:eastAsia="標楷體" w:hAnsi="標楷體"/>
                <w:szCs w:val="24"/>
              </w:rPr>
            </w:pPr>
            <w:r w:rsidRPr="00400859">
              <w:rPr>
                <w:rFonts w:ascii="標楷體" w:eastAsia="標楷體" w:hAnsi="標楷體" w:hint="eastAsia"/>
                <w:szCs w:val="24"/>
              </w:rPr>
              <w:t>符合第二條規定之上市公司應每年參考全球永續性報告協會（Global Reporting Initiatives， GRI）發布之</w:t>
            </w:r>
            <w:r w:rsidRPr="00400859">
              <w:rPr>
                <w:rFonts w:ascii="標楷體" w:eastAsia="標楷體" w:hAnsi="標楷體" w:hint="eastAsia"/>
                <w:bCs/>
                <w:szCs w:val="24"/>
                <w:u w:val="single"/>
              </w:rPr>
              <w:t>GRI準則</w:t>
            </w:r>
            <w:r w:rsidRPr="00400859">
              <w:rPr>
                <w:rFonts w:ascii="標楷體" w:eastAsia="標楷體" w:hAnsi="標楷體" w:hint="eastAsia"/>
                <w:szCs w:val="24"/>
                <w:u w:val="single"/>
              </w:rPr>
              <w:t>、行業</w:t>
            </w:r>
            <w:r w:rsidRPr="00400859">
              <w:rPr>
                <w:rFonts w:ascii="標楷體" w:eastAsia="標楷體" w:hAnsi="標楷體" w:hint="eastAsia"/>
                <w:bCs/>
                <w:szCs w:val="24"/>
                <w:u w:val="single"/>
              </w:rPr>
              <w:t>揭露</w:t>
            </w:r>
            <w:r w:rsidRPr="00400859">
              <w:rPr>
                <w:rFonts w:ascii="標楷體" w:eastAsia="標楷體" w:hAnsi="標楷體" w:hint="eastAsia"/>
                <w:szCs w:val="24"/>
              </w:rPr>
              <w:t>及依行業特性參採其他適用之準則編製前一年度之企業社會責任報告書，揭露公司所</w:t>
            </w:r>
            <w:r w:rsidRPr="00400859">
              <w:rPr>
                <w:rFonts w:ascii="標楷體" w:eastAsia="標楷體" w:hAnsi="標楷體" w:hint="eastAsia"/>
                <w:bCs/>
                <w:szCs w:val="24"/>
                <w:u w:val="single"/>
              </w:rPr>
              <w:t>鑑別</w:t>
            </w:r>
            <w:r w:rsidRPr="00400859">
              <w:rPr>
                <w:rFonts w:ascii="標楷體" w:eastAsia="標楷體" w:hAnsi="標楷體" w:hint="eastAsia"/>
                <w:szCs w:val="24"/>
              </w:rPr>
              <w:t>之經濟、環境及社會</w:t>
            </w:r>
            <w:r w:rsidRPr="00400859">
              <w:rPr>
                <w:rFonts w:ascii="標楷體" w:eastAsia="標楷體" w:hAnsi="標楷體" w:hint="eastAsia"/>
                <w:bCs/>
                <w:szCs w:val="24"/>
              </w:rPr>
              <w:t>重大</w:t>
            </w:r>
            <w:r w:rsidRPr="00400859">
              <w:rPr>
                <w:rFonts w:ascii="標楷體" w:eastAsia="標楷體" w:hAnsi="標楷體" w:hint="eastAsia"/>
                <w:bCs/>
                <w:szCs w:val="24"/>
                <w:u w:val="single"/>
              </w:rPr>
              <w:t>主題</w:t>
            </w:r>
            <w:r w:rsidRPr="00400859">
              <w:rPr>
                <w:rFonts w:ascii="標楷體" w:eastAsia="標楷體" w:hAnsi="標楷體" w:hint="eastAsia"/>
                <w:szCs w:val="24"/>
              </w:rPr>
              <w:t>、管理方針、</w:t>
            </w:r>
            <w:r w:rsidRPr="00400859">
              <w:rPr>
                <w:rFonts w:ascii="標楷體" w:eastAsia="標楷體" w:hAnsi="標楷體" w:hint="eastAsia"/>
                <w:bCs/>
                <w:szCs w:val="24"/>
                <w:u w:val="single"/>
              </w:rPr>
              <w:t>揭露項目及其報導要求</w:t>
            </w:r>
            <w:r w:rsidRPr="00400859">
              <w:rPr>
                <w:rFonts w:ascii="標楷體" w:eastAsia="標楷體" w:hAnsi="標楷體" w:hint="eastAsia"/>
                <w:szCs w:val="24"/>
              </w:rPr>
              <w:t>，且至少應符合</w:t>
            </w:r>
            <w:r w:rsidRPr="00400859">
              <w:rPr>
                <w:rFonts w:ascii="標楷體" w:eastAsia="標楷體" w:hAnsi="標楷體" w:hint="eastAsia"/>
                <w:bCs/>
                <w:szCs w:val="24"/>
                <w:u w:val="single"/>
              </w:rPr>
              <w:t>GRI準則</w:t>
            </w:r>
            <w:r w:rsidRPr="00400859">
              <w:rPr>
                <w:rFonts w:ascii="標楷體" w:eastAsia="標楷體" w:hAnsi="標楷體" w:hint="eastAsia"/>
                <w:szCs w:val="24"/>
              </w:rPr>
              <w:t>之</w:t>
            </w:r>
            <w:r w:rsidRPr="00400859">
              <w:rPr>
                <w:rFonts w:ascii="標楷體" w:eastAsia="標楷體" w:hAnsi="標楷體" w:hint="eastAsia"/>
                <w:bCs/>
                <w:szCs w:val="24"/>
              </w:rPr>
              <w:t>核心選項</w:t>
            </w:r>
            <w:r w:rsidRPr="00400859">
              <w:rPr>
                <w:rFonts w:ascii="標楷體" w:eastAsia="標楷體" w:hAnsi="標楷體" w:hint="eastAsia"/>
                <w:szCs w:val="24"/>
              </w:rPr>
              <w:t>。</w:t>
            </w:r>
          </w:p>
          <w:p w:rsidR="00C218B1" w:rsidRPr="00400859" w:rsidRDefault="00C218B1" w:rsidP="00D23CFA">
            <w:pPr>
              <w:spacing w:line="480" w:lineRule="exact"/>
              <w:rPr>
                <w:rFonts w:ascii="標楷體" w:eastAsia="標楷體" w:hAnsi="標楷體"/>
                <w:szCs w:val="24"/>
              </w:rPr>
            </w:pPr>
          </w:p>
          <w:p w:rsidR="00FA3A93" w:rsidRPr="00400859" w:rsidRDefault="00FA3A93" w:rsidP="00D23CFA">
            <w:pPr>
              <w:spacing w:line="480" w:lineRule="exact"/>
              <w:rPr>
                <w:rFonts w:ascii="標楷體" w:eastAsia="標楷體" w:hAnsi="標楷體"/>
                <w:szCs w:val="24"/>
              </w:rPr>
            </w:pPr>
          </w:p>
          <w:p w:rsidR="00C218B1" w:rsidRPr="00400859" w:rsidRDefault="00C218B1" w:rsidP="00D23CFA">
            <w:pPr>
              <w:spacing w:line="480" w:lineRule="exact"/>
              <w:rPr>
                <w:rFonts w:ascii="標楷體" w:eastAsia="標楷體" w:hAnsi="標楷體"/>
                <w:szCs w:val="24"/>
              </w:rPr>
            </w:pPr>
            <w:r w:rsidRPr="00400859">
              <w:rPr>
                <w:rFonts w:ascii="標楷體" w:eastAsia="標楷體" w:hAnsi="標楷體" w:hint="eastAsia"/>
                <w:szCs w:val="24"/>
              </w:rPr>
              <w:t>上市公司應於企業社會責任報告書內揭露報告書內容對應</w:t>
            </w:r>
            <w:r w:rsidRPr="00400859">
              <w:rPr>
                <w:rFonts w:ascii="標楷體" w:eastAsia="標楷體" w:hAnsi="標楷體" w:hint="eastAsia"/>
                <w:bCs/>
                <w:szCs w:val="24"/>
                <w:u w:val="single"/>
              </w:rPr>
              <w:t>GRI準則</w:t>
            </w:r>
            <w:r w:rsidRPr="00400859">
              <w:rPr>
                <w:rFonts w:ascii="標楷體" w:eastAsia="標楷體" w:hAnsi="標楷體" w:hint="eastAsia"/>
                <w:szCs w:val="24"/>
              </w:rPr>
              <w:t>之</w:t>
            </w:r>
            <w:r w:rsidRPr="00400859">
              <w:rPr>
                <w:rFonts w:ascii="標楷體" w:eastAsia="標楷體" w:hAnsi="標楷體" w:hint="eastAsia"/>
                <w:bCs/>
                <w:szCs w:val="24"/>
                <w:u w:val="single"/>
              </w:rPr>
              <w:t>內容</w:t>
            </w:r>
            <w:r w:rsidRPr="00400859">
              <w:rPr>
                <w:rFonts w:ascii="標楷體" w:eastAsia="標楷體" w:hAnsi="標楷體" w:hint="eastAsia"/>
                <w:szCs w:val="24"/>
              </w:rPr>
              <w:t>索引，並於</w:t>
            </w:r>
            <w:r w:rsidRPr="00400859">
              <w:rPr>
                <w:rFonts w:ascii="標楷體" w:eastAsia="標楷體" w:hAnsi="標楷體" w:hint="eastAsia"/>
                <w:bCs/>
                <w:szCs w:val="24"/>
                <w:u w:val="single"/>
              </w:rPr>
              <w:t>報告書內</w:t>
            </w:r>
            <w:r w:rsidRPr="00400859">
              <w:rPr>
                <w:rFonts w:ascii="標楷體" w:eastAsia="標楷體" w:hAnsi="標楷體" w:hint="eastAsia"/>
                <w:szCs w:val="24"/>
              </w:rPr>
              <w:t>註明各揭露項目是否取得第三方確認、確信或保證。</w:t>
            </w:r>
          </w:p>
          <w:p w:rsidR="00C218B1" w:rsidRPr="00400859" w:rsidRDefault="00C218B1" w:rsidP="00D23CFA">
            <w:pPr>
              <w:spacing w:line="480" w:lineRule="exact"/>
              <w:rPr>
                <w:rFonts w:ascii="標楷體" w:eastAsia="標楷體" w:hAnsi="標楷體"/>
                <w:szCs w:val="24"/>
              </w:rPr>
            </w:pPr>
            <w:r w:rsidRPr="00400859">
              <w:rPr>
                <w:rFonts w:ascii="標楷體" w:eastAsia="標楷體" w:hAnsi="標楷體" w:hint="eastAsia"/>
                <w:szCs w:val="24"/>
              </w:rPr>
              <w:t>第一項所述之</w:t>
            </w:r>
            <w:r w:rsidRPr="00400859">
              <w:rPr>
                <w:rFonts w:ascii="標楷體" w:eastAsia="標楷體" w:hAnsi="標楷體" w:hint="eastAsia"/>
                <w:bCs/>
                <w:szCs w:val="24"/>
                <w:u w:val="single"/>
              </w:rPr>
              <w:t>揭露項目</w:t>
            </w:r>
            <w:r w:rsidRPr="00400859">
              <w:rPr>
                <w:rFonts w:ascii="標楷體" w:eastAsia="標楷體" w:hAnsi="標楷體" w:hint="eastAsia"/>
                <w:szCs w:val="24"/>
              </w:rPr>
              <w:t>，應採用符合目的事業主管機關規定之標準進行衡量與揭露，如目的事業主管機關未發布適用之標準，則應採用實務慣用之衡量方法。</w:t>
            </w:r>
          </w:p>
        </w:tc>
        <w:tc>
          <w:tcPr>
            <w:tcW w:w="1667" w:type="pct"/>
            <w:shd w:val="clear" w:color="auto" w:fill="FFFFFF" w:themeFill="background1"/>
          </w:tcPr>
          <w:p w:rsidR="00C218B1" w:rsidRPr="00400859" w:rsidRDefault="00C218B1" w:rsidP="00D23CFA">
            <w:pPr>
              <w:widowControl/>
              <w:spacing w:line="480" w:lineRule="exact"/>
              <w:rPr>
                <w:rFonts w:ascii="標楷體" w:eastAsia="標楷體" w:hAnsi="標楷體" w:cs="新細明體"/>
                <w:kern w:val="0"/>
                <w:szCs w:val="24"/>
              </w:rPr>
            </w:pPr>
            <w:r w:rsidRPr="00400859">
              <w:rPr>
                <w:rFonts w:ascii="標楷體" w:eastAsia="標楷體" w:hAnsi="標楷體" w:cs="新細明體" w:hint="eastAsia"/>
                <w:kern w:val="0"/>
                <w:szCs w:val="24"/>
              </w:rPr>
              <w:t>第三條</w:t>
            </w:r>
            <w:r w:rsidRPr="00400859">
              <w:rPr>
                <w:rFonts w:ascii="標楷體" w:eastAsia="標楷體" w:hAnsi="標楷體" w:cs="新細明體" w:hint="eastAsia"/>
                <w:kern w:val="0"/>
                <w:szCs w:val="24"/>
              </w:rPr>
              <w:tab/>
              <w:t xml:space="preserve">  </w:t>
            </w:r>
          </w:p>
          <w:p w:rsidR="00C218B1" w:rsidRPr="00400859" w:rsidRDefault="00C218B1" w:rsidP="00D23CFA">
            <w:pPr>
              <w:widowControl/>
              <w:spacing w:line="480" w:lineRule="exact"/>
              <w:rPr>
                <w:rFonts w:ascii="標楷體" w:eastAsia="標楷體" w:hAnsi="標楷體"/>
                <w:szCs w:val="24"/>
              </w:rPr>
            </w:pPr>
            <w:r w:rsidRPr="00400859">
              <w:rPr>
                <w:rFonts w:ascii="標楷體" w:eastAsia="標楷體" w:hAnsi="標楷體" w:hint="eastAsia"/>
                <w:szCs w:val="24"/>
              </w:rPr>
              <w:t>符合第二條規定之上市公司應每年參考全球永續性報告協會（Global Reporting Initiatives， GRI）發布之</w:t>
            </w:r>
            <w:r w:rsidRPr="00400859">
              <w:rPr>
                <w:rFonts w:ascii="標楷體" w:eastAsia="標楷體" w:hAnsi="標楷體" w:hint="eastAsia"/>
                <w:szCs w:val="24"/>
                <w:u w:val="single"/>
              </w:rPr>
              <w:t>最新版永續性報告指南、行業補充指南</w:t>
            </w:r>
            <w:r w:rsidRPr="00400859">
              <w:rPr>
                <w:rFonts w:ascii="標楷體" w:eastAsia="標楷體" w:hAnsi="標楷體" w:hint="eastAsia"/>
                <w:szCs w:val="24"/>
              </w:rPr>
              <w:t>及依行業特性參採其他適用之準則編製前一年度之企業社會責任報告書，揭露公司所</w:t>
            </w:r>
            <w:r w:rsidRPr="00400859">
              <w:rPr>
                <w:rFonts w:ascii="標楷體" w:eastAsia="標楷體" w:hAnsi="標楷體" w:hint="eastAsia"/>
                <w:szCs w:val="24"/>
                <w:u w:val="single"/>
              </w:rPr>
              <w:t>辨認</w:t>
            </w:r>
            <w:r w:rsidRPr="00400859">
              <w:rPr>
                <w:rFonts w:ascii="標楷體" w:eastAsia="標楷體" w:hAnsi="標楷體" w:hint="eastAsia"/>
                <w:szCs w:val="24"/>
              </w:rPr>
              <w:t>之經濟、環境及社會重大</w:t>
            </w:r>
            <w:r w:rsidRPr="00400859">
              <w:rPr>
                <w:rFonts w:ascii="標楷體" w:eastAsia="標楷體" w:hAnsi="標楷體" w:hint="eastAsia"/>
                <w:szCs w:val="24"/>
                <w:u w:val="single"/>
              </w:rPr>
              <w:t>考量面</w:t>
            </w:r>
            <w:r w:rsidRPr="00400859">
              <w:rPr>
                <w:rFonts w:ascii="標楷體" w:eastAsia="標楷體" w:hAnsi="標楷體" w:hint="eastAsia"/>
                <w:szCs w:val="24"/>
              </w:rPr>
              <w:t>、管理方針、</w:t>
            </w:r>
            <w:r w:rsidRPr="00400859">
              <w:rPr>
                <w:rFonts w:ascii="標楷體" w:eastAsia="標楷體" w:hAnsi="標楷體" w:hint="eastAsia"/>
                <w:szCs w:val="24"/>
                <w:u w:val="single"/>
              </w:rPr>
              <w:t>績效指標及指標之衡量方式</w:t>
            </w:r>
            <w:r w:rsidRPr="00400859">
              <w:rPr>
                <w:rFonts w:ascii="標楷體" w:eastAsia="標楷體" w:hAnsi="標楷體" w:hint="eastAsia"/>
                <w:szCs w:val="24"/>
              </w:rPr>
              <w:t>，且至少應符合</w:t>
            </w:r>
            <w:r w:rsidRPr="00400859">
              <w:rPr>
                <w:rFonts w:ascii="標楷體" w:eastAsia="標楷體" w:hAnsi="標楷體" w:hint="eastAsia"/>
                <w:szCs w:val="24"/>
                <w:u w:val="single"/>
              </w:rPr>
              <w:t>永續性報告指南</w:t>
            </w:r>
            <w:r w:rsidRPr="00400859">
              <w:rPr>
                <w:rFonts w:ascii="標楷體" w:eastAsia="標楷體" w:hAnsi="標楷體" w:hint="eastAsia"/>
                <w:szCs w:val="24"/>
              </w:rPr>
              <w:t>之核心</w:t>
            </w:r>
            <w:r w:rsidRPr="00400859">
              <w:rPr>
                <w:rFonts w:ascii="標楷體" w:eastAsia="標楷體" w:hAnsi="標楷體" w:hint="eastAsia"/>
                <w:szCs w:val="24"/>
                <w:u w:val="single"/>
              </w:rPr>
              <w:t>依循</w:t>
            </w:r>
            <w:r w:rsidRPr="00400859">
              <w:rPr>
                <w:rFonts w:ascii="標楷體" w:eastAsia="標楷體" w:hAnsi="標楷體" w:hint="eastAsia"/>
                <w:szCs w:val="24"/>
              </w:rPr>
              <w:t>選項。</w:t>
            </w:r>
          </w:p>
          <w:p w:rsidR="00C218B1" w:rsidRPr="00400859" w:rsidRDefault="00C218B1" w:rsidP="00D23CFA">
            <w:pPr>
              <w:widowControl/>
              <w:spacing w:line="480" w:lineRule="exact"/>
              <w:rPr>
                <w:rFonts w:ascii="標楷體" w:eastAsia="標楷體" w:hAnsi="標楷體"/>
                <w:szCs w:val="24"/>
              </w:rPr>
            </w:pPr>
            <w:r w:rsidRPr="00400859">
              <w:rPr>
                <w:rFonts w:ascii="標楷體" w:eastAsia="標楷體" w:hAnsi="標楷體" w:hint="eastAsia"/>
                <w:szCs w:val="24"/>
              </w:rPr>
              <w:t>上市公司應於企業社會責任報告書內揭露報告書內容對應</w:t>
            </w:r>
            <w:r w:rsidRPr="00400859">
              <w:rPr>
                <w:rFonts w:ascii="標楷體" w:eastAsia="標楷體" w:hAnsi="標楷體" w:hint="eastAsia"/>
                <w:szCs w:val="24"/>
                <w:u w:val="single"/>
              </w:rPr>
              <w:t>永續性報告指南</w:t>
            </w:r>
            <w:r w:rsidRPr="00400859">
              <w:rPr>
                <w:rFonts w:ascii="標楷體" w:eastAsia="標楷體" w:hAnsi="標楷體" w:hint="eastAsia"/>
                <w:szCs w:val="24"/>
              </w:rPr>
              <w:t>之索引，並於</w:t>
            </w:r>
            <w:r w:rsidRPr="00400859">
              <w:rPr>
                <w:rFonts w:ascii="標楷體" w:eastAsia="標楷體" w:hAnsi="標楷體" w:hint="eastAsia"/>
                <w:szCs w:val="24"/>
                <w:u w:val="single"/>
              </w:rPr>
              <w:t>索引表</w:t>
            </w:r>
            <w:r w:rsidRPr="00400859">
              <w:rPr>
                <w:rFonts w:ascii="標楷體" w:eastAsia="標楷體" w:hAnsi="標楷體" w:hint="eastAsia"/>
                <w:szCs w:val="24"/>
              </w:rPr>
              <w:t>註明各揭露項目是否取得第三方確認、確信或保證。</w:t>
            </w:r>
          </w:p>
          <w:p w:rsidR="00C218B1" w:rsidRPr="00400859" w:rsidRDefault="00C218B1" w:rsidP="00D23CFA">
            <w:pPr>
              <w:widowControl/>
              <w:spacing w:line="480" w:lineRule="exact"/>
              <w:rPr>
                <w:rFonts w:ascii="標楷體" w:eastAsia="標楷體" w:hAnsi="標楷體"/>
                <w:szCs w:val="24"/>
              </w:rPr>
            </w:pPr>
            <w:r w:rsidRPr="00400859">
              <w:rPr>
                <w:rFonts w:ascii="標楷體" w:eastAsia="標楷體" w:hAnsi="標楷體" w:hint="eastAsia"/>
                <w:szCs w:val="24"/>
              </w:rPr>
              <w:t>第一項所述之</w:t>
            </w:r>
            <w:r w:rsidRPr="00400859">
              <w:rPr>
                <w:rFonts w:ascii="標楷體" w:eastAsia="標楷體" w:hAnsi="標楷體" w:hint="eastAsia"/>
                <w:szCs w:val="24"/>
                <w:u w:val="single"/>
              </w:rPr>
              <w:t>績效指標</w:t>
            </w:r>
            <w:r w:rsidRPr="00400859">
              <w:rPr>
                <w:rFonts w:ascii="標楷體" w:eastAsia="標楷體" w:hAnsi="標楷體" w:hint="eastAsia"/>
                <w:szCs w:val="24"/>
              </w:rPr>
              <w:t>，應採用符合目的事業主管機關規定之標準進行衡量與揭露，如目的事業主管機關未發布適用之標準，則應採用實務慣用之衡量方法。</w:t>
            </w:r>
          </w:p>
        </w:tc>
        <w:tc>
          <w:tcPr>
            <w:tcW w:w="1667" w:type="pct"/>
            <w:shd w:val="clear" w:color="auto" w:fill="FFFFFF" w:themeFill="background1"/>
          </w:tcPr>
          <w:p w:rsidR="00C218B1" w:rsidRPr="00400859" w:rsidRDefault="00C218B1" w:rsidP="00D23CFA">
            <w:pPr>
              <w:pStyle w:val="a7"/>
              <w:numPr>
                <w:ilvl w:val="0"/>
                <w:numId w:val="2"/>
              </w:numPr>
              <w:spacing w:line="480" w:lineRule="exact"/>
              <w:ind w:leftChars="0"/>
              <w:rPr>
                <w:rFonts w:ascii="標楷體" w:eastAsia="標楷體" w:hAnsi="標楷體"/>
                <w:szCs w:val="24"/>
              </w:rPr>
            </w:pPr>
            <w:r w:rsidRPr="00400859">
              <w:rPr>
                <w:rFonts w:ascii="標楷體" w:eastAsia="標楷體" w:hAnsi="標楷體" w:hint="eastAsia"/>
                <w:szCs w:val="24"/>
              </w:rPr>
              <w:t>配合全球永續性報告協會發布GRI準則取代永續性報告指南</w:t>
            </w:r>
            <w:r w:rsidRPr="00400859">
              <w:rPr>
                <w:rFonts w:ascii="標楷體" w:eastAsia="標楷體" w:hAnsi="標楷體" w:cs="新細明體" w:hint="eastAsia"/>
                <w:kern w:val="0"/>
                <w:szCs w:val="24"/>
              </w:rPr>
              <w:t>，並依GRI準則</w:t>
            </w:r>
            <w:r w:rsidRPr="00400859">
              <w:rPr>
                <w:rFonts w:ascii="標楷體" w:eastAsia="標楷體" w:hAnsi="標楷體" w:cs="新細明體" w:hint="eastAsia"/>
                <w:kern w:val="0"/>
                <w:szCs w:val="24"/>
                <w:u w:val="single"/>
              </w:rPr>
              <w:t>以「</w:t>
            </w:r>
            <w:r w:rsidRPr="00400859">
              <w:rPr>
                <w:rFonts w:ascii="標楷體" w:eastAsia="標楷體" w:hAnsi="標楷體" w:hint="eastAsia"/>
                <w:bCs/>
                <w:szCs w:val="24"/>
                <w:u w:val="single"/>
              </w:rPr>
              <w:t>重大主題」、</w:t>
            </w:r>
            <w:r w:rsidRPr="00400859">
              <w:rPr>
                <w:rFonts w:ascii="標楷體" w:eastAsia="標楷體" w:hAnsi="標楷體" w:cs="新細明體" w:hint="eastAsia"/>
                <w:kern w:val="0"/>
                <w:szCs w:val="24"/>
                <w:u w:val="single"/>
              </w:rPr>
              <w:t>「</w:t>
            </w:r>
            <w:r w:rsidRPr="00400859">
              <w:rPr>
                <w:rFonts w:ascii="標楷體" w:eastAsia="標楷體" w:hAnsi="標楷體" w:hint="eastAsia"/>
                <w:bCs/>
                <w:szCs w:val="24"/>
                <w:u w:val="single"/>
              </w:rPr>
              <w:t>揭露項目」及</w:t>
            </w:r>
            <w:r w:rsidRPr="00400859">
              <w:rPr>
                <w:rFonts w:ascii="標楷體" w:eastAsia="標楷體" w:hAnsi="標楷體" w:cs="新細明體" w:hint="eastAsia"/>
                <w:kern w:val="0"/>
                <w:szCs w:val="24"/>
                <w:u w:val="single"/>
              </w:rPr>
              <w:t>「</w:t>
            </w:r>
            <w:r w:rsidRPr="00400859">
              <w:rPr>
                <w:rFonts w:ascii="標楷體" w:eastAsia="標楷體" w:hAnsi="標楷體" w:hint="eastAsia"/>
                <w:bCs/>
                <w:szCs w:val="24"/>
                <w:u w:val="single"/>
              </w:rPr>
              <w:t>報導要求」取代</w:t>
            </w:r>
            <w:r w:rsidRPr="00400859">
              <w:rPr>
                <w:rFonts w:ascii="標楷體" w:eastAsia="標楷體" w:hAnsi="標楷體" w:hint="eastAsia"/>
                <w:szCs w:val="24"/>
                <w:u w:val="single"/>
              </w:rPr>
              <w:t>永續性報告指南之</w:t>
            </w:r>
            <w:r w:rsidRPr="00400859">
              <w:rPr>
                <w:rFonts w:ascii="標楷體" w:eastAsia="標楷體" w:hAnsi="標楷體" w:cs="新細明體" w:hint="eastAsia"/>
                <w:kern w:val="0"/>
                <w:szCs w:val="24"/>
                <w:u w:val="single"/>
              </w:rPr>
              <w:t>「</w:t>
            </w:r>
            <w:r w:rsidRPr="00400859">
              <w:rPr>
                <w:rFonts w:ascii="標楷體" w:eastAsia="標楷體" w:hAnsi="標楷體" w:hint="eastAsia"/>
                <w:bCs/>
                <w:szCs w:val="24"/>
                <w:u w:val="single"/>
              </w:rPr>
              <w:t>重大考量面」、</w:t>
            </w:r>
            <w:r w:rsidRPr="00400859">
              <w:rPr>
                <w:rFonts w:ascii="標楷體" w:eastAsia="標楷體" w:hAnsi="標楷體" w:cs="新細明體" w:hint="eastAsia"/>
                <w:kern w:val="0"/>
                <w:szCs w:val="24"/>
                <w:u w:val="single"/>
              </w:rPr>
              <w:t>「</w:t>
            </w:r>
            <w:r w:rsidRPr="00400859">
              <w:rPr>
                <w:rFonts w:ascii="標楷體" w:eastAsia="標楷體" w:hAnsi="標楷體" w:hint="eastAsia"/>
                <w:szCs w:val="24"/>
                <w:u w:val="single"/>
              </w:rPr>
              <w:t>績效指標</w:t>
            </w:r>
            <w:r w:rsidRPr="00400859">
              <w:rPr>
                <w:rFonts w:ascii="標楷體" w:eastAsia="標楷體" w:hAnsi="標楷體" w:hint="eastAsia"/>
                <w:bCs/>
                <w:szCs w:val="24"/>
                <w:u w:val="single"/>
              </w:rPr>
              <w:t>」及</w:t>
            </w:r>
            <w:r w:rsidRPr="00400859">
              <w:rPr>
                <w:rFonts w:ascii="標楷體" w:eastAsia="標楷體" w:hAnsi="標楷體" w:cs="新細明體" w:hint="eastAsia"/>
                <w:kern w:val="0"/>
                <w:szCs w:val="24"/>
                <w:u w:val="single"/>
              </w:rPr>
              <w:t>「指標之衡量方式</w:t>
            </w:r>
            <w:r w:rsidRPr="00400859">
              <w:rPr>
                <w:rFonts w:ascii="標楷體" w:eastAsia="標楷體" w:hAnsi="標楷體" w:hint="eastAsia"/>
                <w:bCs/>
                <w:szCs w:val="24"/>
                <w:u w:val="single"/>
              </w:rPr>
              <w:t>」等</w:t>
            </w:r>
            <w:r w:rsidRPr="00400859">
              <w:rPr>
                <w:rFonts w:ascii="標楷體" w:eastAsia="標楷體" w:hAnsi="標楷體" w:cs="新細明體" w:hint="eastAsia"/>
                <w:kern w:val="0"/>
                <w:szCs w:val="24"/>
              </w:rPr>
              <w:t>用語，爰修正本條文字</w:t>
            </w:r>
            <w:r w:rsidRPr="00400859">
              <w:rPr>
                <w:rFonts w:ascii="標楷體" w:eastAsia="標楷體" w:hAnsi="標楷體" w:hint="eastAsia"/>
                <w:szCs w:val="24"/>
              </w:rPr>
              <w:t>。</w:t>
            </w:r>
          </w:p>
          <w:p w:rsidR="00C218B1" w:rsidRPr="00400859" w:rsidRDefault="00C218B1" w:rsidP="00D23CFA">
            <w:pPr>
              <w:pStyle w:val="a7"/>
              <w:numPr>
                <w:ilvl w:val="0"/>
                <w:numId w:val="2"/>
              </w:numPr>
              <w:spacing w:line="480" w:lineRule="exact"/>
              <w:ind w:leftChars="0"/>
              <w:rPr>
                <w:rFonts w:ascii="標楷體" w:eastAsia="標楷體" w:hAnsi="標楷體"/>
                <w:szCs w:val="24"/>
              </w:rPr>
            </w:pPr>
            <w:r w:rsidRPr="00400859">
              <w:rPr>
                <w:rFonts w:ascii="標楷體" w:eastAsia="標楷體" w:hAnsi="標楷體" w:hint="eastAsia"/>
                <w:szCs w:val="24"/>
              </w:rPr>
              <w:t>依GRI準則之規定，須於報告書內說明第三方確認、確信或保證的基礎及範圍，</w:t>
            </w:r>
            <w:r w:rsidRPr="00400859">
              <w:rPr>
                <w:rFonts w:ascii="標楷體" w:eastAsia="標楷體" w:hAnsi="標楷體" w:hint="eastAsia"/>
                <w:szCs w:val="24"/>
                <w:u w:val="single"/>
              </w:rPr>
              <w:t>爰</w:t>
            </w:r>
            <w:r w:rsidRPr="00400859">
              <w:rPr>
                <w:rFonts w:ascii="標楷體" w:eastAsia="標楷體" w:hAnsi="標楷體" w:hint="eastAsia"/>
                <w:szCs w:val="24"/>
              </w:rPr>
              <w:t>將本條第二項「索引表」修正為「報告書內」。</w:t>
            </w:r>
          </w:p>
        </w:tc>
      </w:tr>
      <w:tr w:rsidR="00400859" w:rsidRPr="00400859" w:rsidTr="00C218B1">
        <w:trPr>
          <w:trHeight w:val="488"/>
        </w:trPr>
        <w:tc>
          <w:tcPr>
            <w:tcW w:w="1667" w:type="pct"/>
            <w:shd w:val="clear" w:color="auto" w:fill="FFFFFF" w:themeFill="background1"/>
          </w:tcPr>
          <w:p w:rsidR="00C218B1" w:rsidRPr="00400859" w:rsidRDefault="00C218B1" w:rsidP="00D23CFA">
            <w:pPr>
              <w:widowControl/>
              <w:spacing w:line="480" w:lineRule="exact"/>
              <w:rPr>
                <w:rFonts w:ascii="標楷體" w:eastAsia="標楷體" w:hAnsi="標楷體"/>
                <w:szCs w:val="24"/>
              </w:rPr>
            </w:pPr>
            <w:r w:rsidRPr="00400859">
              <w:rPr>
                <w:rFonts w:ascii="標楷體" w:eastAsia="標楷體" w:hAnsi="標楷體" w:cs="新細明體" w:hint="eastAsia"/>
                <w:kern w:val="0"/>
                <w:szCs w:val="24"/>
              </w:rPr>
              <w:t>第四條</w:t>
            </w:r>
          </w:p>
          <w:p w:rsidR="00C218B1" w:rsidRPr="00400859" w:rsidRDefault="00C218B1" w:rsidP="00D23CFA">
            <w:pPr>
              <w:spacing w:line="480" w:lineRule="exact"/>
              <w:rPr>
                <w:rFonts w:ascii="標楷體" w:eastAsia="標楷體" w:hAnsi="標楷體"/>
                <w:szCs w:val="24"/>
              </w:rPr>
            </w:pPr>
            <w:r w:rsidRPr="00400859">
              <w:rPr>
                <w:rFonts w:ascii="標楷體" w:eastAsia="標楷體" w:hAnsi="標楷體" w:hint="eastAsia"/>
                <w:szCs w:val="24"/>
              </w:rPr>
              <w:t>上市公司所編製之企業社會責任報告書除前條所述內容外，應加強揭露下列事項：</w:t>
            </w:r>
          </w:p>
          <w:p w:rsidR="00B43534" w:rsidRPr="00400859" w:rsidRDefault="00C218B1" w:rsidP="00B43534">
            <w:pPr>
              <w:pStyle w:val="a7"/>
              <w:numPr>
                <w:ilvl w:val="0"/>
                <w:numId w:val="9"/>
              </w:numPr>
              <w:spacing w:line="480" w:lineRule="exact"/>
              <w:ind w:leftChars="0"/>
              <w:rPr>
                <w:rFonts w:ascii="標楷體" w:eastAsia="標楷體" w:hAnsi="標楷體"/>
                <w:szCs w:val="24"/>
              </w:rPr>
            </w:pPr>
            <w:r w:rsidRPr="00400859">
              <w:rPr>
                <w:rFonts w:ascii="標楷體" w:eastAsia="標楷體" w:hAnsi="標楷體" w:hint="eastAsia"/>
                <w:szCs w:val="24"/>
              </w:rPr>
              <w:t>食品工業及第二條第一項第二款之上市公司，應揭露企業在</w:t>
            </w:r>
            <w:r w:rsidRPr="00400859">
              <w:rPr>
                <w:rFonts w:ascii="標楷體" w:eastAsia="標楷體" w:hAnsi="標楷體" w:hint="eastAsia"/>
                <w:bCs/>
                <w:szCs w:val="24"/>
              </w:rPr>
              <w:t>供應</w:t>
            </w:r>
            <w:r w:rsidRPr="00400859">
              <w:rPr>
                <w:rFonts w:ascii="標楷體" w:eastAsia="標楷體" w:hAnsi="標楷體" w:hint="eastAsia"/>
                <w:bCs/>
                <w:szCs w:val="24"/>
                <w:u w:val="single"/>
              </w:rPr>
              <w:t>商</w:t>
            </w:r>
            <w:r w:rsidR="00141387" w:rsidRPr="00400859">
              <w:rPr>
                <w:rFonts w:ascii="標楷體" w:eastAsia="標楷體" w:hAnsi="標楷體" w:hint="eastAsia"/>
                <w:bCs/>
                <w:szCs w:val="24"/>
                <w:u w:val="single"/>
              </w:rPr>
              <w:t>對</w:t>
            </w:r>
            <w:r w:rsidRPr="00400859">
              <w:rPr>
                <w:rFonts w:ascii="標楷體" w:eastAsia="標楷體" w:hAnsi="標楷體" w:hint="eastAsia"/>
                <w:bCs/>
                <w:szCs w:val="24"/>
                <w:u w:val="single"/>
              </w:rPr>
              <w:t>環境或社會</w:t>
            </w:r>
            <w:r w:rsidR="00787A4B" w:rsidRPr="00400859">
              <w:rPr>
                <w:rFonts w:ascii="標楷體" w:eastAsia="標楷體" w:hAnsi="標楷體" w:hint="eastAsia"/>
                <w:bCs/>
                <w:szCs w:val="24"/>
                <w:u w:val="single"/>
              </w:rPr>
              <w:t>衝擊之</w:t>
            </w:r>
            <w:r w:rsidRPr="00400859">
              <w:rPr>
                <w:rFonts w:ascii="標楷體" w:eastAsia="標楷體" w:hAnsi="標楷體" w:hint="eastAsia"/>
                <w:bCs/>
                <w:szCs w:val="24"/>
                <w:u w:val="single"/>
              </w:rPr>
              <w:t>評估</w:t>
            </w:r>
            <w:r w:rsidRPr="00400859">
              <w:rPr>
                <w:rFonts w:ascii="標楷體" w:eastAsia="標楷體" w:hAnsi="標楷體" w:hint="eastAsia"/>
                <w:bCs/>
                <w:szCs w:val="24"/>
              </w:rPr>
              <w:t>、顧客健康與安全</w:t>
            </w:r>
            <w:r w:rsidRPr="00400859">
              <w:rPr>
                <w:rFonts w:ascii="標楷體" w:eastAsia="標楷體" w:hAnsi="標楷體" w:hint="eastAsia"/>
                <w:szCs w:val="24"/>
                <w:u w:val="single"/>
              </w:rPr>
              <w:t>及</w:t>
            </w:r>
            <w:r w:rsidRPr="00400859">
              <w:rPr>
                <w:rFonts w:ascii="標楷體" w:eastAsia="標楷體" w:hAnsi="標楷體" w:hint="eastAsia"/>
                <w:bCs/>
                <w:szCs w:val="24"/>
                <w:u w:val="single"/>
              </w:rPr>
              <w:t>行銷與</w:t>
            </w:r>
            <w:r w:rsidRPr="00400859">
              <w:rPr>
                <w:rFonts w:ascii="標楷體" w:eastAsia="標楷體" w:hAnsi="標楷體" w:hint="eastAsia"/>
                <w:bCs/>
                <w:szCs w:val="24"/>
              </w:rPr>
              <w:t>標示</w:t>
            </w:r>
            <w:r w:rsidRPr="00400859">
              <w:rPr>
                <w:rFonts w:ascii="標楷體" w:eastAsia="標楷體" w:hAnsi="標楷體" w:hint="eastAsia"/>
                <w:bCs/>
                <w:szCs w:val="24"/>
                <w:u w:val="single"/>
              </w:rPr>
              <w:t>重大主題</w:t>
            </w:r>
            <w:r w:rsidRPr="00400859">
              <w:rPr>
                <w:rFonts w:ascii="標楷體" w:eastAsia="標楷體" w:hAnsi="標楷體" w:hint="eastAsia"/>
                <w:bCs/>
                <w:szCs w:val="24"/>
              </w:rPr>
              <w:t>之管理方針</w:t>
            </w:r>
            <w:r w:rsidRPr="00400859">
              <w:rPr>
                <w:rFonts w:ascii="標楷體" w:eastAsia="標楷體" w:hAnsi="標楷體" w:hint="eastAsia"/>
                <w:szCs w:val="24"/>
              </w:rPr>
              <w:t>、</w:t>
            </w:r>
            <w:r w:rsidRPr="00400859">
              <w:rPr>
                <w:rFonts w:ascii="標楷體" w:eastAsia="標楷體" w:hAnsi="標楷體" w:hint="eastAsia"/>
                <w:bCs/>
                <w:szCs w:val="24"/>
                <w:u w:val="single"/>
              </w:rPr>
              <w:t>揭露項目及其報導要求</w:t>
            </w:r>
            <w:r w:rsidRPr="00400859">
              <w:rPr>
                <w:rFonts w:ascii="標楷體" w:eastAsia="標楷體" w:hAnsi="標楷體" w:hint="eastAsia"/>
                <w:szCs w:val="24"/>
              </w:rPr>
              <w:t>。其</w:t>
            </w:r>
            <w:r w:rsidRPr="00400859">
              <w:rPr>
                <w:rFonts w:ascii="標楷體" w:eastAsia="標楷體" w:hAnsi="標楷體" w:hint="eastAsia"/>
                <w:bCs/>
                <w:szCs w:val="24"/>
                <w:u w:val="single"/>
              </w:rPr>
              <w:t>報導要求</w:t>
            </w:r>
            <w:r w:rsidRPr="00400859">
              <w:rPr>
                <w:rFonts w:ascii="標楷體" w:eastAsia="標楷體" w:hAnsi="標楷體" w:hint="eastAsia"/>
                <w:szCs w:val="24"/>
              </w:rPr>
              <w:t>至少應包含下列項目：</w:t>
            </w:r>
          </w:p>
          <w:p w:rsidR="00C218B1" w:rsidRPr="00400859" w:rsidRDefault="00621E7A" w:rsidP="007D0C7E">
            <w:pPr>
              <w:pStyle w:val="a7"/>
              <w:numPr>
                <w:ilvl w:val="0"/>
                <w:numId w:val="6"/>
              </w:numPr>
              <w:spacing w:line="480" w:lineRule="exact"/>
              <w:ind w:leftChars="0"/>
              <w:rPr>
                <w:rFonts w:ascii="標楷體" w:eastAsia="標楷體" w:hAnsi="標楷體"/>
                <w:bCs/>
                <w:szCs w:val="24"/>
              </w:rPr>
            </w:pPr>
            <w:r w:rsidRPr="00400859">
              <w:rPr>
                <w:rFonts w:ascii="標楷體" w:eastAsia="標楷體" w:hAnsi="標楷體" w:hint="eastAsia"/>
                <w:bCs/>
                <w:szCs w:val="24"/>
              </w:rPr>
              <w:t>為改善食品衛生、安全與品質，而針對其從業人員、作業場所、設施衛生管理及其品保制度</w:t>
            </w:r>
            <w:r w:rsidR="00CB23FD" w:rsidRPr="00400859">
              <w:rPr>
                <w:rFonts w:ascii="標楷體" w:eastAsia="標楷體" w:hAnsi="標楷體" w:hint="eastAsia"/>
                <w:bCs/>
                <w:szCs w:val="24"/>
                <w:u w:val="single"/>
              </w:rPr>
              <w:t>等</w:t>
            </w:r>
            <w:r w:rsidRPr="00400859">
              <w:rPr>
                <w:rFonts w:ascii="標楷體" w:eastAsia="標楷體" w:hAnsi="標楷體" w:hint="eastAsia"/>
                <w:bCs/>
                <w:szCs w:val="24"/>
              </w:rPr>
              <w:t>方面進行之評估與改進及所影響之主要產品</w:t>
            </w:r>
            <w:r w:rsidRPr="00400859">
              <w:rPr>
                <w:rFonts w:ascii="標楷體" w:eastAsia="標楷體" w:hAnsi="標楷體" w:hint="eastAsia"/>
                <w:bCs/>
                <w:szCs w:val="24"/>
                <w:u w:val="single"/>
              </w:rPr>
              <w:t>與服務</w:t>
            </w:r>
            <w:r w:rsidRPr="00400859">
              <w:rPr>
                <w:rFonts w:ascii="標楷體" w:eastAsia="標楷體" w:hAnsi="標楷體" w:hint="eastAsia"/>
                <w:bCs/>
                <w:szCs w:val="24"/>
              </w:rPr>
              <w:t>類別與百分比。</w:t>
            </w:r>
          </w:p>
          <w:p w:rsidR="00C218B1" w:rsidRPr="00400859" w:rsidRDefault="00C218B1" w:rsidP="00D23CFA">
            <w:pPr>
              <w:pStyle w:val="a7"/>
              <w:numPr>
                <w:ilvl w:val="0"/>
                <w:numId w:val="6"/>
              </w:numPr>
              <w:spacing w:line="480" w:lineRule="exact"/>
              <w:ind w:leftChars="0"/>
              <w:rPr>
                <w:rFonts w:ascii="標楷體" w:eastAsia="標楷體" w:hAnsi="標楷體"/>
                <w:bCs/>
                <w:szCs w:val="24"/>
              </w:rPr>
            </w:pPr>
            <w:r w:rsidRPr="00400859">
              <w:rPr>
                <w:rFonts w:ascii="標楷體" w:eastAsia="標楷體" w:hAnsi="標楷體" w:hint="eastAsia"/>
                <w:bCs/>
                <w:szCs w:val="24"/>
                <w:u w:val="single"/>
              </w:rPr>
              <w:t>違反有關產品與服務之健康與安全</w:t>
            </w:r>
            <w:r w:rsidR="004D43B3" w:rsidRPr="00400859">
              <w:rPr>
                <w:rFonts w:ascii="標楷體" w:eastAsia="標楷體" w:hAnsi="標楷體" w:hint="eastAsia"/>
                <w:bCs/>
                <w:szCs w:val="24"/>
                <w:u w:val="single"/>
              </w:rPr>
              <w:t>法規及</w:t>
            </w:r>
            <w:r w:rsidRPr="00400859">
              <w:rPr>
                <w:rFonts w:ascii="標楷體" w:eastAsia="標楷體" w:hAnsi="標楷體" w:hint="eastAsia"/>
                <w:bCs/>
                <w:szCs w:val="24"/>
                <w:u w:val="single"/>
              </w:rPr>
              <w:t>未遵循產品與服務之資訊與標示</w:t>
            </w:r>
            <w:r w:rsidRPr="00400859">
              <w:rPr>
                <w:rFonts w:ascii="標楷體" w:eastAsia="標楷體" w:hAnsi="標楷體" w:hint="eastAsia"/>
                <w:bCs/>
                <w:szCs w:val="24"/>
              </w:rPr>
              <w:t>法規之事件類別與次數。</w:t>
            </w:r>
          </w:p>
          <w:p w:rsidR="00C218B1" w:rsidRPr="00400859" w:rsidRDefault="00C218B1" w:rsidP="00D23CFA">
            <w:pPr>
              <w:pStyle w:val="a7"/>
              <w:numPr>
                <w:ilvl w:val="0"/>
                <w:numId w:val="6"/>
              </w:numPr>
              <w:spacing w:line="480" w:lineRule="exact"/>
              <w:ind w:leftChars="0"/>
              <w:rPr>
                <w:rFonts w:ascii="標楷體" w:eastAsia="標楷體" w:hAnsi="標楷體"/>
                <w:bCs/>
                <w:szCs w:val="24"/>
              </w:rPr>
            </w:pPr>
            <w:r w:rsidRPr="00400859">
              <w:rPr>
                <w:rFonts w:ascii="標楷體" w:eastAsia="標楷體" w:hAnsi="標楷體" w:hint="eastAsia"/>
                <w:bCs/>
                <w:szCs w:val="24"/>
              </w:rPr>
              <w:t>採購符合國際認可之產品責任標準者占整體採購之百分比</w:t>
            </w:r>
            <w:r w:rsidRPr="00400859">
              <w:rPr>
                <w:rFonts w:ascii="標楷體" w:eastAsia="標楷體" w:hAnsi="標楷體" w:hint="eastAsia"/>
                <w:bCs/>
                <w:szCs w:val="24"/>
                <w:u w:val="single"/>
              </w:rPr>
              <w:t>，並依標準區分</w:t>
            </w:r>
            <w:r w:rsidRPr="00400859">
              <w:rPr>
                <w:rFonts w:ascii="標楷體" w:eastAsia="標楷體" w:hAnsi="標楷體" w:hint="eastAsia"/>
                <w:bCs/>
                <w:szCs w:val="24"/>
              </w:rPr>
              <w:t>。</w:t>
            </w:r>
          </w:p>
          <w:p w:rsidR="00864665" w:rsidRPr="00400859" w:rsidRDefault="00C218B1" w:rsidP="00864665">
            <w:pPr>
              <w:pStyle w:val="a7"/>
              <w:numPr>
                <w:ilvl w:val="0"/>
                <w:numId w:val="6"/>
              </w:numPr>
              <w:spacing w:line="480" w:lineRule="exact"/>
              <w:ind w:leftChars="0"/>
              <w:rPr>
                <w:rFonts w:ascii="標楷體" w:eastAsia="標楷體" w:hAnsi="標楷體"/>
                <w:bCs/>
                <w:szCs w:val="24"/>
              </w:rPr>
            </w:pPr>
            <w:r w:rsidRPr="00400859">
              <w:rPr>
                <w:rFonts w:ascii="標楷體" w:eastAsia="標楷體" w:hAnsi="標楷體" w:hint="eastAsia"/>
                <w:szCs w:val="24"/>
              </w:rPr>
              <w:t>經獨立第三方驗證符合國際認證之食品安全管理系統標準之廠房所生產產品之百分比。</w:t>
            </w:r>
          </w:p>
          <w:p w:rsidR="00C218B1" w:rsidRPr="00400859" w:rsidRDefault="00C218B1" w:rsidP="00D23CFA">
            <w:pPr>
              <w:pStyle w:val="a7"/>
              <w:numPr>
                <w:ilvl w:val="0"/>
                <w:numId w:val="6"/>
              </w:numPr>
              <w:spacing w:line="480" w:lineRule="exact"/>
              <w:ind w:leftChars="0"/>
              <w:rPr>
                <w:rFonts w:ascii="標楷體" w:eastAsia="標楷體" w:hAnsi="標楷體"/>
                <w:bCs/>
                <w:szCs w:val="24"/>
              </w:rPr>
            </w:pPr>
            <w:r w:rsidRPr="00400859">
              <w:rPr>
                <w:rFonts w:ascii="標楷體" w:eastAsia="標楷體" w:hAnsi="標楷體" w:hint="eastAsia"/>
                <w:szCs w:val="24"/>
              </w:rPr>
              <w:t>對供應商進行稽核之家數及百分比、稽核項目及結果。</w:t>
            </w:r>
          </w:p>
          <w:p w:rsidR="00FA3A93" w:rsidRPr="00400859" w:rsidRDefault="00FA3A93" w:rsidP="00FA3A93">
            <w:pPr>
              <w:pStyle w:val="a7"/>
              <w:spacing w:line="480" w:lineRule="exact"/>
              <w:ind w:leftChars="0" w:left="720"/>
              <w:rPr>
                <w:rFonts w:ascii="標楷體" w:eastAsia="標楷體" w:hAnsi="標楷體"/>
                <w:bCs/>
                <w:szCs w:val="24"/>
              </w:rPr>
            </w:pPr>
          </w:p>
          <w:p w:rsidR="00C218B1" w:rsidRPr="00400859" w:rsidRDefault="00C218B1" w:rsidP="00D23CFA">
            <w:pPr>
              <w:pStyle w:val="a7"/>
              <w:numPr>
                <w:ilvl w:val="0"/>
                <w:numId w:val="6"/>
              </w:numPr>
              <w:spacing w:line="480" w:lineRule="exact"/>
              <w:ind w:leftChars="0"/>
              <w:rPr>
                <w:rFonts w:ascii="標楷體" w:eastAsia="標楷體" w:hAnsi="標楷體"/>
                <w:bCs/>
                <w:szCs w:val="24"/>
              </w:rPr>
            </w:pPr>
            <w:r w:rsidRPr="00400859">
              <w:rPr>
                <w:rFonts w:ascii="標楷體" w:eastAsia="標楷體" w:hAnsi="標楷體" w:hint="eastAsia"/>
                <w:szCs w:val="24"/>
              </w:rPr>
              <w:t>依法規要求或自願進行產品追溯與追蹤管理之情形及相關產品占所有產品之百分比。</w:t>
            </w:r>
          </w:p>
          <w:p w:rsidR="00FA3A93" w:rsidRPr="00400859" w:rsidRDefault="00FA3A93" w:rsidP="00FA3A93">
            <w:pPr>
              <w:pStyle w:val="a7"/>
              <w:rPr>
                <w:rFonts w:ascii="標楷體" w:eastAsia="標楷體" w:hAnsi="標楷體"/>
                <w:bCs/>
                <w:szCs w:val="24"/>
              </w:rPr>
            </w:pPr>
          </w:p>
          <w:p w:rsidR="00C218B1" w:rsidRPr="00400859" w:rsidRDefault="00C218B1" w:rsidP="00FA3A93">
            <w:pPr>
              <w:pStyle w:val="a7"/>
              <w:numPr>
                <w:ilvl w:val="0"/>
                <w:numId w:val="6"/>
              </w:numPr>
              <w:spacing w:line="480" w:lineRule="exact"/>
              <w:ind w:leftChars="0"/>
              <w:rPr>
                <w:rFonts w:ascii="標楷體" w:eastAsia="標楷體" w:hAnsi="標楷體"/>
                <w:bCs/>
                <w:szCs w:val="24"/>
              </w:rPr>
            </w:pPr>
            <w:r w:rsidRPr="00400859">
              <w:rPr>
                <w:rFonts w:ascii="標楷體" w:eastAsia="標楷體" w:hAnsi="標楷體" w:hint="eastAsia"/>
                <w:szCs w:val="24"/>
              </w:rPr>
              <w:t>依法規要求或自願設置食品安全實驗室之情形、測試項目、測試結果、相關支出及其占營業收入淨額之百分比。</w:t>
            </w:r>
          </w:p>
          <w:p w:rsidR="00C218B1" w:rsidRPr="00400859" w:rsidRDefault="00C218B1" w:rsidP="00675479">
            <w:pPr>
              <w:pStyle w:val="a7"/>
              <w:numPr>
                <w:ilvl w:val="0"/>
                <w:numId w:val="9"/>
              </w:numPr>
              <w:spacing w:line="480" w:lineRule="exact"/>
              <w:ind w:leftChars="0"/>
              <w:rPr>
                <w:rFonts w:ascii="標楷體" w:eastAsia="標楷體" w:hAnsi="標楷體"/>
                <w:szCs w:val="24"/>
              </w:rPr>
            </w:pPr>
            <w:r w:rsidRPr="00400859">
              <w:rPr>
                <w:rFonts w:ascii="標楷體" w:eastAsia="標楷體" w:hAnsi="標楷體" w:hint="eastAsia"/>
                <w:szCs w:val="24"/>
              </w:rPr>
              <w:t>化學工業應揭露</w:t>
            </w:r>
            <w:r w:rsidR="00CA73D7" w:rsidRPr="00400859">
              <w:rPr>
                <w:rFonts w:ascii="標楷體" w:eastAsia="標楷體" w:hAnsi="標楷體" w:hint="eastAsia"/>
                <w:szCs w:val="24"/>
                <w:u w:val="single"/>
              </w:rPr>
              <w:t>保障職業安全與衛生</w:t>
            </w:r>
            <w:r w:rsidR="00CA73D7" w:rsidRPr="00400859">
              <w:rPr>
                <w:rFonts w:ascii="標楷體" w:eastAsia="標楷體" w:hAnsi="標楷體" w:hint="eastAsia"/>
                <w:szCs w:val="24"/>
              </w:rPr>
              <w:t>、</w:t>
            </w:r>
            <w:r w:rsidR="00F05BFE" w:rsidRPr="00400859">
              <w:rPr>
                <w:rFonts w:ascii="標楷體" w:eastAsia="標楷體" w:hAnsi="標楷體" w:hint="eastAsia"/>
                <w:szCs w:val="24"/>
                <w:u w:val="single"/>
              </w:rPr>
              <w:t>對</w:t>
            </w:r>
            <w:r w:rsidR="00F05BFE" w:rsidRPr="00400859">
              <w:rPr>
                <w:rFonts w:ascii="標楷體" w:eastAsia="標楷體" w:hAnsi="標楷體" w:hint="eastAsia"/>
                <w:bCs/>
                <w:szCs w:val="24"/>
                <w:u w:val="single"/>
              </w:rPr>
              <w:t>當地社區之影響及</w:t>
            </w:r>
            <w:r w:rsidRPr="00400859">
              <w:rPr>
                <w:rFonts w:ascii="標楷體" w:eastAsia="標楷體" w:hAnsi="標楷體" w:hint="eastAsia"/>
                <w:szCs w:val="24"/>
                <w:u w:val="single"/>
              </w:rPr>
              <w:t>企業本身及其</w:t>
            </w:r>
            <w:r w:rsidRPr="00400859">
              <w:rPr>
                <w:rFonts w:ascii="標楷體" w:eastAsia="標楷體" w:hAnsi="標楷體" w:hint="eastAsia"/>
                <w:bCs/>
                <w:szCs w:val="24"/>
                <w:u w:val="single"/>
              </w:rPr>
              <w:t>供應商</w:t>
            </w:r>
            <w:r w:rsidR="00CA73D7" w:rsidRPr="00400859">
              <w:rPr>
                <w:rFonts w:ascii="標楷體" w:eastAsia="標楷體" w:hAnsi="標楷體" w:hint="eastAsia"/>
                <w:bCs/>
                <w:szCs w:val="24"/>
                <w:u w:val="single"/>
              </w:rPr>
              <w:t>對</w:t>
            </w:r>
            <w:r w:rsidRPr="00400859">
              <w:rPr>
                <w:rFonts w:ascii="標楷體" w:eastAsia="標楷體" w:hAnsi="標楷體" w:hint="eastAsia"/>
                <w:bCs/>
                <w:szCs w:val="24"/>
                <w:u w:val="single"/>
              </w:rPr>
              <w:t>環境或社會</w:t>
            </w:r>
            <w:r w:rsidR="00675479" w:rsidRPr="00400859">
              <w:rPr>
                <w:rFonts w:ascii="標楷體" w:eastAsia="標楷體" w:hAnsi="標楷體" w:hint="eastAsia"/>
                <w:bCs/>
                <w:szCs w:val="24"/>
                <w:u w:val="single"/>
              </w:rPr>
              <w:t>衝擊</w:t>
            </w:r>
            <w:r w:rsidR="00CA73D7" w:rsidRPr="00400859">
              <w:rPr>
                <w:rFonts w:ascii="標楷體" w:eastAsia="標楷體" w:hAnsi="標楷體" w:hint="eastAsia"/>
                <w:bCs/>
                <w:szCs w:val="24"/>
                <w:u w:val="single"/>
              </w:rPr>
              <w:t>之</w:t>
            </w:r>
            <w:r w:rsidRPr="00400859">
              <w:rPr>
                <w:rFonts w:ascii="標楷體" w:eastAsia="標楷體" w:hAnsi="標楷體" w:hint="eastAsia"/>
                <w:bCs/>
                <w:szCs w:val="24"/>
                <w:u w:val="single"/>
              </w:rPr>
              <w:t>評估</w:t>
            </w:r>
            <w:r w:rsidR="00EB3B2F" w:rsidRPr="00400859">
              <w:rPr>
                <w:rFonts w:ascii="標楷體" w:eastAsia="標楷體" w:hAnsi="標楷體" w:hint="eastAsia"/>
                <w:bCs/>
                <w:szCs w:val="24"/>
                <w:u w:val="single"/>
              </w:rPr>
              <w:t>等</w:t>
            </w:r>
            <w:r w:rsidRPr="00400859">
              <w:rPr>
                <w:rFonts w:ascii="標楷體" w:eastAsia="標楷體" w:hAnsi="標楷體" w:hint="eastAsia"/>
                <w:bCs/>
                <w:szCs w:val="24"/>
                <w:u w:val="single"/>
              </w:rPr>
              <w:t>重大主題之管理方針</w:t>
            </w:r>
            <w:r w:rsidRPr="00400859">
              <w:rPr>
                <w:rFonts w:ascii="標楷體" w:eastAsia="標楷體" w:hAnsi="標楷體" w:hint="eastAsia"/>
                <w:szCs w:val="24"/>
                <w:u w:val="single"/>
              </w:rPr>
              <w:t>、</w:t>
            </w:r>
            <w:r w:rsidRPr="00400859">
              <w:rPr>
                <w:rFonts w:ascii="標楷體" w:eastAsia="標楷體" w:hAnsi="標楷體" w:hint="eastAsia"/>
                <w:bCs/>
                <w:szCs w:val="24"/>
                <w:u w:val="single"/>
              </w:rPr>
              <w:t>揭露項目及其報導要求</w:t>
            </w:r>
            <w:r w:rsidRPr="00400859">
              <w:rPr>
                <w:rFonts w:ascii="標楷體" w:eastAsia="標楷體" w:hAnsi="標楷體" w:hint="eastAsia"/>
                <w:szCs w:val="24"/>
                <w:u w:val="single"/>
              </w:rPr>
              <w:t>。其</w:t>
            </w:r>
            <w:r w:rsidRPr="00400859">
              <w:rPr>
                <w:rFonts w:ascii="標楷體" w:eastAsia="標楷體" w:hAnsi="標楷體" w:hint="eastAsia"/>
                <w:bCs/>
                <w:szCs w:val="24"/>
                <w:u w:val="single"/>
              </w:rPr>
              <w:t>報導要求</w:t>
            </w:r>
            <w:r w:rsidRPr="00400859">
              <w:rPr>
                <w:rFonts w:ascii="標楷體" w:eastAsia="標楷體" w:hAnsi="標楷體" w:hint="eastAsia"/>
                <w:szCs w:val="24"/>
                <w:u w:val="single"/>
              </w:rPr>
              <w:t>至少應包含下列項目：</w:t>
            </w:r>
          </w:p>
          <w:p w:rsidR="00C218B1" w:rsidRPr="00400859" w:rsidRDefault="00C218B1" w:rsidP="00D23CFA">
            <w:pPr>
              <w:spacing w:line="480" w:lineRule="exact"/>
              <w:rPr>
                <w:rFonts w:ascii="標楷體" w:eastAsia="標楷體" w:hAnsi="標楷體"/>
                <w:szCs w:val="24"/>
              </w:rPr>
            </w:pPr>
          </w:p>
          <w:p w:rsidR="00C218B1" w:rsidRPr="00400859" w:rsidRDefault="00C218B1" w:rsidP="00D23CFA">
            <w:pPr>
              <w:spacing w:line="480" w:lineRule="exact"/>
              <w:rPr>
                <w:rFonts w:ascii="標楷體" w:eastAsia="標楷體" w:hAnsi="標楷體"/>
                <w:szCs w:val="24"/>
              </w:rPr>
            </w:pPr>
          </w:p>
          <w:p w:rsidR="00C218B1" w:rsidRPr="00400859" w:rsidRDefault="00C218B1" w:rsidP="00D23CFA">
            <w:pPr>
              <w:spacing w:line="480" w:lineRule="exact"/>
              <w:rPr>
                <w:rFonts w:ascii="標楷體" w:eastAsia="標楷體" w:hAnsi="標楷體"/>
                <w:szCs w:val="24"/>
              </w:rPr>
            </w:pPr>
          </w:p>
          <w:p w:rsidR="00412312" w:rsidRPr="00400859" w:rsidRDefault="00412312" w:rsidP="00D23CFA">
            <w:pPr>
              <w:spacing w:line="480" w:lineRule="exact"/>
              <w:rPr>
                <w:rFonts w:ascii="標楷體" w:eastAsia="標楷體" w:hAnsi="標楷體"/>
                <w:szCs w:val="24"/>
              </w:rPr>
            </w:pPr>
          </w:p>
          <w:p w:rsidR="00FA3A93" w:rsidRPr="00400859" w:rsidRDefault="00FA3A93" w:rsidP="00D23CFA">
            <w:pPr>
              <w:spacing w:line="480" w:lineRule="exact"/>
              <w:rPr>
                <w:rFonts w:ascii="標楷體" w:eastAsia="標楷體" w:hAnsi="標楷體"/>
                <w:szCs w:val="24"/>
              </w:rPr>
            </w:pPr>
          </w:p>
          <w:p w:rsidR="00FA3A93" w:rsidRPr="00400859" w:rsidRDefault="00FA3A93" w:rsidP="00D23CFA">
            <w:pPr>
              <w:spacing w:line="480" w:lineRule="exact"/>
              <w:rPr>
                <w:rFonts w:ascii="標楷體" w:eastAsia="標楷體" w:hAnsi="標楷體"/>
                <w:szCs w:val="24"/>
              </w:rPr>
            </w:pPr>
          </w:p>
          <w:p w:rsidR="00D57A4D" w:rsidRPr="00400859" w:rsidRDefault="00D57A4D" w:rsidP="00D57A4D">
            <w:pPr>
              <w:pStyle w:val="a7"/>
              <w:numPr>
                <w:ilvl w:val="1"/>
                <w:numId w:val="7"/>
              </w:numPr>
              <w:spacing w:line="480" w:lineRule="exact"/>
              <w:ind w:leftChars="0" w:left="685"/>
              <w:rPr>
                <w:rFonts w:ascii="標楷體" w:eastAsia="標楷體" w:hAnsi="標楷體"/>
                <w:bCs/>
                <w:szCs w:val="24"/>
                <w:u w:val="single"/>
              </w:rPr>
            </w:pPr>
            <w:r w:rsidRPr="00400859">
              <w:rPr>
                <w:rFonts w:ascii="標楷體" w:eastAsia="標楷體" w:hAnsi="標楷體" w:hint="eastAsia"/>
                <w:bCs/>
                <w:szCs w:val="24"/>
                <w:u w:val="single"/>
              </w:rPr>
              <w:t>說明員工受傷害類別，計算傷害率、職業病率、損工日數率、缺勤率以及因公死亡件數。</w:t>
            </w:r>
          </w:p>
          <w:p w:rsidR="007A38F4" w:rsidRPr="00400859" w:rsidRDefault="007A38F4" w:rsidP="007A38F4">
            <w:pPr>
              <w:pStyle w:val="a7"/>
              <w:numPr>
                <w:ilvl w:val="1"/>
                <w:numId w:val="7"/>
              </w:numPr>
              <w:spacing w:line="480" w:lineRule="exact"/>
              <w:ind w:leftChars="0" w:left="685"/>
              <w:rPr>
                <w:rFonts w:ascii="標楷體" w:eastAsia="標楷體" w:hAnsi="標楷體"/>
                <w:bCs/>
                <w:szCs w:val="24"/>
                <w:u w:val="single"/>
              </w:rPr>
            </w:pPr>
            <w:r w:rsidRPr="00400859">
              <w:rPr>
                <w:rFonts w:ascii="標楷體" w:eastAsia="標楷體" w:hAnsi="標楷體" w:hint="eastAsia"/>
                <w:bCs/>
                <w:szCs w:val="24"/>
                <w:u w:val="single"/>
              </w:rPr>
              <w:t>對當地社區具有顯著實際或潛在負面衝擊之營運活動。</w:t>
            </w:r>
          </w:p>
          <w:p w:rsidR="00C218B1" w:rsidRPr="00400859" w:rsidRDefault="00C218B1" w:rsidP="00D23CFA">
            <w:pPr>
              <w:pStyle w:val="a7"/>
              <w:numPr>
                <w:ilvl w:val="1"/>
                <w:numId w:val="7"/>
              </w:numPr>
              <w:spacing w:line="480" w:lineRule="exact"/>
              <w:ind w:leftChars="0" w:left="685"/>
              <w:rPr>
                <w:rFonts w:ascii="標楷體" w:eastAsia="標楷體" w:hAnsi="標楷體"/>
                <w:bCs/>
                <w:szCs w:val="24"/>
                <w:u w:val="single"/>
              </w:rPr>
            </w:pPr>
            <w:r w:rsidRPr="00400859">
              <w:rPr>
                <w:rFonts w:ascii="標楷體" w:eastAsia="標楷體" w:hAnsi="標楷體" w:hint="eastAsia"/>
                <w:bCs/>
                <w:szCs w:val="24"/>
                <w:u w:val="single"/>
              </w:rPr>
              <w:t>企業本身及其供應</w:t>
            </w:r>
            <w:r w:rsidR="005870E9" w:rsidRPr="00400859">
              <w:rPr>
                <w:rFonts w:ascii="標楷體" w:eastAsia="標楷體" w:hAnsi="標楷體" w:hint="eastAsia"/>
                <w:bCs/>
                <w:szCs w:val="24"/>
                <w:u w:val="single"/>
              </w:rPr>
              <w:t>商</w:t>
            </w:r>
            <w:r w:rsidRPr="00400859">
              <w:rPr>
                <w:rFonts w:ascii="標楷體" w:eastAsia="標楷體" w:hAnsi="標楷體" w:hint="eastAsia"/>
                <w:bCs/>
                <w:szCs w:val="24"/>
                <w:u w:val="single"/>
              </w:rPr>
              <w:t>為降低對環境或社會之負面衝擊所採取之具體、有效機制及作為。</w:t>
            </w:r>
          </w:p>
          <w:p w:rsidR="00C218B1" w:rsidRPr="00400859" w:rsidRDefault="00C218B1" w:rsidP="00412312">
            <w:pPr>
              <w:pStyle w:val="a7"/>
              <w:numPr>
                <w:ilvl w:val="0"/>
                <w:numId w:val="9"/>
              </w:numPr>
              <w:spacing w:line="480" w:lineRule="exact"/>
              <w:ind w:leftChars="0"/>
              <w:rPr>
                <w:rFonts w:ascii="標楷體" w:eastAsia="標楷體" w:hAnsi="標楷體"/>
                <w:bCs/>
                <w:szCs w:val="24"/>
              </w:rPr>
            </w:pPr>
            <w:r w:rsidRPr="00400859">
              <w:rPr>
                <w:rFonts w:ascii="標楷體" w:eastAsia="標楷體" w:hAnsi="標楷體" w:hint="eastAsia"/>
                <w:szCs w:val="24"/>
              </w:rPr>
              <w:t>金融保險業應</w:t>
            </w:r>
            <w:r w:rsidRPr="00400859">
              <w:rPr>
                <w:rFonts w:ascii="標楷體" w:eastAsia="標楷體" w:hAnsi="標楷體" w:hint="eastAsia"/>
                <w:szCs w:val="24"/>
                <w:u w:val="single"/>
              </w:rPr>
              <w:t>揭露企業在</w:t>
            </w:r>
            <w:r w:rsidRPr="00400859">
              <w:rPr>
                <w:rFonts w:ascii="標楷體" w:eastAsia="標楷體" w:hAnsi="標楷體" w:hint="eastAsia"/>
                <w:bCs/>
                <w:szCs w:val="24"/>
                <w:u w:val="single"/>
              </w:rPr>
              <w:t>永續金融重大主題之</w:t>
            </w:r>
            <w:r w:rsidRPr="00400859">
              <w:rPr>
                <w:rFonts w:ascii="標楷體" w:eastAsia="標楷體" w:hAnsi="標楷體" w:hint="eastAsia"/>
                <w:bCs/>
                <w:szCs w:val="24"/>
              </w:rPr>
              <w:t>管理方針</w:t>
            </w:r>
            <w:r w:rsidRPr="00400859">
              <w:rPr>
                <w:rFonts w:ascii="標楷體" w:eastAsia="標楷體" w:hAnsi="標楷體" w:hint="eastAsia"/>
                <w:szCs w:val="24"/>
              </w:rPr>
              <w:t>、</w:t>
            </w:r>
            <w:r w:rsidRPr="00400859">
              <w:rPr>
                <w:rFonts w:ascii="標楷體" w:eastAsia="標楷體" w:hAnsi="標楷體" w:hint="eastAsia"/>
                <w:bCs/>
                <w:szCs w:val="24"/>
                <w:u w:val="single"/>
              </w:rPr>
              <w:t>揭露項目及其報導要求</w:t>
            </w:r>
            <w:r w:rsidRPr="00400859">
              <w:rPr>
                <w:rFonts w:ascii="標楷體" w:eastAsia="標楷體" w:hAnsi="標楷體" w:hint="eastAsia"/>
                <w:szCs w:val="24"/>
              </w:rPr>
              <w:t>。其</w:t>
            </w:r>
            <w:r w:rsidRPr="00400859">
              <w:rPr>
                <w:rFonts w:ascii="標楷體" w:eastAsia="標楷體" w:hAnsi="標楷體" w:hint="eastAsia"/>
                <w:bCs/>
                <w:szCs w:val="24"/>
                <w:u w:val="single"/>
              </w:rPr>
              <w:t>報導要求</w:t>
            </w:r>
            <w:r w:rsidR="00412312" w:rsidRPr="00400859">
              <w:rPr>
                <w:rFonts w:ascii="標楷體" w:eastAsia="標楷體" w:hAnsi="標楷體" w:hint="eastAsia"/>
                <w:szCs w:val="24"/>
              </w:rPr>
              <w:t>至少應包含</w:t>
            </w:r>
            <w:r w:rsidRPr="00400859">
              <w:rPr>
                <w:rFonts w:ascii="標楷體" w:eastAsia="標楷體" w:hAnsi="標楷體" w:hint="eastAsia"/>
                <w:bCs/>
                <w:szCs w:val="24"/>
                <w:u w:val="single"/>
              </w:rPr>
              <w:t>各經營業務為創造社會效益或環境效益所設計之產品與服務。</w:t>
            </w:r>
          </w:p>
          <w:p w:rsidR="00C218B1" w:rsidRPr="00400859" w:rsidRDefault="00C218B1" w:rsidP="00D23CFA">
            <w:pPr>
              <w:spacing w:line="480" w:lineRule="exact"/>
              <w:rPr>
                <w:rFonts w:ascii="標楷體" w:eastAsia="標楷體" w:hAnsi="標楷體"/>
                <w:bCs/>
                <w:szCs w:val="24"/>
              </w:rPr>
            </w:pPr>
          </w:p>
          <w:p w:rsidR="00412312" w:rsidRPr="00400859" w:rsidRDefault="00412312" w:rsidP="00D23CFA">
            <w:pPr>
              <w:spacing w:line="480" w:lineRule="exact"/>
              <w:rPr>
                <w:rFonts w:ascii="標楷體" w:eastAsia="標楷體" w:hAnsi="標楷體"/>
                <w:bCs/>
                <w:szCs w:val="24"/>
                <w:u w:val="single"/>
              </w:rPr>
            </w:pPr>
          </w:p>
          <w:p w:rsidR="00D716E0" w:rsidRPr="00400859" w:rsidRDefault="00D716E0" w:rsidP="00D23CFA">
            <w:pPr>
              <w:spacing w:line="480" w:lineRule="exact"/>
              <w:rPr>
                <w:rFonts w:ascii="標楷體" w:eastAsia="標楷體" w:hAnsi="標楷體"/>
                <w:bCs/>
                <w:szCs w:val="24"/>
                <w:u w:val="single"/>
              </w:rPr>
            </w:pPr>
          </w:p>
          <w:p w:rsidR="00D716E0" w:rsidRPr="00400859" w:rsidRDefault="00D716E0" w:rsidP="00D23CFA">
            <w:pPr>
              <w:spacing w:line="480" w:lineRule="exact"/>
              <w:rPr>
                <w:rFonts w:ascii="標楷體" w:eastAsia="標楷體" w:hAnsi="標楷體"/>
                <w:bCs/>
                <w:szCs w:val="24"/>
                <w:u w:val="single"/>
              </w:rPr>
            </w:pPr>
          </w:p>
          <w:p w:rsidR="00D716E0" w:rsidRPr="00400859" w:rsidRDefault="00D716E0" w:rsidP="00D23CFA">
            <w:pPr>
              <w:spacing w:line="480" w:lineRule="exact"/>
              <w:rPr>
                <w:rFonts w:ascii="標楷體" w:eastAsia="標楷體" w:hAnsi="標楷體"/>
                <w:bCs/>
                <w:szCs w:val="24"/>
                <w:u w:val="single"/>
              </w:rPr>
            </w:pPr>
          </w:p>
          <w:p w:rsidR="00D716E0" w:rsidRPr="00400859" w:rsidRDefault="00D716E0" w:rsidP="00D23CFA">
            <w:pPr>
              <w:spacing w:line="480" w:lineRule="exact"/>
              <w:rPr>
                <w:rFonts w:ascii="標楷體" w:eastAsia="標楷體" w:hAnsi="標楷體"/>
                <w:bCs/>
                <w:szCs w:val="24"/>
                <w:u w:val="single"/>
              </w:rPr>
            </w:pPr>
          </w:p>
          <w:p w:rsidR="00D716E0" w:rsidRPr="00400859" w:rsidRDefault="00D716E0" w:rsidP="00D23CFA">
            <w:pPr>
              <w:spacing w:line="480" w:lineRule="exact"/>
              <w:rPr>
                <w:rFonts w:ascii="標楷體" w:eastAsia="標楷體" w:hAnsi="標楷體"/>
                <w:bCs/>
                <w:szCs w:val="24"/>
                <w:u w:val="single"/>
              </w:rPr>
            </w:pPr>
          </w:p>
          <w:p w:rsidR="00D716E0" w:rsidRPr="00400859" w:rsidRDefault="00D716E0" w:rsidP="00D23CFA">
            <w:pPr>
              <w:spacing w:line="480" w:lineRule="exact"/>
              <w:rPr>
                <w:rFonts w:ascii="標楷體" w:eastAsia="標楷體" w:hAnsi="標楷體"/>
                <w:bCs/>
                <w:szCs w:val="24"/>
                <w:u w:val="single"/>
              </w:rPr>
            </w:pPr>
          </w:p>
          <w:p w:rsidR="00D716E0" w:rsidRPr="00400859" w:rsidRDefault="00D716E0" w:rsidP="00D23CFA">
            <w:pPr>
              <w:spacing w:line="480" w:lineRule="exact"/>
              <w:rPr>
                <w:rFonts w:ascii="標楷體" w:eastAsia="標楷體" w:hAnsi="標楷體"/>
                <w:bCs/>
                <w:szCs w:val="24"/>
                <w:u w:val="single"/>
              </w:rPr>
            </w:pPr>
          </w:p>
          <w:p w:rsidR="00D716E0" w:rsidRPr="00400859" w:rsidRDefault="00D716E0" w:rsidP="00D23CFA">
            <w:pPr>
              <w:spacing w:line="480" w:lineRule="exact"/>
              <w:rPr>
                <w:rFonts w:ascii="標楷體" w:eastAsia="標楷體" w:hAnsi="標楷體"/>
                <w:bCs/>
                <w:szCs w:val="24"/>
                <w:u w:val="single"/>
              </w:rPr>
            </w:pPr>
          </w:p>
          <w:p w:rsidR="00D716E0" w:rsidRPr="00400859" w:rsidRDefault="00D716E0" w:rsidP="00D23CFA">
            <w:pPr>
              <w:spacing w:line="480" w:lineRule="exact"/>
              <w:rPr>
                <w:rFonts w:ascii="標楷體" w:eastAsia="標楷體" w:hAnsi="標楷體"/>
                <w:bCs/>
                <w:szCs w:val="24"/>
                <w:u w:val="single"/>
              </w:rPr>
            </w:pPr>
          </w:p>
          <w:p w:rsidR="00D716E0" w:rsidRPr="00400859" w:rsidRDefault="00D716E0" w:rsidP="00D23CFA">
            <w:pPr>
              <w:spacing w:line="480" w:lineRule="exact"/>
              <w:rPr>
                <w:rFonts w:ascii="標楷體" w:eastAsia="標楷體" w:hAnsi="標楷體"/>
                <w:bCs/>
                <w:szCs w:val="24"/>
                <w:u w:val="single"/>
              </w:rPr>
            </w:pPr>
          </w:p>
          <w:p w:rsidR="00FA3A93" w:rsidRPr="00400859" w:rsidRDefault="00FA3A93" w:rsidP="00D23CFA">
            <w:pPr>
              <w:spacing w:line="480" w:lineRule="exact"/>
              <w:rPr>
                <w:rFonts w:ascii="標楷體" w:eastAsia="標楷體" w:hAnsi="標楷體"/>
                <w:bCs/>
                <w:szCs w:val="24"/>
                <w:u w:val="single"/>
              </w:rPr>
            </w:pPr>
          </w:p>
          <w:p w:rsidR="00FA3A93" w:rsidRPr="00400859" w:rsidRDefault="00FA3A93" w:rsidP="00D23CFA">
            <w:pPr>
              <w:spacing w:line="480" w:lineRule="exact"/>
              <w:rPr>
                <w:rFonts w:ascii="標楷體" w:eastAsia="標楷體" w:hAnsi="標楷體"/>
                <w:bCs/>
                <w:szCs w:val="24"/>
                <w:u w:val="single"/>
              </w:rPr>
            </w:pPr>
          </w:p>
          <w:p w:rsidR="00FA3A93" w:rsidRPr="00400859" w:rsidRDefault="00FA3A93" w:rsidP="00D23CFA">
            <w:pPr>
              <w:spacing w:line="480" w:lineRule="exact"/>
              <w:rPr>
                <w:rFonts w:ascii="標楷體" w:eastAsia="標楷體" w:hAnsi="標楷體"/>
                <w:bCs/>
                <w:szCs w:val="24"/>
                <w:u w:val="single"/>
              </w:rPr>
            </w:pPr>
          </w:p>
          <w:p w:rsidR="00FA3A93" w:rsidRPr="00400859" w:rsidRDefault="00FA3A93" w:rsidP="00D23CFA">
            <w:pPr>
              <w:spacing w:line="480" w:lineRule="exact"/>
              <w:rPr>
                <w:rFonts w:ascii="標楷體" w:eastAsia="標楷體" w:hAnsi="標楷體"/>
                <w:bCs/>
                <w:szCs w:val="24"/>
                <w:u w:val="single"/>
              </w:rPr>
            </w:pPr>
          </w:p>
          <w:p w:rsidR="00FA3A93" w:rsidRPr="00400859" w:rsidRDefault="00FA3A93" w:rsidP="00D23CFA">
            <w:pPr>
              <w:spacing w:line="480" w:lineRule="exact"/>
              <w:rPr>
                <w:rFonts w:ascii="標楷體" w:eastAsia="標楷體" w:hAnsi="標楷體"/>
                <w:bCs/>
                <w:szCs w:val="24"/>
                <w:u w:val="single"/>
              </w:rPr>
            </w:pPr>
          </w:p>
          <w:p w:rsidR="00C218B1" w:rsidRPr="00400859" w:rsidRDefault="00C218B1" w:rsidP="00D23CFA">
            <w:pPr>
              <w:pStyle w:val="a7"/>
              <w:numPr>
                <w:ilvl w:val="0"/>
                <w:numId w:val="9"/>
              </w:numPr>
              <w:spacing w:line="480" w:lineRule="exact"/>
              <w:ind w:leftChars="0"/>
              <w:rPr>
                <w:rFonts w:ascii="標楷體" w:eastAsia="標楷體" w:hAnsi="標楷體"/>
                <w:szCs w:val="24"/>
              </w:rPr>
            </w:pPr>
            <w:r w:rsidRPr="00400859">
              <w:rPr>
                <w:rFonts w:ascii="標楷體" w:eastAsia="標楷體" w:hAnsi="標楷體" w:hint="eastAsia"/>
                <w:szCs w:val="24"/>
                <w:u w:val="single"/>
              </w:rPr>
              <w:t>第二條規定之上市公司應揭露企業</w:t>
            </w:r>
            <w:r w:rsidRPr="00400859">
              <w:rPr>
                <w:rFonts w:ascii="標楷體" w:eastAsia="標楷體" w:hAnsi="標楷體" w:hint="eastAsia"/>
                <w:kern w:val="0"/>
                <w:szCs w:val="24"/>
                <w:u w:val="single"/>
              </w:rPr>
              <w:t>非擔任主管職務之全時員工人數、非擔任主管職務之全時員工薪資平均數及中位數，及前三者與前一年度之差異。</w:t>
            </w:r>
          </w:p>
        </w:tc>
        <w:tc>
          <w:tcPr>
            <w:tcW w:w="1667" w:type="pct"/>
            <w:shd w:val="clear" w:color="auto" w:fill="FFFFFF" w:themeFill="background1"/>
          </w:tcPr>
          <w:p w:rsidR="00C218B1" w:rsidRPr="00400859" w:rsidRDefault="00C218B1" w:rsidP="00D23CFA">
            <w:pPr>
              <w:widowControl/>
              <w:spacing w:line="480" w:lineRule="exact"/>
              <w:rPr>
                <w:rFonts w:ascii="標楷體" w:eastAsia="標楷體" w:hAnsi="標楷體" w:cs="新細明體"/>
                <w:kern w:val="0"/>
                <w:szCs w:val="24"/>
              </w:rPr>
            </w:pPr>
            <w:r w:rsidRPr="00400859">
              <w:rPr>
                <w:rFonts w:ascii="標楷體" w:eastAsia="標楷體" w:hAnsi="標楷體" w:cs="新細明體" w:hint="eastAsia"/>
                <w:kern w:val="0"/>
                <w:szCs w:val="24"/>
              </w:rPr>
              <w:t>第四條</w:t>
            </w:r>
          </w:p>
          <w:p w:rsidR="00B21B79" w:rsidRPr="00400859" w:rsidRDefault="00C218B1" w:rsidP="00D23CFA">
            <w:pPr>
              <w:widowControl/>
              <w:spacing w:line="480" w:lineRule="exact"/>
              <w:rPr>
                <w:rFonts w:ascii="標楷體" w:eastAsia="標楷體" w:hAnsi="標楷體" w:cs="新細明體"/>
                <w:kern w:val="0"/>
                <w:szCs w:val="24"/>
              </w:rPr>
            </w:pPr>
            <w:r w:rsidRPr="00400859">
              <w:rPr>
                <w:rFonts w:ascii="標楷體" w:eastAsia="標楷體" w:hAnsi="標楷體" w:cs="新細明體" w:hint="eastAsia"/>
                <w:kern w:val="0"/>
                <w:szCs w:val="24"/>
              </w:rPr>
              <w:t>上市公司所編製之企業社會責任報告書除前條所述內容外，應加強揭露下列事項：</w:t>
            </w:r>
          </w:p>
          <w:p w:rsidR="00C218B1" w:rsidRPr="00400859" w:rsidRDefault="00C218B1" w:rsidP="00D23CFA">
            <w:pPr>
              <w:pStyle w:val="a7"/>
              <w:widowControl/>
              <w:numPr>
                <w:ilvl w:val="2"/>
                <w:numId w:val="10"/>
              </w:numPr>
              <w:spacing w:line="480" w:lineRule="exact"/>
              <w:ind w:leftChars="0" w:left="472"/>
              <w:rPr>
                <w:rFonts w:ascii="標楷體" w:eastAsia="標楷體" w:hAnsi="標楷體"/>
                <w:szCs w:val="24"/>
              </w:rPr>
            </w:pPr>
            <w:r w:rsidRPr="00400859">
              <w:rPr>
                <w:rFonts w:ascii="標楷體" w:eastAsia="標楷體" w:hAnsi="標楷體" w:hint="eastAsia"/>
                <w:szCs w:val="24"/>
              </w:rPr>
              <w:t>食品工業及第二條第一項第二款之上市公司，應揭露企業在供應</w:t>
            </w:r>
            <w:r w:rsidRPr="00400859">
              <w:rPr>
                <w:rFonts w:ascii="標楷體" w:eastAsia="標楷體" w:hAnsi="標楷體" w:hint="eastAsia"/>
                <w:szCs w:val="24"/>
                <w:u w:val="single"/>
              </w:rPr>
              <w:t>鏈管理暨採購實務</w:t>
            </w:r>
            <w:r w:rsidRPr="00400859">
              <w:rPr>
                <w:rFonts w:ascii="標楷體" w:eastAsia="標楷體" w:hAnsi="標楷體" w:hint="eastAsia"/>
                <w:szCs w:val="24"/>
              </w:rPr>
              <w:t>、</w:t>
            </w:r>
            <w:r w:rsidRPr="00400859">
              <w:rPr>
                <w:rFonts w:ascii="標楷體" w:eastAsia="標楷體" w:hAnsi="標楷體" w:hint="eastAsia"/>
                <w:szCs w:val="24"/>
                <w:u w:val="single"/>
              </w:rPr>
              <w:t>保障</w:t>
            </w:r>
            <w:r w:rsidRPr="00400859">
              <w:rPr>
                <w:rFonts w:ascii="標楷體" w:eastAsia="標楷體" w:hAnsi="標楷體" w:hint="eastAsia"/>
                <w:szCs w:val="24"/>
              </w:rPr>
              <w:t>顧客健康與安全</w:t>
            </w:r>
            <w:r w:rsidRPr="00400859">
              <w:rPr>
                <w:rFonts w:ascii="標楷體" w:eastAsia="標楷體" w:hAnsi="標楷體" w:hint="eastAsia"/>
                <w:szCs w:val="24"/>
                <w:u w:val="single"/>
              </w:rPr>
              <w:t>、產品及服務</w:t>
            </w:r>
            <w:r w:rsidRPr="00400859">
              <w:rPr>
                <w:rFonts w:ascii="標楷體" w:eastAsia="標楷體" w:hAnsi="標楷體" w:hint="eastAsia"/>
                <w:szCs w:val="24"/>
              </w:rPr>
              <w:t>標示</w:t>
            </w:r>
            <w:r w:rsidRPr="00400859">
              <w:rPr>
                <w:rFonts w:ascii="標楷體" w:eastAsia="標楷體" w:hAnsi="標楷體" w:hint="eastAsia"/>
                <w:szCs w:val="24"/>
                <w:u w:val="single"/>
              </w:rPr>
              <w:t>及法規遵循考量面</w:t>
            </w:r>
            <w:r w:rsidRPr="00400859">
              <w:rPr>
                <w:rFonts w:ascii="標楷體" w:eastAsia="標楷體" w:hAnsi="標楷體" w:hint="eastAsia"/>
                <w:szCs w:val="24"/>
              </w:rPr>
              <w:t>之</w:t>
            </w:r>
            <w:r w:rsidRPr="00400859">
              <w:rPr>
                <w:rFonts w:ascii="標楷體" w:eastAsia="標楷體" w:hAnsi="標楷體" w:hint="eastAsia"/>
                <w:szCs w:val="24"/>
                <w:u w:val="single"/>
              </w:rPr>
              <w:t>具體</w:t>
            </w:r>
            <w:r w:rsidRPr="00400859">
              <w:rPr>
                <w:rFonts w:ascii="標楷體" w:eastAsia="標楷體" w:hAnsi="標楷體" w:hint="eastAsia"/>
                <w:szCs w:val="24"/>
              </w:rPr>
              <w:t>管理方針</w:t>
            </w:r>
            <w:r w:rsidRPr="00400859">
              <w:rPr>
                <w:rFonts w:ascii="標楷體" w:eastAsia="標楷體" w:hAnsi="標楷體" w:hint="eastAsia"/>
                <w:szCs w:val="24"/>
                <w:u w:val="single"/>
              </w:rPr>
              <w:t>及績效指標</w:t>
            </w:r>
            <w:r w:rsidRPr="00400859">
              <w:rPr>
                <w:rFonts w:ascii="標楷體" w:eastAsia="標楷體" w:hAnsi="標楷體" w:hint="eastAsia"/>
                <w:szCs w:val="24"/>
              </w:rPr>
              <w:t>。其</w:t>
            </w:r>
            <w:r w:rsidRPr="00400859">
              <w:rPr>
                <w:rFonts w:ascii="標楷體" w:eastAsia="標楷體" w:hAnsi="標楷體" w:hint="eastAsia"/>
                <w:szCs w:val="24"/>
                <w:u w:val="single"/>
              </w:rPr>
              <w:t>績效指標</w:t>
            </w:r>
            <w:r w:rsidRPr="00400859">
              <w:rPr>
                <w:rFonts w:ascii="標楷體" w:eastAsia="標楷體" w:hAnsi="標楷體" w:hint="eastAsia"/>
                <w:szCs w:val="24"/>
              </w:rPr>
              <w:t>至少應包含下列項目：</w:t>
            </w:r>
          </w:p>
          <w:p w:rsidR="00C218B1" w:rsidRPr="00400859" w:rsidRDefault="00C218B1" w:rsidP="00D23CFA">
            <w:pPr>
              <w:pStyle w:val="a7"/>
              <w:widowControl/>
              <w:numPr>
                <w:ilvl w:val="1"/>
                <w:numId w:val="11"/>
              </w:numPr>
              <w:spacing w:line="480" w:lineRule="exact"/>
              <w:ind w:leftChars="0" w:left="756"/>
              <w:rPr>
                <w:rFonts w:ascii="標楷體" w:eastAsia="標楷體" w:hAnsi="標楷體"/>
                <w:szCs w:val="24"/>
              </w:rPr>
            </w:pPr>
            <w:r w:rsidRPr="00400859">
              <w:rPr>
                <w:rFonts w:ascii="標楷體" w:eastAsia="標楷體" w:hAnsi="標楷體" w:hint="eastAsia"/>
                <w:szCs w:val="24"/>
              </w:rPr>
              <w:t>為改善食品衛生、安全與品質，而針對其從業人員、作業場所、設施衛生管理及其品保制度方面進行之評估與改進及所影響之主要產品類別與百分比。</w:t>
            </w:r>
          </w:p>
          <w:p w:rsidR="00C218B1" w:rsidRPr="00400859" w:rsidRDefault="00C218B1" w:rsidP="00D23CFA">
            <w:pPr>
              <w:pStyle w:val="a7"/>
              <w:widowControl/>
              <w:numPr>
                <w:ilvl w:val="1"/>
                <w:numId w:val="11"/>
              </w:numPr>
              <w:spacing w:line="480" w:lineRule="exact"/>
              <w:ind w:leftChars="0" w:left="756"/>
              <w:rPr>
                <w:rFonts w:ascii="標楷體" w:eastAsia="標楷體" w:hAnsi="標楷體"/>
                <w:szCs w:val="24"/>
              </w:rPr>
            </w:pPr>
            <w:r w:rsidRPr="00400859">
              <w:rPr>
                <w:rFonts w:ascii="標楷體" w:eastAsia="標楷體" w:hAnsi="標楷體" w:hint="eastAsia"/>
                <w:szCs w:val="24"/>
                <w:u w:val="single"/>
              </w:rPr>
              <w:t>上市公司應遵循之食品安全衛生管理相關法規，及上市公司違反上述</w:t>
            </w:r>
            <w:r w:rsidRPr="00400859">
              <w:rPr>
                <w:rFonts w:ascii="標楷體" w:eastAsia="標楷體" w:hAnsi="標楷體" w:hint="eastAsia"/>
                <w:szCs w:val="24"/>
              </w:rPr>
              <w:t>法規之事件類別與次數。</w:t>
            </w:r>
          </w:p>
          <w:p w:rsidR="00C218B1" w:rsidRPr="00400859" w:rsidRDefault="00C218B1" w:rsidP="00384DC0">
            <w:pPr>
              <w:pStyle w:val="a7"/>
              <w:widowControl/>
              <w:numPr>
                <w:ilvl w:val="1"/>
                <w:numId w:val="11"/>
              </w:numPr>
              <w:spacing w:line="480" w:lineRule="exact"/>
              <w:ind w:leftChars="0" w:left="756"/>
              <w:rPr>
                <w:rFonts w:ascii="標楷體" w:eastAsia="標楷體" w:hAnsi="標楷體"/>
                <w:szCs w:val="24"/>
              </w:rPr>
            </w:pPr>
            <w:r w:rsidRPr="00400859">
              <w:rPr>
                <w:rFonts w:ascii="標楷體" w:eastAsia="標楷體" w:hAnsi="標楷體" w:hint="eastAsia"/>
                <w:szCs w:val="24"/>
                <w:u w:val="single"/>
              </w:rPr>
              <w:t>上市公司</w:t>
            </w:r>
            <w:r w:rsidRPr="00400859">
              <w:rPr>
                <w:rFonts w:ascii="標楷體" w:eastAsia="標楷體" w:hAnsi="標楷體" w:hint="eastAsia"/>
                <w:szCs w:val="24"/>
              </w:rPr>
              <w:t>採購符合國際認可之產品責任標準者占整體採購之百分比。</w:t>
            </w:r>
          </w:p>
          <w:p w:rsidR="00FA3A93" w:rsidRPr="00400859" w:rsidRDefault="00FA3A93" w:rsidP="00FA3A93">
            <w:pPr>
              <w:pStyle w:val="a7"/>
              <w:widowControl/>
              <w:spacing w:line="480" w:lineRule="exact"/>
              <w:ind w:leftChars="0" w:left="756"/>
              <w:rPr>
                <w:rFonts w:ascii="標楷體" w:eastAsia="標楷體" w:hAnsi="標楷體"/>
                <w:szCs w:val="24"/>
              </w:rPr>
            </w:pPr>
          </w:p>
          <w:p w:rsidR="00384DC0" w:rsidRPr="00400859" w:rsidRDefault="00C218B1" w:rsidP="00384DC0">
            <w:pPr>
              <w:pStyle w:val="a7"/>
              <w:widowControl/>
              <w:numPr>
                <w:ilvl w:val="1"/>
                <w:numId w:val="11"/>
              </w:numPr>
              <w:spacing w:line="480" w:lineRule="exact"/>
              <w:ind w:leftChars="0" w:left="756"/>
              <w:rPr>
                <w:rFonts w:ascii="標楷體" w:eastAsia="標楷體" w:hAnsi="標楷體"/>
                <w:szCs w:val="24"/>
              </w:rPr>
            </w:pPr>
            <w:r w:rsidRPr="00400859">
              <w:rPr>
                <w:rFonts w:ascii="標楷體" w:eastAsia="標楷體" w:hAnsi="標楷體" w:hint="eastAsia"/>
                <w:szCs w:val="24"/>
              </w:rPr>
              <w:t>經獨立第三方驗證符合國際認證之食品安全管理系統標準之廠房所生產產品之百分比。</w:t>
            </w:r>
          </w:p>
          <w:p w:rsidR="00864665" w:rsidRPr="00400859" w:rsidRDefault="00864665" w:rsidP="00864665">
            <w:pPr>
              <w:pStyle w:val="a7"/>
              <w:widowControl/>
              <w:numPr>
                <w:ilvl w:val="1"/>
                <w:numId w:val="11"/>
              </w:numPr>
              <w:spacing w:line="480" w:lineRule="exact"/>
              <w:ind w:leftChars="0" w:left="756"/>
              <w:rPr>
                <w:rFonts w:ascii="標楷體" w:eastAsia="標楷體" w:hAnsi="標楷體"/>
                <w:szCs w:val="24"/>
              </w:rPr>
            </w:pPr>
            <w:r w:rsidRPr="00400859">
              <w:rPr>
                <w:rFonts w:ascii="標楷體" w:eastAsia="標楷體" w:hAnsi="標楷體" w:hint="eastAsia"/>
                <w:szCs w:val="24"/>
                <w:u w:val="single"/>
              </w:rPr>
              <w:t>上市公司</w:t>
            </w:r>
            <w:r w:rsidRPr="00400859">
              <w:rPr>
                <w:rFonts w:ascii="標楷體" w:eastAsia="標楷體" w:hAnsi="標楷體" w:hint="eastAsia"/>
                <w:szCs w:val="24"/>
              </w:rPr>
              <w:t>對供應商進行稽核之家數及百分比、稽核項目及結果。</w:t>
            </w:r>
          </w:p>
          <w:p w:rsidR="00C218B1" w:rsidRPr="00400859" w:rsidRDefault="00C218B1" w:rsidP="00D23CFA">
            <w:pPr>
              <w:pStyle w:val="a7"/>
              <w:widowControl/>
              <w:numPr>
                <w:ilvl w:val="1"/>
                <w:numId w:val="11"/>
              </w:numPr>
              <w:spacing w:line="480" w:lineRule="exact"/>
              <w:ind w:leftChars="0" w:left="756"/>
              <w:rPr>
                <w:rFonts w:ascii="標楷體" w:eastAsia="標楷體" w:hAnsi="標楷體"/>
                <w:szCs w:val="24"/>
              </w:rPr>
            </w:pPr>
            <w:r w:rsidRPr="00400859">
              <w:rPr>
                <w:rFonts w:ascii="標楷體" w:eastAsia="標楷體" w:hAnsi="標楷體" w:hint="eastAsia"/>
                <w:szCs w:val="24"/>
                <w:u w:val="single"/>
              </w:rPr>
              <w:t>上市公司</w:t>
            </w:r>
            <w:r w:rsidRPr="00400859">
              <w:rPr>
                <w:rFonts w:ascii="標楷體" w:eastAsia="標楷體" w:hAnsi="標楷體" w:hint="eastAsia"/>
                <w:szCs w:val="24"/>
              </w:rPr>
              <w:t>依法規要求或自願進行產品追溯與追蹤管理之情形及相關產品占所有產品之百分比。</w:t>
            </w:r>
          </w:p>
          <w:p w:rsidR="00C218B1" w:rsidRPr="00400859" w:rsidRDefault="00C218B1" w:rsidP="00D23CFA">
            <w:pPr>
              <w:pStyle w:val="a7"/>
              <w:widowControl/>
              <w:numPr>
                <w:ilvl w:val="1"/>
                <w:numId w:val="11"/>
              </w:numPr>
              <w:spacing w:line="480" w:lineRule="exact"/>
              <w:ind w:leftChars="0" w:left="756"/>
              <w:rPr>
                <w:rFonts w:ascii="標楷體" w:eastAsia="標楷體" w:hAnsi="標楷體"/>
                <w:szCs w:val="24"/>
              </w:rPr>
            </w:pPr>
            <w:r w:rsidRPr="00400859">
              <w:rPr>
                <w:rFonts w:ascii="標楷體" w:eastAsia="標楷體" w:hAnsi="標楷體" w:hint="eastAsia"/>
                <w:szCs w:val="24"/>
                <w:u w:val="single"/>
              </w:rPr>
              <w:t>上市公司</w:t>
            </w:r>
            <w:r w:rsidRPr="00400859">
              <w:rPr>
                <w:rFonts w:ascii="標楷體" w:eastAsia="標楷體" w:hAnsi="標楷體" w:hint="eastAsia"/>
                <w:szCs w:val="24"/>
              </w:rPr>
              <w:t>依法規要求或自願設置食品安全實驗室之情形、測試項目、測試結果、相關支出及其占營業收入淨額之百分比。</w:t>
            </w:r>
          </w:p>
          <w:p w:rsidR="00C218B1" w:rsidRPr="00400859" w:rsidRDefault="00C218B1" w:rsidP="00D23CFA">
            <w:pPr>
              <w:pStyle w:val="a7"/>
              <w:widowControl/>
              <w:numPr>
                <w:ilvl w:val="2"/>
                <w:numId w:val="10"/>
              </w:numPr>
              <w:spacing w:line="480" w:lineRule="exact"/>
              <w:ind w:leftChars="0" w:left="472"/>
              <w:rPr>
                <w:rFonts w:ascii="標楷體" w:eastAsia="標楷體" w:hAnsi="標楷體"/>
                <w:szCs w:val="24"/>
              </w:rPr>
            </w:pPr>
            <w:r w:rsidRPr="00400859">
              <w:rPr>
                <w:rFonts w:ascii="標楷體" w:eastAsia="標楷體" w:hAnsi="標楷體" w:hint="eastAsia"/>
                <w:szCs w:val="24"/>
              </w:rPr>
              <w:t>化學工業應揭露企業本身及其供應</w:t>
            </w:r>
            <w:r w:rsidRPr="00400859">
              <w:rPr>
                <w:rFonts w:ascii="標楷體" w:eastAsia="標楷體" w:hAnsi="標楷體" w:hint="eastAsia"/>
                <w:szCs w:val="24"/>
                <w:u w:val="single"/>
              </w:rPr>
              <w:t>鏈為降低產品、活動或服務對於環境之負面衝擊，暨為保障員工職業健康與安全，以及利害相關民眾之生命財產安全而採取之具體、有效機制及作為，其至少應包含原料、物料及本身終端產品之製造或運送過程管理、廠區內外事故之緊急應變機制及其績效指標。</w:t>
            </w:r>
          </w:p>
          <w:p w:rsidR="00FA3A93" w:rsidRPr="00400859" w:rsidRDefault="00FA3A93" w:rsidP="00FA3A93">
            <w:pPr>
              <w:pStyle w:val="a7"/>
              <w:widowControl/>
              <w:spacing w:line="480" w:lineRule="exact"/>
              <w:ind w:leftChars="0" w:left="472"/>
              <w:rPr>
                <w:rFonts w:ascii="標楷體" w:eastAsia="標楷體" w:hAnsi="標楷體"/>
                <w:szCs w:val="24"/>
              </w:rPr>
            </w:pPr>
          </w:p>
          <w:p w:rsidR="00C218B1" w:rsidRPr="00400859" w:rsidRDefault="00C218B1" w:rsidP="00D23CFA">
            <w:pPr>
              <w:pStyle w:val="a7"/>
              <w:widowControl/>
              <w:spacing w:line="480" w:lineRule="exact"/>
              <w:ind w:leftChars="0" w:left="472"/>
              <w:rPr>
                <w:rFonts w:ascii="標楷體" w:eastAsia="標楷體" w:hAnsi="標楷體"/>
                <w:szCs w:val="24"/>
                <w:u w:val="single"/>
              </w:rPr>
            </w:pPr>
            <w:r w:rsidRPr="00400859">
              <w:rPr>
                <w:rFonts w:ascii="標楷體" w:eastAsia="標楷體" w:hAnsi="標楷體" w:hint="eastAsia"/>
                <w:szCs w:val="24"/>
                <w:u w:val="single"/>
              </w:rPr>
              <w:t>本目新增</w:t>
            </w:r>
          </w:p>
          <w:p w:rsidR="00C218B1" w:rsidRPr="00400859" w:rsidRDefault="00C218B1" w:rsidP="00D23CFA">
            <w:pPr>
              <w:pStyle w:val="a7"/>
              <w:widowControl/>
              <w:spacing w:line="480" w:lineRule="exact"/>
              <w:ind w:leftChars="0" w:left="472"/>
              <w:rPr>
                <w:rFonts w:ascii="標楷體" w:eastAsia="標楷體" w:hAnsi="標楷體"/>
                <w:szCs w:val="24"/>
                <w:u w:val="single"/>
              </w:rPr>
            </w:pPr>
          </w:p>
          <w:p w:rsidR="00C218B1" w:rsidRPr="00400859" w:rsidRDefault="00C218B1" w:rsidP="00D23CFA">
            <w:pPr>
              <w:pStyle w:val="a7"/>
              <w:widowControl/>
              <w:spacing w:line="480" w:lineRule="exact"/>
              <w:ind w:leftChars="0" w:left="472"/>
              <w:rPr>
                <w:rFonts w:ascii="標楷體" w:eastAsia="標楷體" w:hAnsi="標楷體"/>
                <w:szCs w:val="24"/>
                <w:u w:val="single"/>
              </w:rPr>
            </w:pPr>
          </w:p>
          <w:p w:rsidR="00412312" w:rsidRPr="00400859" w:rsidRDefault="00412312" w:rsidP="00D23CFA">
            <w:pPr>
              <w:pStyle w:val="a7"/>
              <w:widowControl/>
              <w:spacing w:line="480" w:lineRule="exact"/>
              <w:ind w:leftChars="0" w:left="472"/>
              <w:rPr>
                <w:rFonts w:ascii="標楷體" w:eastAsia="標楷體" w:hAnsi="標楷體"/>
                <w:szCs w:val="24"/>
                <w:u w:val="single"/>
              </w:rPr>
            </w:pPr>
          </w:p>
          <w:p w:rsidR="00FA3A93" w:rsidRPr="00400859" w:rsidRDefault="00FA3A93" w:rsidP="00D23CFA">
            <w:pPr>
              <w:pStyle w:val="a7"/>
              <w:widowControl/>
              <w:spacing w:line="480" w:lineRule="exact"/>
              <w:ind w:leftChars="0" w:left="472"/>
              <w:rPr>
                <w:rFonts w:ascii="標楷體" w:eastAsia="標楷體" w:hAnsi="標楷體"/>
                <w:szCs w:val="24"/>
                <w:u w:val="single"/>
              </w:rPr>
            </w:pPr>
          </w:p>
          <w:p w:rsidR="00C218B1" w:rsidRPr="00400859" w:rsidRDefault="00C218B1" w:rsidP="00D23CFA">
            <w:pPr>
              <w:pStyle w:val="a7"/>
              <w:widowControl/>
              <w:spacing w:line="480" w:lineRule="exact"/>
              <w:ind w:leftChars="0" w:left="472"/>
              <w:rPr>
                <w:rFonts w:ascii="標楷體" w:eastAsia="標楷體" w:hAnsi="標楷體"/>
                <w:szCs w:val="24"/>
                <w:u w:val="single"/>
              </w:rPr>
            </w:pPr>
            <w:r w:rsidRPr="00400859">
              <w:rPr>
                <w:rFonts w:ascii="標楷體" w:eastAsia="標楷體" w:hAnsi="標楷體" w:hint="eastAsia"/>
                <w:szCs w:val="24"/>
                <w:u w:val="single"/>
              </w:rPr>
              <w:t>本目新增</w:t>
            </w:r>
          </w:p>
          <w:p w:rsidR="00412312" w:rsidRPr="00400859" w:rsidRDefault="00412312" w:rsidP="00F924DC">
            <w:pPr>
              <w:widowControl/>
              <w:spacing w:line="480" w:lineRule="exact"/>
              <w:rPr>
                <w:rFonts w:ascii="標楷體" w:eastAsia="標楷體" w:hAnsi="標楷體"/>
                <w:szCs w:val="24"/>
                <w:u w:val="single"/>
              </w:rPr>
            </w:pPr>
          </w:p>
          <w:p w:rsidR="00F924DC" w:rsidRPr="00400859" w:rsidRDefault="00F924DC" w:rsidP="00F924DC">
            <w:pPr>
              <w:widowControl/>
              <w:spacing w:line="480" w:lineRule="exact"/>
              <w:rPr>
                <w:rFonts w:ascii="標楷體" w:eastAsia="標楷體" w:hAnsi="標楷體"/>
                <w:szCs w:val="24"/>
                <w:u w:val="single"/>
              </w:rPr>
            </w:pPr>
          </w:p>
          <w:p w:rsidR="00C218B1" w:rsidRPr="00400859" w:rsidRDefault="00C218B1" w:rsidP="00D23CFA">
            <w:pPr>
              <w:pStyle w:val="a7"/>
              <w:widowControl/>
              <w:spacing w:line="480" w:lineRule="exact"/>
              <w:ind w:leftChars="0" w:left="472"/>
              <w:rPr>
                <w:rFonts w:ascii="標楷體" w:eastAsia="標楷體" w:hAnsi="標楷體"/>
                <w:szCs w:val="24"/>
                <w:u w:val="single"/>
              </w:rPr>
            </w:pPr>
            <w:r w:rsidRPr="00400859">
              <w:rPr>
                <w:rFonts w:ascii="標楷體" w:eastAsia="標楷體" w:hAnsi="標楷體" w:hint="eastAsia"/>
                <w:szCs w:val="24"/>
                <w:u w:val="single"/>
              </w:rPr>
              <w:t>本目新增</w:t>
            </w:r>
          </w:p>
          <w:p w:rsidR="00C218B1" w:rsidRPr="00400859" w:rsidRDefault="00C218B1" w:rsidP="00D23CFA">
            <w:pPr>
              <w:widowControl/>
              <w:spacing w:line="480" w:lineRule="exact"/>
              <w:rPr>
                <w:rFonts w:ascii="標楷體" w:eastAsia="標楷體" w:hAnsi="標楷體"/>
                <w:szCs w:val="24"/>
              </w:rPr>
            </w:pPr>
          </w:p>
          <w:p w:rsidR="00412312" w:rsidRPr="00400859" w:rsidRDefault="00412312" w:rsidP="00D23CFA">
            <w:pPr>
              <w:widowControl/>
              <w:spacing w:line="480" w:lineRule="exact"/>
              <w:rPr>
                <w:rFonts w:ascii="標楷體" w:eastAsia="標楷體" w:hAnsi="標楷體"/>
                <w:szCs w:val="24"/>
              </w:rPr>
            </w:pPr>
          </w:p>
          <w:p w:rsidR="00FA3A93" w:rsidRPr="00400859" w:rsidRDefault="00FA3A93" w:rsidP="00D23CFA">
            <w:pPr>
              <w:widowControl/>
              <w:spacing w:line="480" w:lineRule="exact"/>
              <w:rPr>
                <w:rFonts w:ascii="標楷體" w:eastAsia="標楷體" w:hAnsi="標楷體"/>
                <w:szCs w:val="24"/>
              </w:rPr>
            </w:pPr>
          </w:p>
          <w:p w:rsidR="00D061F3" w:rsidRPr="00400859" w:rsidRDefault="00D061F3" w:rsidP="00D23CFA">
            <w:pPr>
              <w:widowControl/>
              <w:spacing w:line="480" w:lineRule="exact"/>
              <w:rPr>
                <w:rFonts w:ascii="標楷體" w:eastAsia="標楷體" w:hAnsi="標楷體"/>
                <w:szCs w:val="24"/>
              </w:rPr>
            </w:pPr>
          </w:p>
          <w:p w:rsidR="00C218B1" w:rsidRPr="00400859" w:rsidRDefault="00C218B1" w:rsidP="00D23CFA">
            <w:pPr>
              <w:pStyle w:val="a7"/>
              <w:widowControl/>
              <w:numPr>
                <w:ilvl w:val="2"/>
                <w:numId w:val="10"/>
              </w:numPr>
              <w:spacing w:line="480" w:lineRule="exact"/>
              <w:ind w:leftChars="0" w:left="472"/>
              <w:rPr>
                <w:rFonts w:ascii="標楷體" w:eastAsia="標楷體" w:hAnsi="標楷體"/>
                <w:szCs w:val="24"/>
              </w:rPr>
            </w:pPr>
            <w:r w:rsidRPr="00400859">
              <w:rPr>
                <w:rFonts w:ascii="標楷體" w:eastAsia="標楷體" w:hAnsi="標楷體" w:hint="eastAsia"/>
                <w:szCs w:val="24"/>
              </w:rPr>
              <w:t>金融保險業應</w:t>
            </w:r>
            <w:r w:rsidRPr="00400859">
              <w:rPr>
                <w:rFonts w:ascii="標楷體" w:eastAsia="標楷體" w:hAnsi="標楷體" w:hint="eastAsia"/>
                <w:szCs w:val="24"/>
                <w:u w:val="single"/>
              </w:rPr>
              <w:t>加強揭露經濟績效及企業金融商品或服務之環境面與社會面之具體</w:t>
            </w:r>
            <w:r w:rsidRPr="00400859">
              <w:rPr>
                <w:rFonts w:ascii="標楷體" w:eastAsia="標楷體" w:hAnsi="標楷體" w:hint="eastAsia"/>
                <w:szCs w:val="24"/>
              </w:rPr>
              <w:t>管理方針</w:t>
            </w:r>
            <w:r w:rsidRPr="00400859">
              <w:rPr>
                <w:rFonts w:ascii="標楷體" w:eastAsia="標楷體" w:hAnsi="標楷體" w:hint="eastAsia"/>
                <w:szCs w:val="24"/>
                <w:u w:val="single"/>
              </w:rPr>
              <w:t>及績效指標。前述企業金融商品或服務至少應包含放貸、專案融資、共同基金、保險及企業本身投資等。</w:t>
            </w:r>
            <w:r w:rsidRPr="00400859">
              <w:rPr>
                <w:rFonts w:ascii="標楷體" w:eastAsia="標楷體" w:hAnsi="標楷體" w:hint="eastAsia"/>
                <w:szCs w:val="24"/>
              </w:rPr>
              <w:t>其</w:t>
            </w:r>
            <w:r w:rsidRPr="00400859">
              <w:rPr>
                <w:rFonts w:ascii="標楷體" w:eastAsia="標楷體" w:hAnsi="標楷體" w:hint="eastAsia"/>
                <w:szCs w:val="24"/>
                <w:u w:val="single"/>
              </w:rPr>
              <w:t>績效指標</w:t>
            </w:r>
            <w:r w:rsidRPr="00400859">
              <w:rPr>
                <w:rFonts w:ascii="標楷體" w:eastAsia="標楷體" w:hAnsi="標楷體" w:hint="eastAsia"/>
                <w:szCs w:val="24"/>
              </w:rPr>
              <w:t>至少應包含下列項目：</w:t>
            </w:r>
          </w:p>
          <w:p w:rsidR="00C218B1" w:rsidRPr="00400859" w:rsidRDefault="00C218B1" w:rsidP="00D23CFA">
            <w:pPr>
              <w:pStyle w:val="a7"/>
              <w:widowControl/>
              <w:numPr>
                <w:ilvl w:val="1"/>
                <w:numId w:val="12"/>
              </w:numPr>
              <w:spacing w:line="480" w:lineRule="exact"/>
              <w:ind w:leftChars="0" w:left="756"/>
              <w:rPr>
                <w:rFonts w:ascii="標楷體" w:eastAsia="標楷體" w:hAnsi="標楷體"/>
                <w:szCs w:val="24"/>
              </w:rPr>
            </w:pPr>
            <w:r w:rsidRPr="00400859">
              <w:rPr>
                <w:rFonts w:ascii="標楷體" w:eastAsia="標楷體" w:hAnsi="標楷體" w:hint="eastAsia"/>
                <w:szCs w:val="24"/>
                <w:u w:val="single"/>
              </w:rPr>
              <w:t>在企業金融商品或服務之協議或交易範圍內，鼓勵與關注客戶或其他往來對象遵循金融保險業者對環境面和社會面要求之作業流程，及達到合理條件之情形。</w:t>
            </w:r>
          </w:p>
          <w:p w:rsidR="00C218B1" w:rsidRPr="00400859" w:rsidRDefault="00C218B1" w:rsidP="00D23CFA">
            <w:pPr>
              <w:pStyle w:val="a7"/>
              <w:widowControl/>
              <w:numPr>
                <w:ilvl w:val="1"/>
                <w:numId w:val="12"/>
              </w:numPr>
              <w:spacing w:line="480" w:lineRule="exact"/>
              <w:ind w:leftChars="0" w:left="756"/>
              <w:rPr>
                <w:rFonts w:ascii="標楷體" w:eastAsia="標楷體" w:hAnsi="標楷體"/>
                <w:szCs w:val="24"/>
              </w:rPr>
            </w:pPr>
            <w:r w:rsidRPr="00400859">
              <w:rPr>
                <w:rFonts w:ascii="標楷體" w:eastAsia="標楷體" w:hAnsi="標楷體" w:hint="eastAsia"/>
                <w:szCs w:val="24"/>
                <w:u w:val="single"/>
              </w:rPr>
              <w:t>非擔任主管職務之員工人數、年度員工平均福利費用及與前一年度之差異。</w:t>
            </w:r>
          </w:p>
          <w:p w:rsidR="00C218B1" w:rsidRPr="00400859" w:rsidRDefault="00C218B1" w:rsidP="00D23CFA">
            <w:pPr>
              <w:widowControl/>
              <w:spacing w:line="480" w:lineRule="exact"/>
              <w:ind w:firstLineChars="200" w:firstLine="480"/>
              <w:rPr>
                <w:rFonts w:ascii="標楷體" w:eastAsia="標楷體" w:hAnsi="標楷體"/>
                <w:szCs w:val="24"/>
                <w:u w:val="single"/>
              </w:rPr>
            </w:pPr>
            <w:r w:rsidRPr="00400859">
              <w:rPr>
                <w:rFonts w:ascii="標楷體" w:eastAsia="標楷體" w:hAnsi="標楷體" w:hint="eastAsia"/>
                <w:szCs w:val="24"/>
                <w:u w:val="single"/>
              </w:rPr>
              <w:t>本款新增</w:t>
            </w:r>
          </w:p>
          <w:p w:rsidR="00C218B1" w:rsidRPr="00400859" w:rsidRDefault="00C218B1" w:rsidP="00D23CFA">
            <w:pPr>
              <w:widowControl/>
              <w:spacing w:line="480" w:lineRule="exact"/>
              <w:ind w:left="276"/>
              <w:rPr>
                <w:rFonts w:ascii="標楷體" w:eastAsia="標楷體" w:hAnsi="標楷體"/>
                <w:szCs w:val="24"/>
              </w:rPr>
            </w:pPr>
          </w:p>
        </w:tc>
        <w:tc>
          <w:tcPr>
            <w:tcW w:w="1667" w:type="pct"/>
            <w:shd w:val="clear" w:color="auto" w:fill="FFFFFF" w:themeFill="background1"/>
          </w:tcPr>
          <w:p w:rsidR="00C218B1" w:rsidRPr="00400859" w:rsidRDefault="00C218B1" w:rsidP="00D23CFA">
            <w:pPr>
              <w:pStyle w:val="a7"/>
              <w:numPr>
                <w:ilvl w:val="0"/>
                <w:numId w:val="1"/>
              </w:numPr>
              <w:spacing w:line="480" w:lineRule="exact"/>
              <w:ind w:leftChars="0"/>
              <w:rPr>
                <w:rFonts w:ascii="標楷體" w:eastAsia="標楷體" w:hAnsi="標楷體"/>
                <w:szCs w:val="24"/>
              </w:rPr>
            </w:pPr>
            <w:r w:rsidRPr="00400859">
              <w:rPr>
                <w:rFonts w:ascii="標楷體" w:eastAsia="標楷體" w:hAnsi="標楷體" w:hint="eastAsia"/>
                <w:szCs w:val="24"/>
              </w:rPr>
              <w:t>配合GRI準則之發布</w:t>
            </w:r>
            <w:r w:rsidRPr="00400859">
              <w:rPr>
                <w:rFonts w:ascii="標楷體" w:eastAsia="標楷體" w:hAnsi="標楷體" w:cs="新細明體" w:hint="eastAsia"/>
                <w:kern w:val="0"/>
                <w:szCs w:val="24"/>
              </w:rPr>
              <w:t>，依GRI準則用語</w:t>
            </w:r>
            <w:r w:rsidRPr="00400859">
              <w:rPr>
                <w:rFonts w:ascii="標楷體" w:eastAsia="標楷體" w:hAnsi="標楷體" w:hint="eastAsia"/>
                <w:szCs w:val="24"/>
              </w:rPr>
              <w:t>，</w:t>
            </w:r>
            <w:r w:rsidRPr="00400859">
              <w:rPr>
                <w:rFonts w:ascii="標楷體" w:eastAsia="標楷體" w:hAnsi="標楷體" w:cs="新細明體" w:hint="eastAsia"/>
                <w:kern w:val="0"/>
                <w:szCs w:val="24"/>
              </w:rPr>
              <w:t>修正本條相關</w:t>
            </w:r>
            <w:r w:rsidRPr="00400859">
              <w:rPr>
                <w:rFonts w:ascii="標楷體" w:eastAsia="標楷體" w:hAnsi="標楷體" w:hint="eastAsia"/>
                <w:szCs w:val="24"/>
              </w:rPr>
              <w:t>文字</w:t>
            </w:r>
            <w:r w:rsidRPr="00400859">
              <w:rPr>
                <w:rFonts w:ascii="標楷體" w:eastAsia="標楷體" w:hAnsi="標楷體" w:hint="eastAsia"/>
                <w:szCs w:val="24"/>
                <w:u w:val="single"/>
              </w:rPr>
              <w:t>，理由同第三條說明一</w:t>
            </w:r>
            <w:r w:rsidRPr="00400859">
              <w:rPr>
                <w:rFonts w:ascii="標楷體" w:eastAsia="標楷體" w:hAnsi="標楷體" w:cs="新細明體" w:hint="eastAsia"/>
                <w:kern w:val="0"/>
                <w:szCs w:val="24"/>
              </w:rPr>
              <w:t>。</w:t>
            </w:r>
          </w:p>
          <w:p w:rsidR="00C218B1" w:rsidRPr="00400859" w:rsidRDefault="00C218B1" w:rsidP="00D23CFA">
            <w:pPr>
              <w:pStyle w:val="a7"/>
              <w:numPr>
                <w:ilvl w:val="0"/>
                <w:numId w:val="1"/>
              </w:numPr>
              <w:spacing w:line="480" w:lineRule="exact"/>
              <w:ind w:leftChars="0"/>
              <w:rPr>
                <w:rFonts w:ascii="標楷體" w:eastAsia="標楷體" w:hAnsi="標楷體"/>
                <w:szCs w:val="24"/>
                <w:u w:val="single"/>
              </w:rPr>
            </w:pPr>
            <w:r w:rsidRPr="00400859">
              <w:rPr>
                <w:rFonts w:ascii="標楷體" w:eastAsia="標楷體" w:hAnsi="標楷體" w:hint="eastAsia"/>
                <w:szCs w:val="24"/>
                <w:u w:val="single"/>
              </w:rPr>
              <w:t>配合GRI準則之發布</w:t>
            </w:r>
            <w:r w:rsidRPr="00400859">
              <w:rPr>
                <w:rFonts w:ascii="標楷體" w:eastAsia="標楷體" w:hAnsi="標楷體" w:cs="新細明體" w:hint="eastAsia"/>
                <w:kern w:val="0"/>
                <w:szCs w:val="24"/>
                <w:u w:val="single"/>
              </w:rPr>
              <w:t>，將</w:t>
            </w:r>
            <w:r w:rsidRPr="00400859">
              <w:rPr>
                <w:rFonts w:ascii="標楷體" w:eastAsia="標楷體" w:hAnsi="標楷體" w:hint="eastAsia"/>
                <w:szCs w:val="24"/>
                <w:u w:val="single"/>
              </w:rPr>
              <w:t>現行第一項第一款依永續報告指南應揭露之重大考量面，修改為對應GRI準則之</w:t>
            </w:r>
            <w:r w:rsidRPr="00400859">
              <w:rPr>
                <w:rFonts w:ascii="標楷體" w:eastAsia="標楷體" w:hAnsi="標楷體" w:hint="eastAsia"/>
                <w:bCs/>
                <w:szCs w:val="24"/>
                <w:u w:val="single"/>
              </w:rPr>
              <w:t>供應商環境或社會評估、顧客健康與安全</w:t>
            </w:r>
            <w:r w:rsidRPr="00400859">
              <w:rPr>
                <w:rFonts w:ascii="標楷體" w:eastAsia="標楷體" w:hAnsi="標楷體" w:hint="eastAsia"/>
                <w:szCs w:val="24"/>
                <w:u w:val="single"/>
              </w:rPr>
              <w:t>及</w:t>
            </w:r>
            <w:r w:rsidRPr="00400859">
              <w:rPr>
                <w:rFonts w:ascii="標楷體" w:eastAsia="標楷體" w:hAnsi="標楷體" w:hint="eastAsia"/>
                <w:bCs/>
                <w:szCs w:val="24"/>
                <w:u w:val="single"/>
              </w:rPr>
              <w:t>行銷與標示之重大主題</w:t>
            </w:r>
            <w:r w:rsidRPr="00400859">
              <w:rPr>
                <w:rFonts w:ascii="標楷體" w:eastAsia="標楷體" w:hAnsi="標楷體" w:hint="eastAsia"/>
                <w:szCs w:val="24"/>
                <w:u w:val="single"/>
              </w:rPr>
              <w:t>。</w:t>
            </w:r>
          </w:p>
          <w:p w:rsidR="00C218B1" w:rsidRPr="00400859" w:rsidRDefault="00C218B1" w:rsidP="00D23CFA">
            <w:pPr>
              <w:pStyle w:val="a7"/>
              <w:numPr>
                <w:ilvl w:val="0"/>
                <w:numId w:val="1"/>
              </w:numPr>
              <w:spacing w:line="480" w:lineRule="exact"/>
              <w:ind w:leftChars="0"/>
              <w:rPr>
                <w:rFonts w:ascii="標楷體" w:eastAsia="標楷體" w:hAnsi="標楷體"/>
                <w:szCs w:val="24"/>
              </w:rPr>
            </w:pPr>
            <w:r w:rsidRPr="00400859">
              <w:rPr>
                <w:rFonts w:ascii="標楷體" w:eastAsia="標楷體" w:hAnsi="標楷體" w:hint="eastAsia"/>
                <w:szCs w:val="24"/>
              </w:rPr>
              <w:t>考量食品工業為落實改善食品衛生、安全與品質而進行之評估與改進之範疇並不僅限於從業人員、作業場所、設施衛生管理及其品保制度，並參考GRI準則416</w:t>
            </w:r>
            <w:r w:rsidRPr="00400859">
              <w:rPr>
                <w:rFonts w:ascii="標楷體" w:eastAsia="標楷體" w:hAnsi="標楷體" w:hint="eastAsia"/>
                <w:szCs w:val="24"/>
                <w:u w:val="single"/>
              </w:rPr>
              <w:t>「顧客安全與健康」其</w:t>
            </w:r>
            <w:r w:rsidRPr="00400859">
              <w:rPr>
                <w:rFonts w:ascii="標楷體" w:eastAsia="標楷體" w:hAnsi="標楷體" w:hint="eastAsia"/>
                <w:szCs w:val="24"/>
              </w:rPr>
              <w:t>揭露項目416-1</w:t>
            </w:r>
            <w:r w:rsidRPr="00400859">
              <w:rPr>
                <w:rFonts w:ascii="標楷體" w:eastAsia="標楷體" w:hAnsi="標楷體" w:hint="eastAsia"/>
                <w:szCs w:val="24"/>
                <w:u w:val="single"/>
              </w:rPr>
              <w:t>「</w:t>
            </w:r>
            <w:r w:rsidRPr="00400859">
              <w:rPr>
                <w:rFonts w:ascii="標楷體" w:eastAsia="標楷體" w:hAnsi="標楷體" w:hint="eastAsia"/>
                <w:szCs w:val="24"/>
              </w:rPr>
              <w:t>評估產品和服務類別對健康和安全的衝擊</w:t>
            </w:r>
            <w:r w:rsidRPr="00400859">
              <w:rPr>
                <w:rFonts w:ascii="標楷體" w:eastAsia="標楷體" w:hAnsi="標楷體" w:hint="eastAsia"/>
                <w:szCs w:val="24"/>
                <w:u w:val="single"/>
              </w:rPr>
              <w:t>」所訂定之報導要求</w:t>
            </w:r>
            <w:r w:rsidRPr="00400859">
              <w:rPr>
                <w:rFonts w:ascii="標楷體" w:eastAsia="標楷體" w:hAnsi="標楷體" w:hint="eastAsia"/>
                <w:szCs w:val="24"/>
              </w:rPr>
              <w:t>，亦將「服務」對健康和安全的衝擊納入評估，爰修正本條第一項第一款第一目之文字。</w:t>
            </w:r>
          </w:p>
          <w:p w:rsidR="00C218B1" w:rsidRPr="00400859" w:rsidRDefault="00C218B1" w:rsidP="00D23CFA">
            <w:pPr>
              <w:pStyle w:val="a7"/>
              <w:numPr>
                <w:ilvl w:val="0"/>
                <w:numId w:val="1"/>
              </w:numPr>
              <w:spacing w:line="480" w:lineRule="exact"/>
              <w:ind w:leftChars="0"/>
              <w:rPr>
                <w:rFonts w:ascii="標楷體" w:eastAsia="標楷體" w:hAnsi="標楷體"/>
                <w:szCs w:val="24"/>
              </w:rPr>
            </w:pPr>
            <w:r w:rsidRPr="00400859">
              <w:rPr>
                <w:rFonts w:ascii="標楷體" w:eastAsia="標楷體" w:hAnsi="標楷體" w:hint="eastAsia"/>
                <w:szCs w:val="24"/>
                <w:u w:val="single"/>
              </w:rPr>
              <w:t>配合GRI準則之發布，</w:t>
            </w:r>
            <w:r w:rsidRPr="00400859">
              <w:rPr>
                <w:rFonts w:ascii="標楷體" w:eastAsia="標楷體" w:hAnsi="標楷體" w:hint="eastAsia"/>
                <w:szCs w:val="24"/>
              </w:rPr>
              <w:t>考量現行</w:t>
            </w:r>
            <w:r w:rsidRPr="00400859">
              <w:rPr>
                <w:rFonts w:ascii="標楷體" w:eastAsia="標楷體" w:hAnsi="標楷體" w:hint="eastAsia"/>
                <w:szCs w:val="24"/>
                <w:u w:val="single"/>
              </w:rPr>
              <w:t>第一項第一款第二目</w:t>
            </w:r>
            <w:r w:rsidRPr="00400859">
              <w:rPr>
                <w:rFonts w:ascii="標楷體" w:eastAsia="標楷體" w:hAnsi="標楷體" w:hint="eastAsia"/>
                <w:szCs w:val="24"/>
              </w:rPr>
              <w:t>與GRI準則 416</w:t>
            </w:r>
            <w:r w:rsidRPr="00400859">
              <w:rPr>
                <w:rFonts w:ascii="標楷體" w:eastAsia="標楷體" w:hAnsi="標楷體" w:hint="eastAsia"/>
                <w:szCs w:val="24"/>
                <w:u w:val="single"/>
              </w:rPr>
              <w:t>「</w:t>
            </w:r>
            <w:r w:rsidRPr="00400859">
              <w:rPr>
                <w:rFonts w:ascii="標楷體" w:eastAsia="標楷體" w:hAnsi="標楷體" w:hint="eastAsia"/>
                <w:szCs w:val="24"/>
              </w:rPr>
              <w:t>顧客健康與安全</w:t>
            </w:r>
            <w:r w:rsidRPr="00400859">
              <w:rPr>
                <w:rFonts w:ascii="標楷體" w:eastAsia="標楷體" w:hAnsi="標楷體" w:hint="eastAsia"/>
                <w:szCs w:val="24"/>
                <w:u w:val="single"/>
              </w:rPr>
              <w:t>」其</w:t>
            </w:r>
            <w:r w:rsidRPr="00400859">
              <w:rPr>
                <w:rFonts w:ascii="標楷體" w:eastAsia="標楷體" w:hAnsi="標楷體" w:hint="eastAsia"/>
                <w:szCs w:val="24"/>
              </w:rPr>
              <w:t>揭露項目416-2</w:t>
            </w:r>
            <w:r w:rsidRPr="00400859">
              <w:rPr>
                <w:rFonts w:ascii="標楷體" w:eastAsia="標楷體" w:hAnsi="標楷體" w:hint="eastAsia"/>
                <w:szCs w:val="24"/>
                <w:u w:val="single"/>
              </w:rPr>
              <w:t>「</w:t>
            </w:r>
            <w:r w:rsidRPr="00400859">
              <w:rPr>
                <w:rFonts w:ascii="標楷體" w:eastAsia="標楷體" w:hAnsi="標楷體" w:hint="eastAsia"/>
                <w:szCs w:val="24"/>
              </w:rPr>
              <w:t>違反有關產品與服務的健康和安全法規之事件</w:t>
            </w:r>
            <w:r w:rsidRPr="00400859">
              <w:rPr>
                <w:rFonts w:ascii="標楷體" w:eastAsia="標楷體" w:hAnsi="標楷體" w:hint="eastAsia"/>
                <w:szCs w:val="24"/>
                <w:u w:val="single"/>
              </w:rPr>
              <w:t>」</w:t>
            </w:r>
            <w:r w:rsidRPr="00400859">
              <w:rPr>
                <w:rFonts w:ascii="標楷體" w:eastAsia="標楷體" w:hAnsi="標楷體" w:hint="eastAsia"/>
                <w:szCs w:val="24"/>
              </w:rPr>
              <w:t>及GRI準則 417</w:t>
            </w:r>
            <w:r w:rsidRPr="00400859">
              <w:rPr>
                <w:rFonts w:ascii="標楷體" w:eastAsia="標楷體" w:hAnsi="標楷體" w:hint="eastAsia"/>
                <w:szCs w:val="24"/>
                <w:u w:val="single"/>
              </w:rPr>
              <w:t>「</w:t>
            </w:r>
            <w:r w:rsidRPr="00400859">
              <w:rPr>
                <w:rFonts w:ascii="標楷體" w:eastAsia="標楷體" w:hAnsi="標楷體" w:hint="eastAsia"/>
                <w:szCs w:val="24"/>
              </w:rPr>
              <w:t>行銷與標示</w:t>
            </w:r>
            <w:r w:rsidRPr="00400859">
              <w:rPr>
                <w:rFonts w:ascii="標楷體" w:eastAsia="標楷體" w:hAnsi="標楷體" w:hint="eastAsia"/>
                <w:szCs w:val="24"/>
                <w:u w:val="single"/>
              </w:rPr>
              <w:t>」其</w:t>
            </w:r>
            <w:r w:rsidRPr="00400859">
              <w:rPr>
                <w:rFonts w:ascii="標楷體" w:eastAsia="標楷體" w:hAnsi="標楷體" w:hint="eastAsia"/>
                <w:szCs w:val="24"/>
              </w:rPr>
              <w:t>揭露項目417-2</w:t>
            </w:r>
            <w:r w:rsidRPr="00400859">
              <w:rPr>
                <w:rFonts w:ascii="標楷體" w:eastAsia="標楷體" w:hAnsi="標楷體" w:hint="eastAsia"/>
                <w:szCs w:val="24"/>
                <w:u w:val="single"/>
              </w:rPr>
              <w:t>「</w:t>
            </w:r>
            <w:r w:rsidRPr="00400859">
              <w:rPr>
                <w:rFonts w:ascii="標楷體" w:eastAsia="標楷體" w:hAnsi="標楷體" w:hint="eastAsia"/>
                <w:szCs w:val="24"/>
              </w:rPr>
              <w:t>未遵循產品與服務之資訊與標示法規的事件</w:t>
            </w:r>
            <w:r w:rsidRPr="00400859">
              <w:rPr>
                <w:rFonts w:ascii="標楷體" w:eastAsia="標楷體" w:hAnsi="標楷體" w:hint="eastAsia"/>
                <w:szCs w:val="24"/>
                <w:u w:val="single"/>
              </w:rPr>
              <w:t>」所訂定之報導</w:t>
            </w:r>
            <w:r w:rsidRPr="00400859">
              <w:rPr>
                <w:rFonts w:ascii="標楷體" w:eastAsia="標楷體" w:hAnsi="標楷體" w:hint="eastAsia"/>
                <w:szCs w:val="24"/>
              </w:rPr>
              <w:t>要求類似，為</w:t>
            </w:r>
            <w:r w:rsidRPr="00400859">
              <w:rPr>
                <w:rFonts w:ascii="標楷體" w:eastAsia="標楷體" w:hAnsi="標楷體" w:hint="eastAsia"/>
                <w:szCs w:val="24"/>
                <w:u w:val="single"/>
              </w:rPr>
              <w:t>與GRI準則之揭露規定一致</w:t>
            </w:r>
            <w:r w:rsidRPr="00400859">
              <w:rPr>
                <w:rFonts w:ascii="標楷體" w:eastAsia="標楷體" w:hAnsi="標楷體" w:hint="eastAsia"/>
                <w:szCs w:val="24"/>
              </w:rPr>
              <w:t>，爰參考上開揭露項目</w:t>
            </w:r>
            <w:r w:rsidRPr="00400859">
              <w:rPr>
                <w:rFonts w:ascii="標楷體" w:eastAsia="標楷體" w:hAnsi="標楷體" w:hint="eastAsia"/>
                <w:szCs w:val="24"/>
                <w:u w:val="single"/>
              </w:rPr>
              <w:t>之報導要求，</w:t>
            </w:r>
            <w:r w:rsidRPr="00400859">
              <w:rPr>
                <w:rFonts w:ascii="標楷體" w:eastAsia="標楷體" w:hAnsi="標楷體" w:hint="eastAsia"/>
                <w:szCs w:val="24"/>
              </w:rPr>
              <w:t>酌予修正本條第一項第一款第二目。</w:t>
            </w:r>
          </w:p>
          <w:p w:rsidR="00C218B1" w:rsidRPr="00400859" w:rsidRDefault="00C218B1" w:rsidP="00D23CFA">
            <w:pPr>
              <w:pStyle w:val="a7"/>
              <w:numPr>
                <w:ilvl w:val="0"/>
                <w:numId w:val="1"/>
              </w:numPr>
              <w:spacing w:line="480" w:lineRule="exact"/>
              <w:ind w:leftChars="0"/>
              <w:rPr>
                <w:rFonts w:ascii="標楷體" w:eastAsia="標楷體" w:hAnsi="標楷體"/>
                <w:szCs w:val="24"/>
              </w:rPr>
            </w:pPr>
            <w:r w:rsidRPr="00400859">
              <w:rPr>
                <w:rFonts w:ascii="標楷體" w:eastAsia="標楷體" w:hAnsi="標楷體" w:hint="eastAsia"/>
                <w:szCs w:val="24"/>
              </w:rPr>
              <w:t>為與GRI食品業行業揭露FP2「</w:t>
            </w:r>
            <w:r w:rsidRPr="00400859">
              <w:rPr>
                <w:rFonts w:ascii="標楷體" w:eastAsia="標楷體" w:hAnsi="標楷體"/>
                <w:szCs w:val="24"/>
              </w:rPr>
              <w:t>採購符合國際認可之產品責任標準者占整體採購之百分比，並依標準區分</w:t>
            </w:r>
            <w:r w:rsidRPr="00400859">
              <w:rPr>
                <w:rFonts w:ascii="標楷體" w:eastAsia="標楷體" w:hAnsi="標楷體" w:hint="eastAsia"/>
                <w:szCs w:val="24"/>
              </w:rPr>
              <w:t>」之規定一致，本條第一項第一款第三目</w:t>
            </w:r>
            <w:r w:rsidRPr="00400859">
              <w:rPr>
                <w:rFonts w:ascii="標楷體" w:eastAsia="標楷體" w:hAnsi="標楷體" w:hint="eastAsia"/>
                <w:szCs w:val="24"/>
                <w:u w:val="single"/>
              </w:rPr>
              <w:t>增列「</w:t>
            </w:r>
            <w:r w:rsidRPr="00400859">
              <w:rPr>
                <w:rFonts w:ascii="標楷體" w:eastAsia="標楷體" w:hAnsi="標楷體"/>
                <w:szCs w:val="24"/>
                <w:u w:val="single"/>
              </w:rPr>
              <w:t>並依標準區分</w:t>
            </w:r>
            <w:r w:rsidRPr="00400859">
              <w:rPr>
                <w:rFonts w:ascii="標楷體" w:eastAsia="標楷體" w:hAnsi="標楷體" w:hint="eastAsia"/>
                <w:szCs w:val="24"/>
                <w:u w:val="single"/>
              </w:rPr>
              <w:t>」</w:t>
            </w:r>
            <w:r w:rsidRPr="00400859">
              <w:rPr>
                <w:rFonts w:ascii="標楷體" w:eastAsia="標楷體" w:hAnsi="標楷體" w:hint="eastAsia"/>
                <w:szCs w:val="24"/>
              </w:rPr>
              <w:t>文字。</w:t>
            </w:r>
          </w:p>
          <w:p w:rsidR="00C218B1" w:rsidRPr="00400859" w:rsidRDefault="00C218B1" w:rsidP="00D23CFA">
            <w:pPr>
              <w:pStyle w:val="a7"/>
              <w:numPr>
                <w:ilvl w:val="0"/>
                <w:numId w:val="1"/>
              </w:numPr>
              <w:spacing w:line="480" w:lineRule="exact"/>
              <w:ind w:leftChars="0"/>
              <w:rPr>
                <w:rFonts w:ascii="標楷體" w:eastAsia="標楷體" w:hAnsi="標楷體"/>
                <w:szCs w:val="24"/>
              </w:rPr>
            </w:pPr>
            <w:r w:rsidRPr="00400859">
              <w:rPr>
                <w:rFonts w:ascii="標楷體" w:eastAsia="標楷體" w:hAnsi="標楷體" w:cs="新細明體" w:hint="eastAsia"/>
                <w:kern w:val="0"/>
                <w:szCs w:val="24"/>
              </w:rPr>
              <w:t>配合GRI準則之發布，考量現行</w:t>
            </w:r>
            <w:r w:rsidRPr="00400859">
              <w:rPr>
                <w:rFonts w:ascii="標楷體" w:eastAsia="標楷體" w:hAnsi="標楷體" w:hint="eastAsia"/>
                <w:szCs w:val="24"/>
                <w:u w:val="single"/>
              </w:rPr>
              <w:t>第一項第二款內容「</w:t>
            </w:r>
            <w:r w:rsidRPr="00400859">
              <w:rPr>
                <w:rFonts w:ascii="標楷體" w:eastAsia="標楷體" w:hAnsi="標楷體" w:cs="新細明體" w:hint="eastAsia"/>
                <w:kern w:val="0"/>
                <w:szCs w:val="24"/>
              </w:rPr>
              <w:t>化學工業應揭露其供應鏈為降低產品、活動或服務對於環境之負面衝擊，暨為保障員工職業健康與安全，以及利害相關民眾之生命財產安全而採取之具體、有效機制及作為</w:t>
            </w:r>
            <w:r w:rsidRPr="00400859">
              <w:rPr>
                <w:rFonts w:ascii="標楷體" w:eastAsia="標楷體" w:hAnsi="標楷體" w:cs="新細明體" w:hint="eastAsia"/>
                <w:kern w:val="0"/>
                <w:szCs w:val="24"/>
                <w:u w:val="single"/>
              </w:rPr>
              <w:t>」</w:t>
            </w:r>
            <w:r w:rsidRPr="00400859">
              <w:rPr>
                <w:rFonts w:ascii="標楷體" w:eastAsia="標楷體" w:hAnsi="標楷體" w:cs="新細明體" w:hint="eastAsia"/>
                <w:kern w:val="0"/>
                <w:szCs w:val="24"/>
              </w:rPr>
              <w:t>，與GRI準則之重大主題</w:t>
            </w:r>
            <w:r w:rsidR="008F284D" w:rsidRPr="00400859">
              <w:rPr>
                <w:rFonts w:ascii="標楷體" w:eastAsia="標楷體" w:hAnsi="標楷體" w:cs="新細明體" w:hint="eastAsia"/>
                <w:kern w:val="0"/>
                <w:szCs w:val="24"/>
              </w:rPr>
              <w:t>403</w:t>
            </w:r>
            <w:r w:rsidR="008F284D" w:rsidRPr="00400859">
              <w:rPr>
                <w:rFonts w:ascii="標楷體" w:eastAsia="標楷體" w:hAnsi="標楷體" w:hint="eastAsia"/>
                <w:szCs w:val="24"/>
                <w:u w:val="single"/>
              </w:rPr>
              <w:t>「</w:t>
            </w:r>
            <w:r w:rsidR="008F284D" w:rsidRPr="00400859">
              <w:rPr>
                <w:rFonts w:ascii="標楷體" w:eastAsia="標楷體" w:hAnsi="標楷體" w:cs="新細明體"/>
                <w:kern w:val="0"/>
                <w:szCs w:val="24"/>
              </w:rPr>
              <w:t>職業安全衛生</w:t>
            </w:r>
            <w:r w:rsidR="008F284D" w:rsidRPr="00400859">
              <w:rPr>
                <w:rFonts w:ascii="標楷體" w:eastAsia="標楷體" w:hAnsi="標楷體" w:cs="新細明體" w:hint="eastAsia"/>
                <w:kern w:val="0"/>
                <w:szCs w:val="24"/>
                <w:u w:val="single"/>
              </w:rPr>
              <w:t>」、</w:t>
            </w:r>
            <w:r w:rsidR="00F505C1" w:rsidRPr="00400859">
              <w:rPr>
                <w:rFonts w:ascii="標楷體" w:eastAsia="標楷體" w:hAnsi="標楷體" w:cs="新細明體" w:hint="eastAsia"/>
                <w:kern w:val="0"/>
                <w:szCs w:val="24"/>
              </w:rPr>
              <w:t>413</w:t>
            </w:r>
            <w:r w:rsidR="00F505C1" w:rsidRPr="00400859">
              <w:rPr>
                <w:rFonts w:ascii="標楷體" w:eastAsia="標楷體" w:hAnsi="標楷體" w:hint="eastAsia"/>
                <w:szCs w:val="24"/>
                <w:u w:val="single"/>
              </w:rPr>
              <w:t>「</w:t>
            </w:r>
            <w:r w:rsidR="00F505C1" w:rsidRPr="00400859">
              <w:rPr>
                <w:rFonts w:ascii="標楷體" w:eastAsia="標楷體" w:hAnsi="標楷體" w:cs="新細明體"/>
                <w:kern w:val="0"/>
                <w:szCs w:val="24"/>
              </w:rPr>
              <w:t>當地社區</w:t>
            </w:r>
            <w:r w:rsidR="00F505C1" w:rsidRPr="00400859">
              <w:rPr>
                <w:rFonts w:ascii="標楷體" w:eastAsia="標楷體" w:hAnsi="標楷體" w:cs="新細明體" w:hint="eastAsia"/>
                <w:kern w:val="0"/>
                <w:szCs w:val="24"/>
                <w:u w:val="single"/>
              </w:rPr>
              <w:t>」、</w:t>
            </w:r>
            <w:r w:rsidRPr="00400859">
              <w:rPr>
                <w:rFonts w:ascii="標楷體" w:eastAsia="標楷體" w:hAnsi="標楷體" w:cs="新細明體" w:hint="eastAsia"/>
                <w:kern w:val="0"/>
                <w:szCs w:val="24"/>
              </w:rPr>
              <w:t>308</w:t>
            </w:r>
            <w:r w:rsidRPr="00400859">
              <w:rPr>
                <w:rFonts w:ascii="標楷體" w:eastAsia="標楷體" w:hAnsi="標楷體" w:hint="eastAsia"/>
                <w:szCs w:val="24"/>
                <w:u w:val="single"/>
              </w:rPr>
              <w:t>「</w:t>
            </w:r>
            <w:r w:rsidRPr="00400859">
              <w:rPr>
                <w:rFonts w:ascii="標楷體" w:eastAsia="標楷體" w:hAnsi="標楷體" w:cs="新細明體"/>
                <w:kern w:val="0"/>
                <w:szCs w:val="24"/>
              </w:rPr>
              <w:t>供應商環境評估</w:t>
            </w:r>
            <w:r w:rsidRPr="00400859">
              <w:rPr>
                <w:rFonts w:ascii="標楷體" w:eastAsia="標楷體" w:hAnsi="標楷體" w:cs="新細明體" w:hint="eastAsia"/>
                <w:kern w:val="0"/>
                <w:szCs w:val="24"/>
                <w:u w:val="single"/>
              </w:rPr>
              <w:t>」</w:t>
            </w:r>
            <w:r w:rsidR="00F505C1" w:rsidRPr="00400859">
              <w:rPr>
                <w:rFonts w:ascii="標楷體" w:eastAsia="標楷體" w:hAnsi="標楷體" w:cs="新細明體" w:hint="eastAsia"/>
                <w:kern w:val="0"/>
                <w:szCs w:val="24"/>
              </w:rPr>
              <w:t>及</w:t>
            </w:r>
            <w:r w:rsidRPr="00400859">
              <w:rPr>
                <w:rFonts w:ascii="標楷體" w:eastAsia="標楷體" w:hAnsi="標楷體" w:cs="新細明體" w:hint="eastAsia"/>
                <w:kern w:val="0"/>
                <w:szCs w:val="24"/>
              </w:rPr>
              <w:t>414</w:t>
            </w:r>
            <w:r w:rsidRPr="00400859">
              <w:rPr>
                <w:rFonts w:ascii="標楷體" w:eastAsia="標楷體" w:hAnsi="標楷體" w:hint="eastAsia"/>
                <w:szCs w:val="24"/>
                <w:u w:val="single"/>
              </w:rPr>
              <w:t>「</w:t>
            </w:r>
            <w:r w:rsidRPr="00400859">
              <w:rPr>
                <w:rFonts w:ascii="標楷體" w:eastAsia="標楷體" w:hAnsi="標楷體" w:cs="新細明體"/>
                <w:kern w:val="0"/>
                <w:szCs w:val="24"/>
              </w:rPr>
              <w:t>供應商社會評估</w:t>
            </w:r>
            <w:r w:rsidRPr="00400859">
              <w:rPr>
                <w:rFonts w:ascii="標楷體" w:eastAsia="標楷體" w:hAnsi="標楷體" w:cs="新細明體" w:hint="eastAsia"/>
                <w:kern w:val="0"/>
                <w:szCs w:val="24"/>
                <w:u w:val="single"/>
              </w:rPr>
              <w:t>」</w:t>
            </w:r>
            <w:r w:rsidRPr="00400859">
              <w:rPr>
                <w:rFonts w:ascii="標楷體" w:eastAsia="標楷體" w:hAnsi="標楷體" w:cs="新細明體" w:hint="eastAsia"/>
                <w:kern w:val="0"/>
                <w:szCs w:val="24"/>
              </w:rPr>
              <w:t>等揭露要求類似，</w:t>
            </w:r>
            <w:r w:rsidRPr="00400859">
              <w:rPr>
                <w:rFonts w:ascii="標楷體" w:eastAsia="標楷體" w:hAnsi="標楷體" w:hint="eastAsia"/>
                <w:szCs w:val="24"/>
                <w:u w:val="single"/>
              </w:rPr>
              <w:t>為與GRI準則之揭露規定一致，</w:t>
            </w:r>
            <w:r w:rsidRPr="00400859">
              <w:rPr>
                <w:rFonts w:ascii="標楷體" w:eastAsia="標楷體" w:hAnsi="標楷體" w:cs="新細明體" w:hint="eastAsia"/>
                <w:kern w:val="0"/>
                <w:szCs w:val="24"/>
              </w:rPr>
              <w:t>爰修正本條第一項第二款化學工業應揭露內容，應包括上開重大主題之管理方針、揭露項目及其報導要求</w:t>
            </w:r>
            <w:r w:rsidRPr="00400859">
              <w:rPr>
                <w:rFonts w:ascii="標楷體" w:eastAsia="標楷體" w:hAnsi="標楷體" w:cs="新細明體" w:hint="eastAsia"/>
                <w:kern w:val="0"/>
                <w:szCs w:val="24"/>
                <w:u w:val="single"/>
              </w:rPr>
              <w:t>，並增訂第一項第二款第一目至第三目規定，明定依上開重大主題至少應揭露之報導要求。</w:t>
            </w:r>
          </w:p>
          <w:p w:rsidR="009D40D0" w:rsidRPr="00400859" w:rsidRDefault="009D40D0" w:rsidP="009D40D0">
            <w:pPr>
              <w:pStyle w:val="a7"/>
              <w:numPr>
                <w:ilvl w:val="0"/>
                <w:numId w:val="1"/>
              </w:numPr>
              <w:spacing w:line="480" w:lineRule="exact"/>
              <w:ind w:leftChars="0"/>
              <w:rPr>
                <w:rFonts w:ascii="標楷體" w:eastAsia="標楷體" w:hAnsi="標楷體"/>
                <w:szCs w:val="24"/>
              </w:rPr>
            </w:pPr>
            <w:r w:rsidRPr="00400859">
              <w:rPr>
                <w:rFonts w:ascii="標楷體" w:eastAsia="標楷體" w:hAnsi="標楷體" w:hint="eastAsia"/>
                <w:szCs w:val="24"/>
              </w:rPr>
              <w:t>為</w:t>
            </w:r>
            <w:r w:rsidRPr="00400859">
              <w:rPr>
                <w:rFonts w:ascii="標楷體" w:eastAsia="標楷體" w:hAnsi="標楷體" w:hint="eastAsia"/>
                <w:szCs w:val="24"/>
                <w:u w:val="single"/>
              </w:rPr>
              <w:t>促使</w:t>
            </w:r>
            <w:r w:rsidRPr="00400859">
              <w:rPr>
                <w:rFonts w:ascii="標楷體" w:eastAsia="標楷體" w:hAnsi="標楷體" w:hint="eastAsia"/>
                <w:szCs w:val="24"/>
              </w:rPr>
              <w:t>化學工業</w:t>
            </w:r>
            <w:r w:rsidRPr="00400859">
              <w:rPr>
                <w:rFonts w:ascii="標楷體" w:eastAsia="標楷體" w:hAnsi="標楷體" w:hint="eastAsia"/>
                <w:szCs w:val="24"/>
                <w:u w:val="single"/>
              </w:rPr>
              <w:t>重視員工職業健康與安全</w:t>
            </w:r>
            <w:r w:rsidRPr="00400859">
              <w:rPr>
                <w:rFonts w:ascii="標楷體" w:eastAsia="標楷體" w:hAnsi="標楷體" w:hint="eastAsia"/>
                <w:szCs w:val="24"/>
              </w:rPr>
              <w:t>，貫徹實施職業健康與安全標準，參考GRI準則 403</w:t>
            </w:r>
            <w:r w:rsidRPr="00400859">
              <w:rPr>
                <w:rFonts w:ascii="標楷體" w:eastAsia="標楷體" w:hAnsi="標楷體" w:hint="eastAsia"/>
                <w:szCs w:val="24"/>
                <w:u w:val="single"/>
              </w:rPr>
              <w:t>「</w:t>
            </w:r>
            <w:r w:rsidRPr="00400859">
              <w:rPr>
                <w:rFonts w:ascii="標楷體" w:eastAsia="標楷體" w:hAnsi="標楷體" w:hint="eastAsia"/>
                <w:szCs w:val="24"/>
              </w:rPr>
              <w:t>職業安全衛生</w:t>
            </w:r>
            <w:r w:rsidRPr="00400859">
              <w:rPr>
                <w:rFonts w:ascii="標楷體" w:eastAsia="標楷體" w:hAnsi="標楷體" w:cs="新細明體" w:hint="eastAsia"/>
                <w:kern w:val="0"/>
                <w:szCs w:val="24"/>
                <w:u w:val="single"/>
              </w:rPr>
              <w:t>」其揭露項目403-2</w:t>
            </w:r>
            <w:r w:rsidRPr="00400859">
              <w:rPr>
                <w:rFonts w:ascii="標楷體" w:eastAsia="標楷體" w:hAnsi="標楷體" w:hint="eastAsia"/>
                <w:szCs w:val="24"/>
                <w:u w:val="single"/>
              </w:rPr>
              <w:t>「</w:t>
            </w:r>
            <w:r w:rsidRPr="00400859">
              <w:rPr>
                <w:rFonts w:ascii="標楷體" w:eastAsia="標楷體" w:hAnsi="標楷體" w:cs="新細明體" w:hint="eastAsia"/>
                <w:kern w:val="0"/>
                <w:szCs w:val="24"/>
                <w:u w:val="single"/>
              </w:rPr>
              <w:t>傷害類別，傷害、職業病、損工日數、缺勤等比率，以及因公死亡件數」</w:t>
            </w:r>
            <w:r w:rsidRPr="00400859">
              <w:rPr>
                <w:rFonts w:ascii="標楷體" w:eastAsia="標楷體" w:hAnsi="標楷體" w:hint="eastAsia"/>
                <w:szCs w:val="24"/>
                <w:u w:val="single"/>
              </w:rPr>
              <w:t>所訂定</w:t>
            </w:r>
            <w:r w:rsidRPr="00400859">
              <w:rPr>
                <w:rFonts w:ascii="標楷體" w:eastAsia="標楷體" w:hAnsi="標楷體" w:hint="eastAsia"/>
                <w:szCs w:val="24"/>
              </w:rPr>
              <w:t>之報導要求，增訂</w:t>
            </w:r>
            <w:r w:rsidRPr="00400859">
              <w:rPr>
                <w:rFonts w:ascii="標楷體" w:eastAsia="標楷體" w:hAnsi="標楷體" w:cs="新細明體" w:hint="eastAsia"/>
                <w:kern w:val="0"/>
                <w:szCs w:val="24"/>
              </w:rPr>
              <w:t>本條第一項第二款第</w:t>
            </w:r>
            <w:r w:rsidRPr="00400859">
              <w:rPr>
                <w:rFonts w:ascii="標楷體" w:eastAsia="標楷體" w:hAnsi="標楷體" w:cs="新細明體" w:hint="eastAsia"/>
                <w:kern w:val="0"/>
                <w:szCs w:val="24"/>
                <w:u w:val="single"/>
              </w:rPr>
              <w:t>一</w:t>
            </w:r>
            <w:r w:rsidRPr="00400859">
              <w:rPr>
                <w:rFonts w:ascii="標楷體" w:eastAsia="標楷體" w:hAnsi="標楷體" w:hint="eastAsia"/>
                <w:szCs w:val="24"/>
              </w:rPr>
              <w:t>目。</w:t>
            </w:r>
          </w:p>
          <w:p w:rsidR="00017F03" w:rsidRPr="00400859" w:rsidRDefault="00017F03" w:rsidP="00017F03">
            <w:pPr>
              <w:pStyle w:val="a7"/>
              <w:numPr>
                <w:ilvl w:val="0"/>
                <w:numId w:val="1"/>
              </w:numPr>
              <w:spacing w:line="480" w:lineRule="exact"/>
              <w:ind w:leftChars="0"/>
              <w:rPr>
                <w:rFonts w:ascii="標楷體" w:eastAsia="標楷體" w:hAnsi="標楷體" w:cs="新細明體"/>
                <w:kern w:val="0"/>
                <w:szCs w:val="24"/>
              </w:rPr>
            </w:pPr>
            <w:r w:rsidRPr="00400859">
              <w:rPr>
                <w:rFonts w:ascii="標楷體" w:eastAsia="標楷體" w:hAnsi="標楷體" w:hint="eastAsia"/>
                <w:szCs w:val="24"/>
              </w:rPr>
              <w:t>為加強化學工業考</w:t>
            </w:r>
            <w:r w:rsidRPr="00400859">
              <w:rPr>
                <w:rFonts w:ascii="標楷體" w:eastAsia="標楷體" w:hAnsi="標楷體" w:hint="eastAsia"/>
                <w:szCs w:val="24"/>
                <w:u w:val="single"/>
              </w:rPr>
              <w:t>量其</w:t>
            </w:r>
            <w:r w:rsidRPr="00400859">
              <w:rPr>
                <w:rFonts w:ascii="標楷體" w:eastAsia="標楷體" w:hAnsi="標楷體" w:hint="eastAsia"/>
                <w:szCs w:val="24"/>
              </w:rPr>
              <w:t>整體營運對當地社區之影響，參考GRI準則 413</w:t>
            </w:r>
            <w:r w:rsidRPr="00400859">
              <w:rPr>
                <w:rFonts w:ascii="標楷體" w:eastAsia="標楷體" w:hAnsi="標楷體" w:hint="eastAsia"/>
                <w:szCs w:val="24"/>
                <w:u w:val="single"/>
              </w:rPr>
              <w:t>「</w:t>
            </w:r>
            <w:r w:rsidRPr="00400859">
              <w:rPr>
                <w:rFonts w:ascii="標楷體" w:eastAsia="標楷體" w:hAnsi="標楷體" w:hint="eastAsia"/>
                <w:szCs w:val="24"/>
              </w:rPr>
              <w:t>當地社區</w:t>
            </w:r>
            <w:r w:rsidRPr="00400859">
              <w:rPr>
                <w:rFonts w:ascii="標楷體" w:eastAsia="標楷體" w:hAnsi="標楷體" w:cs="新細明體" w:hint="eastAsia"/>
                <w:kern w:val="0"/>
                <w:szCs w:val="24"/>
                <w:u w:val="single"/>
              </w:rPr>
              <w:t>」其揭露項目413-2「</w:t>
            </w:r>
            <w:r w:rsidRPr="00400859">
              <w:rPr>
                <w:rFonts w:ascii="標楷體" w:eastAsia="標楷體" w:hAnsi="標楷體" w:cs="新細明體"/>
                <w:kern w:val="0"/>
                <w:szCs w:val="24"/>
                <w:u w:val="single"/>
              </w:rPr>
              <w:t>對當地社區具有顯著實際或潛在負面衝擊的營運活動</w:t>
            </w:r>
            <w:r w:rsidRPr="00400859">
              <w:rPr>
                <w:rFonts w:ascii="標楷體" w:eastAsia="標楷體" w:hAnsi="標楷體" w:cs="新細明體" w:hint="eastAsia"/>
                <w:kern w:val="0"/>
                <w:szCs w:val="24"/>
                <w:u w:val="single"/>
              </w:rPr>
              <w:t>」</w:t>
            </w:r>
            <w:r w:rsidRPr="00400859">
              <w:rPr>
                <w:rFonts w:ascii="標楷體" w:eastAsia="標楷體" w:hAnsi="標楷體" w:hint="eastAsia"/>
                <w:szCs w:val="24"/>
                <w:u w:val="single"/>
              </w:rPr>
              <w:t>所訂定</w:t>
            </w:r>
            <w:r w:rsidRPr="00400859">
              <w:rPr>
                <w:rFonts w:ascii="標楷體" w:eastAsia="標楷體" w:hAnsi="標楷體" w:hint="eastAsia"/>
                <w:szCs w:val="24"/>
              </w:rPr>
              <w:t>之報導要求，增訂</w:t>
            </w:r>
            <w:r w:rsidRPr="00400859">
              <w:rPr>
                <w:rFonts w:ascii="標楷體" w:eastAsia="標楷體" w:hAnsi="標楷體" w:cs="新細明體" w:hint="eastAsia"/>
                <w:kern w:val="0"/>
                <w:szCs w:val="24"/>
              </w:rPr>
              <w:t>本條第一項第二款第</w:t>
            </w:r>
            <w:r w:rsidRPr="00400859">
              <w:rPr>
                <w:rFonts w:ascii="標楷體" w:eastAsia="標楷體" w:hAnsi="標楷體" w:cs="新細明體" w:hint="eastAsia"/>
                <w:kern w:val="0"/>
                <w:szCs w:val="24"/>
                <w:u w:val="single"/>
              </w:rPr>
              <w:t>二</w:t>
            </w:r>
            <w:r w:rsidRPr="00400859">
              <w:rPr>
                <w:rFonts w:ascii="標楷體" w:eastAsia="標楷體" w:hAnsi="標楷體" w:hint="eastAsia"/>
                <w:szCs w:val="24"/>
              </w:rPr>
              <w:t>目。</w:t>
            </w:r>
          </w:p>
          <w:p w:rsidR="00C218B1" w:rsidRPr="00400859" w:rsidRDefault="00C218B1" w:rsidP="00D23CFA">
            <w:pPr>
              <w:pStyle w:val="a7"/>
              <w:numPr>
                <w:ilvl w:val="0"/>
                <w:numId w:val="1"/>
              </w:numPr>
              <w:spacing w:line="480" w:lineRule="exact"/>
              <w:ind w:leftChars="0"/>
              <w:rPr>
                <w:rFonts w:ascii="標楷體" w:eastAsia="標楷體" w:hAnsi="標楷體"/>
                <w:szCs w:val="24"/>
              </w:rPr>
            </w:pPr>
            <w:r w:rsidRPr="00400859">
              <w:rPr>
                <w:rFonts w:ascii="標楷體" w:eastAsia="標楷體" w:hAnsi="標楷體" w:hint="eastAsia"/>
                <w:szCs w:val="24"/>
              </w:rPr>
              <w:t>為</w:t>
            </w:r>
            <w:r w:rsidRPr="00400859">
              <w:rPr>
                <w:rFonts w:ascii="標楷體" w:eastAsia="標楷體" w:hAnsi="標楷體" w:hint="eastAsia"/>
                <w:szCs w:val="24"/>
                <w:u w:val="single"/>
              </w:rPr>
              <w:t>促使</w:t>
            </w:r>
            <w:r w:rsidRPr="00400859">
              <w:rPr>
                <w:rFonts w:ascii="標楷體" w:eastAsia="標楷體" w:hAnsi="標楷體" w:hint="eastAsia"/>
                <w:szCs w:val="24"/>
              </w:rPr>
              <w:t>化學工業</w:t>
            </w:r>
            <w:r w:rsidRPr="00400859">
              <w:rPr>
                <w:rFonts w:ascii="標楷體" w:eastAsia="標楷體" w:hAnsi="標楷體" w:hint="eastAsia"/>
                <w:szCs w:val="24"/>
                <w:u w:val="single"/>
              </w:rPr>
              <w:t>重視其</w:t>
            </w:r>
            <w:r w:rsidRPr="00400859">
              <w:rPr>
                <w:rFonts w:ascii="標楷體" w:eastAsia="標楷體" w:hAnsi="標楷體" w:hint="eastAsia"/>
                <w:szCs w:val="24"/>
              </w:rPr>
              <w:t>本身及供應鏈</w:t>
            </w:r>
            <w:r w:rsidRPr="00400859">
              <w:rPr>
                <w:rFonts w:ascii="標楷體" w:eastAsia="標楷體" w:hAnsi="標楷體" w:hint="eastAsia"/>
                <w:szCs w:val="24"/>
                <w:u w:val="single"/>
              </w:rPr>
              <w:t>之</w:t>
            </w:r>
            <w:r w:rsidRPr="00400859">
              <w:rPr>
                <w:rFonts w:ascii="標楷體" w:eastAsia="標楷體" w:hAnsi="標楷體" w:hint="eastAsia"/>
                <w:szCs w:val="24"/>
              </w:rPr>
              <w:t>營運減少對環境或社會之衝擊，參考GRI準則 308</w:t>
            </w:r>
            <w:r w:rsidRPr="00400859">
              <w:rPr>
                <w:rFonts w:ascii="標楷體" w:eastAsia="標楷體" w:hAnsi="標楷體" w:hint="eastAsia"/>
                <w:szCs w:val="24"/>
                <w:u w:val="single"/>
              </w:rPr>
              <w:t>「</w:t>
            </w:r>
            <w:r w:rsidRPr="00400859">
              <w:rPr>
                <w:rFonts w:ascii="標楷體" w:eastAsia="標楷體" w:hAnsi="標楷體" w:hint="eastAsia"/>
                <w:szCs w:val="24"/>
              </w:rPr>
              <w:t>供應商環境評估</w:t>
            </w:r>
            <w:r w:rsidRPr="00400859">
              <w:rPr>
                <w:rFonts w:ascii="標楷體" w:eastAsia="標楷體" w:hAnsi="標楷體" w:cs="新細明體" w:hint="eastAsia"/>
                <w:kern w:val="0"/>
                <w:szCs w:val="24"/>
                <w:u w:val="single"/>
              </w:rPr>
              <w:t>」</w:t>
            </w:r>
            <w:r w:rsidRPr="00400859">
              <w:rPr>
                <w:rFonts w:ascii="標楷體" w:eastAsia="標楷體" w:hAnsi="標楷體" w:hint="eastAsia"/>
                <w:szCs w:val="24"/>
                <w:u w:val="single"/>
              </w:rPr>
              <w:t>其</w:t>
            </w:r>
            <w:r w:rsidRPr="00400859">
              <w:rPr>
                <w:rFonts w:ascii="標楷體" w:eastAsia="標楷體" w:hAnsi="標楷體" w:hint="eastAsia"/>
                <w:szCs w:val="24"/>
              </w:rPr>
              <w:t>揭露項目308-2「供應鏈對環境的負面衝擊，以及所採取的行動」</w:t>
            </w:r>
            <w:r w:rsidRPr="00400859">
              <w:rPr>
                <w:rFonts w:ascii="標楷體" w:eastAsia="標楷體" w:hAnsi="標楷體" w:hint="eastAsia"/>
                <w:szCs w:val="24"/>
                <w:u w:val="single"/>
              </w:rPr>
              <w:t>及</w:t>
            </w:r>
            <w:r w:rsidRPr="00400859">
              <w:rPr>
                <w:rFonts w:ascii="標楷體" w:eastAsia="標楷體" w:hAnsi="標楷體" w:hint="eastAsia"/>
                <w:szCs w:val="24"/>
              </w:rPr>
              <w:t>414</w:t>
            </w:r>
            <w:r w:rsidRPr="00400859">
              <w:rPr>
                <w:rFonts w:ascii="標楷體" w:eastAsia="標楷體" w:hAnsi="標楷體" w:hint="eastAsia"/>
                <w:szCs w:val="24"/>
                <w:u w:val="single"/>
              </w:rPr>
              <w:t>「</w:t>
            </w:r>
            <w:r w:rsidRPr="00400859">
              <w:rPr>
                <w:rFonts w:ascii="標楷體" w:eastAsia="標楷體" w:hAnsi="標楷體" w:hint="eastAsia"/>
                <w:szCs w:val="24"/>
              </w:rPr>
              <w:t>供應商社會評估</w:t>
            </w:r>
            <w:r w:rsidRPr="00400859">
              <w:rPr>
                <w:rFonts w:ascii="標楷體" w:eastAsia="標楷體" w:hAnsi="標楷體" w:cs="新細明體" w:hint="eastAsia"/>
                <w:kern w:val="0"/>
                <w:szCs w:val="24"/>
                <w:u w:val="single"/>
              </w:rPr>
              <w:t>」</w:t>
            </w:r>
            <w:r w:rsidRPr="00400859">
              <w:rPr>
                <w:rFonts w:ascii="標楷體" w:eastAsia="標楷體" w:hAnsi="標楷體" w:hint="eastAsia"/>
                <w:szCs w:val="24"/>
                <w:u w:val="single"/>
              </w:rPr>
              <w:t>其</w:t>
            </w:r>
            <w:r w:rsidRPr="00400859">
              <w:rPr>
                <w:rFonts w:ascii="標楷體" w:eastAsia="標楷體" w:hAnsi="標楷體" w:hint="eastAsia"/>
                <w:szCs w:val="24"/>
              </w:rPr>
              <w:t>揭露項目414-2「供應鏈中負面的社會衝擊以及所採取的行動」</w:t>
            </w:r>
            <w:r w:rsidRPr="00400859">
              <w:rPr>
                <w:rFonts w:ascii="標楷體" w:eastAsia="標楷體" w:hAnsi="標楷體" w:hint="eastAsia"/>
                <w:szCs w:val="24"/>
                <w:u w:val="single"/>
              </w:rPr>
              <w:t>所訂定之報導要求</w:t>
            </w:r>
            <w:r w:rsidRPr="00400859">
              <w:rPr>
                <w:rFonts w:ascii="標楷體" w:eastAsia="標楷體" w:hAnsi="標楷體" w:hint="eastAsia"/>
                <w:szCs w:val="24"/>
              </w:rPr>
              <w:t>，增訂</w:t>
            </w:r>
            <w:r w:rsidRPr="00400859">
              <w:rPr>
                <w:rFonts w:ascii="標楷體" w:eastAsia="標楷體" w:hAnsi="標楷體" w:cs="新細明體" w:hint="eastAsia"/>
                <w:kern w:val="0"/>
                <w:szCs w:val="24"/>
              </w:rPr>
              <w:t>本條第一項第二款第</w:t>
            </w:r>
            <w:r w:rsidR="00017F03" w:rsidRPr="00400859">
              <w:rPr>
                <w:rFonts w:ascii="標楷體" w:eastAsia="標楷體" w:hAnsi="標楷體" w:cs="新細明體" w:hint="eastAsia"/>
                <w:kern w:val="0"/>
                <w:szCs w:val="24"/>
                <w:u w:val="single"/>
              </w:rPr>
              <w:t>三</w:t>
            </w:r>
            <w:r w:rsidRPr="00400859">
              <w:rPr>
                <w:rFonts w:ascii="標楷體" w:eastAsia="標楷體" w:hAnsi="標楷體" w:hint="eastAsia"/>
                <w:szCs w:val="24"/>
              </w:rPr>
              <w:t>目。</w:t>
            </w:r>
          </w:p>
          <w:p w:rsidR="00355DEB" w:rsidRPr="00400859" w:rsidRDefault="00355DEB" w:rsidP="00EB3B2F">
            <w:pPr>
              <w:pStyle w:val="a7"/>
              <w:numPr>
                <w:ilvl w:val="0"/>
                <w:numId w:val="1"/>
              </w:numPr>
              <w:tabs>
                <w:tab w:val="left" w:pos="677"/>
              </w:tabs>
              <w:spacing w:line="480" w:lineRule="exact"/>
              <w:ind w:leftChars="0"/>
              <w:rPr>
                <w:rFonts w:ascii="標楷體" w:eastAsia="標楷體" w:hAnsi="標楷體"/>
                <w:szCs w:val="24"/>
              </w:rPr>
            </w:pPr>
            <w:r w:rsidRPr="00400859">
              <w:rPr>
                <w:rFonts w:ascii="標楷體" w:eastAsia="標楷體" w:hAnsi="標楷體" w:hint="eastAsia"/>
                <w:szCs w:val="24"/>
                <w:u w:val="single"/>
              </w:rPr>
              <w:t>考量現行第一項第三款內容實屬推動永續金融之議題，且</w:t>
            </w:r>
            <w:r w:rsidR="00BC4F24" w:rsidRPr="00400859">
              <w:rPr>
                <w:rFonts w:ascii="標楷體" w:eastAsia="標楷體" w:hAnsi="標楷體" w:hint="eastAsia"/>
                <w:szCs w:val="24"/>
                <w:u w:val="single"/>
              </w:rPr>
              <w:t>推動永續金融並不限於</w:t>
            </w:r>
            <w:r w:rsidRPr="00400859">
              <w:rPr>
                <w:rFonts w:ascii="標楷體" w:eastAsia="標楷體" w:hAnsi="標楷體" w:hint="eastAsia"/>
                <w:szCs w:val="24"/>
                <w:u w:val="single"/>
              </w:rPr>
              <w:t>鼓勵與關注客</w:t>
            </w:r>
            <w:r w:rsidR="00BC4F24" w:rsidRPr="00400859">
              <w:rPr>
                <w:rFonts w:ascii="標楷體" w:eastAsia="標楷體" w:hAnsi="標楷體" w:hint="eastAsia"/>
                <w:szCs w:val="24"/>
                <w:u w:val="single"/>
              </w:rPr>
              <w:t>戶或其他往來對象遵循金融保險業者對環境面和社會面要求之作業流程</w:t>
            </w:r>
            <w:r w:rsidRPr="00400859">
              <w:rPr>
                <w:rFonts w:ascii="標楷體" w:eastAsia="標楷體" w:hAnsi="標楷體" w:hint="eastAsia"/>
                <w:szCs w:val="24"/>
                <w:u w:val="single"/>
              </w:rPr>
              <w:t>，</w:t>
            </w:r>
            <w:r w:rsidR="00EB3B2F" w:rsidRPr="00400859">
              <w:rPr>
                <w:rFonts w:ascii="標楷體" w:eastAsia="標楷體" w:hAnsi="標楷體" w:hint="eastAsia"/>
                <w:szCs w:val="24"/>
                <w:u w:val="single"/>
              </w:rPr>
              <w:t>爰</w:t>
            </w:r>
            <w:r w:rsidRPr="00400859">
              <w:rPr>
                <w:rFonts w:ascii="標楷體" w:eastAsia="標楷體" w:hAnsi="標楷體" w:hint="eastAsia"/>
                <w:szCs w:val="24"/>
                <w:u w:val="single"/>
              </w:rPr>
              <w:t>參考GRI金融業行業揭露FS7「各經營業務為創造社會效益所設計的產品與服務」及FS8</w:t>
            </w:r>
            <w:r w:rsidR="00296BCE" w:rsidRPr="00400859">
              <w:rPr>
                <w:rFonts w:ascii="標楷體" w:eastAsia="標楷體" w:hAnsi="標楷體" w:hint="eastAsia"/>
                <w:szCs w:val="24"/>
                <w:u w:val="single"/>
              </w:rPr>
              <w:t>「各經營業務為創造環境效益所設計的產品與服務」之揭露內容，</w:t>
            </w:r>
            <w:r w:rsidRPr="00400859">
              <w:rPr>
                <w:rFonts w:ascii="標楷體" w:eastAsia="標楷體" w:hAnsi="標楷體" w:hint="eastAsia"/>
                <w:szCs w:val="24"/>
                <w:u w:val="single"/>
              </w:rPr>
              <w:t>修正本條第一項第三款。</w:t>
            </w:r>
          </w:p>
          <w:p w:rsidR="00C218B1" w:rsidRPr="00400859" w:rsidRDefault="00C218B1" w:rsidP="00355DEB">
            <w:pPr>
              <w:pStyle w:val="a7"/>
              <w:numPr>
                <w:ilvl w:val="0"/>
                <w:numId w:val="1"/>
              </w:numPr>
              <w:tabs>
                <w:tab w:val="left" w:pos="677"/>
              </w:tabs>
              <w:spacing w:line="480" w:lineRule="exact"/>
              <w:ind w:leftChars="0"/>
              <w:rPr>
                <w:rFonts w:ascii="標楷體" w:eastAsia="標楷體" w:hAnsi="標楷體"/>
                <w:szCs w:val="24"/>
              </w:rPr>
            </w:pPr>
            <w:r w:rsidRPr="00400859">
              <w:rPr>
                <w:rFonts w:ascii="標楷體" w:eastAsia="標楷體" w:hAnsi="標楷體" w:hint="eastAsia"/>
                <w:kern w:val="0"/>
                <w:szCs w:val="24"/>
              </w:rPr>
              <w:t>上市公司於爭取營運績效表現之際，應重視員工權益，提升基層員工薪資待遇、促進勞資雙贏，落實企業社會責任，參考「臺灣證券交易所股份有限公司對有價證券上市公司及境外指數股票型基金上市之境外基金機構資訊申報作業辦法」第3條第1項第31款所訂「員工福利政策及權益維護措施」</w:t>
            </w:r>
            <w:r w:rsidRPr="00400859">
              <w:rPr>
                <w:rFonts w:ascii="標楷體" w:eastAsia="標楷體" w:hAnsi="標楷體" w:hint="eastAsia"/>
                <w:kern w:val="0"/>
                <w:szCs w:val="24"/>
                <w:u w:val="single"/>
              </w:rPr>
              <w:t>規定</w:t>
            </w:r>
            <w:r w:rsidRPr="00400859">
              <w:rPr>
                <w:rFonts w:ascii="標楷體" w:eastAsia="標楷體" w:hAnsi="標楷體" w:hint="eastAsia"/>
                <w:kern w:val="0"/>
                <w:szCs w:val="24"/>
              </w:rPr>
              <w:t>，</w:t>
            </w:r>
            <w:r w:rsidRPr="00400859">
              <w:rPr>
                <w:rFonts w:ascii="標楷體" w:eastAsia="標楷體" w:hAnsi="標楷體" w:hint="eastAsia"/>
                <w:szCs w:val="24"/>
                <w:u w:val="single"/>
              </w:rPr>
              <w:t>增列本條第一項第四款，並配合</w:t>
            </w:r>
            <w:r w:rsidRPr="00400859">
              <w:rPr>
                <w:rFonts w:ascii="標楷體" w:eastAsia="標楷體" w:hAnsi="標楷體" w:hint="eastAsia"/>
                <w:kern w:val="0"/>
                <w:szCs w:val="24"/>
              </w:rPr>
              <w:t>刪除</w:t>
            </w:r>
            <w:r w:rsidRPr="00400859">
              <w:rPr>
                <w:rFonts w:ascii="標楷體" w:eastAsia="標楷體" w:hAnsi="標楷體" w:hint="eastAsia"/>
                <w:szCs w:val="24"/>
              </w:rPr>
              <w:t>本條第一項第三款第二目</w:t>
            </w:r>
            <w:r w:rsidRPr="00400859">
              <w:rPr>
                <w:rFonts w:ascii="標楷體" w:eastAsia="標楷體" w:hAnsi="標楷體" w:hint="eastAsia"/>
                <w:kern w:val="0"/>
                <w:szCs w:val="24"/>
              </w:rPr>
              <w:t>。</w:t>
            </w:r>
          </w:p>
        </w:tc>
      </w:tr>
      <w:tr w:rsidR="00400859" w:rsidRPr="00400859" w:rsidTr="00C218B1">
        <w:trPr>
          <w:trHeight w:val="488"/>
        </w:trPr>
        <w:tc>
          <w:tcPr>
            <w:tcW w:w="1667" w:type="pct"/>
            <w:shd w:val="clear" w:color="auto" w:fill="FFFFFF" w:themeFill="background1"/>
          </w:tcPr>
          <w:p w:rsidR="00C218B1" w:rsidRPr="00400859" w:rsidRDefault="00C218B1" w:rsidP="00D23CFA">
            <w:pPr>
              <w:spacing w:line="480" w:lineRule="exact"/>
              <w:rPr>
                <w:rFonts w:ascii="標楷體" w:eastAsia="標楷體" w:hAnsi="標楷體"/>
                <w:szCs w:val="24"/>
              </w:rPr>
            </w:pPr>
            <w:r w:rsidRPr="00400859">
              <w:rPr>
                <w:rFonts w:ascii="標楷體" w:eastAsia="標楷體" w:hAnsi="標楷體" w:hint="eastAsia"/>
                <w:szCs w:val="24"/>
              </w:rPr>
              <w:t>第五條</w:t>
            </w:r>
          </w:p>
          <w:p w:rsidR="00C218B1" w:rsidRPr="00400859" w:rsidRDefault="00C218B1" w:rsidP="00D23CFA">
            <w:pPr>
              <w:spacing w:line="480" w:lineRule="exact"/>
              <w:rPr>
                <w:rFonts w:ascii="標楷體" w:eastAsia="標楷體" w:hAnsi="標楷體"/>
                <w:szCs w:val="24"/>
              </w:rPr>
            </w:pPr>
            <w:r w:rsidRPr="00400859">
              <w:rPr>
                <w:rFonts w:ascii="標楷體" w:eastAsia="標楷體" w:hAnsi="標楷體" w:hint="eastAsia"/>
                <w:szCs w:val="24"/>
              </w:rPr>
              <w:t>食品工業及第二條第一項第二款之上市公司編製之企業社會責任報告書，應取得會計師依財團法人中華民國會計研究發展基金會發布之準則所出具之意見書，且其範圍應包含第四條第一項第一款規定所揭露之</w:t>
            </w:r>
            <w:r w:rsidRPr="00400859">
              <w:rPr>
                <w:rFonts w:ascii="標楷體" w:eastAsia="標楷體" w:hAnsi="標楷體" w:hint="eastAsia"/>
                <w:szCs w:val="24"/>
                <w:u w:val="single"/>
              </w:rPr>
              <w:t>報導要求</w:t>
            </w:r>
            <w:r w:rsidRPr="00400859">
              <w:rPr>
                <w:rFonts w:ascii="標楷體" w:eastAsia="標楷體" w:hAnsi="標楷體" w:hint="eastAsia"/>
                <w:szCs w:val="24"/>
              </w:rPr>
              <w:t>。</w:t>
            </w:r>
          </w:p>
          <w:p w:rsidR="00C218B1" w:rsidRPr="00400859" w:rsidRDefault="00C218B1" w:rsidP="00D23CFA">
            <w:pPr>
              <w:spacing w:line="480" w:lineRule="exact"/>
              <w:rPr>
                <w:rFonts w:ascii="標楷體" w:eastAsia="標楷體" w:hAnsi="標楷體"/>
                <w:szCs w:val="24"/>
              </w:rPr>
            </w:pPr>
            <w:r w:rsidRPr="00400859">
              <w:rPr>
                <w:rFonts w:ascii="標楷體" w:eastAsia="標楷體" w:hAnsi="標楷體" w:hint="eastAsia"/>
                <w:szCs w:val="24"/>
              </w:rPr>
              <w:t>符合第二條第一項規定之上市公司，應於每年六月三十日前將企業社會責任報告書及該報告書檔案置於公司網站之連結，申報至本公司指定之網際網路資訊申報系統。但最近一年未編製或未參考全球永續性報告協會發布之</w:t>
            </w:r>
            <w:r w:rsidRPr="00400859">
              <w:rPr>
                <w:rFonts w:ascii="標楷體" w:eastAsia="標楷體" w:hAnsi="標楷體" w:hint="eastAsia"/>
                <w:bCs/>
                <w:szCs w:val="24"/>
                <w:u w:val="single"/>
              </w:rPr>
              <w:t>準則</w:t>
            </w:r>
            <w:r w:rsidRPr="00400859">
              <w:rPr>
                <w:rFonts w:ascii="標楷體" w:eastAsia="標楷體" w:hAnsi="標楷體" w:hint="eastAsia"/>
                <w:szCs w:val="24"/>
              </w:rPr>
              <w:t>編製企業社會責任報告書者，或企業社會責任報告書經會計師依照前項準則出具意見書者，得延至</w:t>
            </w:r>
            <w:r w:rsidRPr="00400859">
              <w:rPr>
                <w:rFonts w:ascii="標楷體" w:eastAsia="標楷體" w:hAnsi="標楷體" w:hint="eastAsia"/>
                <w:bCs/>
                <w:szCs w:val="24"/>
                <w:u w:val="single"/>
              </w:rPr>
              <w:t>九</w:t>
            </w:r>
            <w:r w:rsidRPr="00400859">
              <w:rPr>
                <w:rFonts w:ascii="標楷體" w:eastAsia="標楷體" w:hAnsi="標楷體" w:hint="eastAsia"/>
                <w:bCs/>
                <w:szCs w:val="24"/>
              </w:rPr>
              <w:t>月</w:t>
            </w:r>
            <w:r w:rsidRPr="00400859">
              <w:rPr>
                <w:rFonts w:ascii="標楷體" w:eastAsia="標楷體" w:hAnsi="標楷體" w:hint="eastAsia"/>
                <w:bCs/>
                <w:szCs w:val="24"/>
                <w:u w:val="single"/>
              </w:rPr>
              <w:t>三十</w:t>
            </w:r>
            <w:r w:rsidRPr="00400859">
              <w:rPr>
                <w:rFonts w:ascii="標楷體" w:eastAsia="標楷體" w:hAnsi="標楷體" w:hint="eastAsia"/>
                <w:bCs/>
                <w:szCs w:val="24"/>
              </w:rPr>
              <w:t>日</w:t>
            </w:r>
            <w:r w:rsidRPr="00400859">
              <w:rPr>
                <w:rFonts w:ascii="標楷體" w:eastAsia="標楷體" w:hAnsi="標楷體" w:hint="eastAsia"/>
                <w:szCs w:val="24"/>
              </w:rPr>
              <w:t>完成申報。</w:t>
            </w:r>
          </w:p>
        </w:tc>
        <w:tc>
          <w:tcPr>
            <w:tcW w:w="1667" w:type="pct"/>
            <w:shd w:val="clear" w:color="auto" w:fill="FFFFFF" w:themeFill="background1"/>
          </w:tcPr>
          <w:p w:rsidR="00C218B1" w:rsidRPr="00400859" w:rsidRDefault="00C218B1" w:rsidP="00D23CFA">
            <w:pPr>
              <w:spacing w:line="480" w:lineRule="exact"/>
              <w:rPr>
                <w:rFonts w:ascii="標楷體" w:eastAsia="標楷體" w:hAnsi="標楷體"/>
                <w:szCs w:val="24"/>
              </w:rPr>
            </w:pPr>
            <w:r w:rsidRPr="00400859">
              <w:rPr>
                <w:rFonts w:ascii="標楷體" w:eastAsia="標楷體" w:hAnsi="標楷體" w:hint="eastAsia"/>
                <w:szCs w:val="24"/>
              </w:rPr>
              <w:t>第五條</w:t>
            </w:r>
          </w:p>
          <w:p w:rsidR="00C218B1" w:rsidRPr="00400859" w:rsidRDefault="00C218B1" w:rsidP="00D23CFA">
            <w:pPr>
              <w:spacing w:line="480" w:lineRule="exact"/>
              <w:rPr>
                <w:rFonts w:ascii="標楷體" w:eastAsia="標楷體" w:hAnsi="標楷體"/>
                <w:szCs w:val="24"/>
              </w:rPr>
            </w:pPr>
            <w:r w:rsidRPr="00400859">
              <w:rPr>
                <w:rFonts w:ascii="標楷體" w:eastAsia="標楷體" w:hAnsi="標楷體" w:hint="eastAsia"/>
                <w:szCs w:val="24"/>
              </w:rPr>
              <w:t>食品工業及第二條第一項第二款之上市公司編製之企業社會責任報告書，應取得會計師依財團法人中華民國會計研究發展基金會發布之準則所出具之意見書，且其範圍應包含第四條第一項第一款規定所揭露之</w:t>
            </w:r>
            <w:r w:rsidRPr="00400859">
              <w:rPr>
                <w:rFonts w:ascii="標楷體" w:eastAsia="標楷體" w:hAnsi="標楷體" w:hint="eastAsia"/>
                <w:szCs w:val="24"/>
                <w:u w:val="single"/>
              </w:rPr>
              <w:t>績效指標</w:t>
            </w:r>
            <w:r w:rsidRPr="00400859">
              <w:rPr>
                <w:rFonts w:ascii="標楷體" w:eastAsia="標楷體" w:hAnsi="標楷體" w:hint="eastAsia"/>
                <w:szCs w:val="24"/>
              </w:rPr>
              <w:t>。</w:t>
            </w:r>
          </w:p>
          <w:p w:rsidR="00C218B1" w:rsidRPr="00400859" w:rsidRDefault="00C218B1" w:rsidP="00D23CFA">
            <w:pPr>
              <w:spacing w:line="480" w:lineRule="exact"/>
              <w:rPr>
                <w:rFonts w:ascii="標楷體" w:eastAsia="標楷體" w:hAnsi="標楷體"/>
                <w:szCs w:val="24"/>
              </w:rPr>
            </w:pPr>
            <w:r w:rsidRPr="00400859">
              <w:rPr>
                <w:rFonts w:ascii="標楷體" w:eastAsia="標楷體" w:hAnsi="標楷體" w:hint="eastAsia"/>
                <w:szCs w:val="24"/>
              </w:rPr>
              <w:t>符合第二條第一項規定之上市公司，應於每年六月三十日前將企業社會責任報告書及該報告書檔案置於公司網站之連結，申報至本公司指定之網際網路資訊申報系統。但最近一年未編製或未參考全球永續性報告協會發布之</w:t>
            </w:r>
            <w:r w:rsidRPr="00400859">
              <w:rPr>
                <w:rFonts w:ascii="標楷體" w:eastAsia="標楷體" w:hAnsi="標楷體" w:hint="eastAsia"/>
                <w:szCs w:val="24"/>
                <w:u w:val="single"/>
              </w:rPr>
              <w:t>指南</w:t>
            </w:r>
            <w:r w:rsidRPr="00400859">
              <w:rPr>
                <w:rFonts w:ascii="標楷體" w:eastAsia="標楷體" w:hAnsi="標楷體" w:hint="eastAsia"/>
                <w:szCs w:val="24"/>
              </w:rPr>
              <w:t>編製企業社會責任報告書者，或企業社會責任報告書經會計師依照前項準則出具意見書者，得延至</w:t>
            </w:r>
            <w:r w:rsidRPr="00400859">
              <w:rPr>
                <w:rFonts w:ascii="標楷體" w:eastAsia="標楷體" w:hAnsi="標楷體" w:hint="eastAsia"/>
                <w:szCs w:val="24"/>
                <w:u w:val="single"/>
              </w:rPr>
              <w:t>十二</w:t>
            </w:r>
            <w:r w:rsidRPr="00400859">
              <w:rPr>
                <w:rFonts w:ascii="標楷體" w:eastAsia="標楷體" w:hAnsi="標楷體" w:hint="eastAsia"/>
                <w:szCs w:val="24"/>
              </w:rPr>
              <w:t>月</w:t>
            </w:r>
            <w:r w:rsidRPr="00400859">
              <w:rPr>
                <w:rFonts w:ascii="標楷體" w:eastAsia="標楷體" w:hAnsi="標楷體" w:hint="eastAsia"/>
                <w:szCs w:val="24"/>
                <w:u w:val="single"/>
              </w:rPr>
              <w:t>三十一</w:t>
            </w:r>
            <w:r w:rsidRPr="00400859">
              <w:rPr>
                <w:rFonts w:ascii="標楷體" w:eastAsia="標楷體" w:hAnsi="標楷體" w:hint="eastAsia"/>
                <w:szCs w:val="24"/>
              </w:rPr>
              <w:t>日完成申報。</w:t>
            </w:r>
          </w:p>
        </w:tc>
        <w:tc>
          <w:tcPr>
            <w:tcW w:w="1667" w:type="pct"/>
            <w:shd w:val="clear" w:color="auto" w:fill="FFFFFF" w:themeFill="background1"/>
          </w:tcPr>
          <w:p w:rsidR="00C218B1" w:rsidRPr="00400859" w:rsidRDefault="00C218B1" w:rsidP="00D23CFA">
            <w:pPr>
              <w:spacing w:line="480" w:lineRule="exact"/>
              <w:ind w:left="480" w:hangingChars="200" w:hanging="480"/>
              <w:rPr>
                <w:rFonts w:ascii="標楷體" w:eastAsia="標楷體" w:hAnsi="標楷體"/>
                <w:szCs w:val="24"/>
                <w:u w:val="single"/>
              </w:rPr>
            </w:pPr>
            <w:r w:rsidRPr="00400859">
              <w:rPr>
                <w:rFonts w:ascii="標楷體" w:eastAsia="標楷體" w:hAnsi="標楷體" w:hint="eastAsia"/>
                <w:szCs w:val="24"/>
                <w:u w:val="single"/>
              </w:rPr>
              <w:t>一、配合GRI準則之發布，依GRI準則用語，修正本條相關文字，理由同第三條說明一。</w:t>
            </w:r>
          </w:p>
          <w:p w:rsidR="00C218B1" w:rsidRPr="00400859" w:rsidRDefault="00C218B1" w:rsidP="00D23CFA">
            <w:pPr>
              <w:spacing w:line="480" w:lineRule="exact"/>
              <w:ind w:left="480" w:hangingChars="200" w:hanging="480"/>
              <w:rPr>
                <w:rFonts w:ascii="標楷體" w:eastAsia="標楷體" w:hAnsi="標楷體" w:cs="新細明體"/>
                <w:kern w:val="0"/>
                <w:szCs w:val="24"/>
              </w:rPr>
            </w:pPr>
            <w:r w:rsidRPr="00400859">
              <w:rPr>
                <w:rFonts w:ascii="標楷體" w:eastAsia="標楷體" w:hAnsi="標楷體" w:hint="eastAsia"/>
                <w:szCs w:val="24"/>
              </w:rPr>
              <w:t>二、為提升企業社會責任報告書之資訊實用性與及時性，參考鄰近國家交易所之規定，如新加坡交易所規定上市公司需於年度結束後五個月內申報，香港交易所規定需於年度結束後七個月內申報，爰提前得延後申報報告書期限至九月三十日，修正本條文字。</w:t>
            </w:r>
          </w:p>
        </w:tc>
      </w:tr>
    </w:tbl>
    <w:p w:rsidR="006B6C6D" w:rsidRPr="00400859" w:rsidRDefault="006B6C6D">
      <w:pPr>
        <w:rPr>
          <w:rFonts w:ascii="標楷體" w:eastAsia="標楷體" w:hAnsi="標楷體"/>
          <w:szCs w:val="24"/>
        </w:rPr>
      </w:pPr>
    </w:p>
    <w:sectPr w:rsidR="006B6C6D" w:rsidRPr="00400859" w:rsidSect="00F06710">
      <w:pgSz w:w="11906" w:h="16838" w:code="9"/>
      <w:pgMar w:top="1440" w:right="1800" w:bottom="1440" w:left="180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97B" w:rsidRDefault="003D297B" w:rsidP="00D80A15">
      <w:r>
        <w:separator/>
      </w:r>
    </w:p>
  </w:endnote>
  <w:endnote w:type="continuationSeparator" w:id="0">
    <w:p w:rsidR="003D297B" w:rsidRDefault="003D297B" w:rsidP="00D8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 NewHeiB5 Bold">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Gill Sans Nova SemiBold">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112358"/>
      <w:docPartObj>
        <w:docPartGallery w:val="Page Numbers (Bottom of Page)"/>
        <w:docPartUnique/>
      </w:docPartObj>
    </w:sdtPr>
    <w:sdtEndPr/>
    <w:sdtContent>
      <w:p w:rsidR="00370075" w:rsidRDefault="00370075">
        <w:pPr>
          <w:pStyle w:val="a5"/>
          <w:jc w:val="right"/>
        </w:pPr>
        <w:r>
          <w:fldChar w:fldCharType="begin"/>
        </w:r>
        <w:r>
          <w:instrText>PAGE   \* MERGEFORMAT</w:instrText>
        </w:r>
        <w:r>
          <w:fldChar w:fldCharType="separate"/>
        </w:r>
        <w:r w:rsidR="008B56DD" w:rsidRPr="008B56DD">
          <w:rPr>
            <w:noProof/>
            <w:lang w:val="zh-TW"/>
          </w:rPr>
          <w:t>1</w:t>
        </w:r>
        <w:r>
          <w:fldChar w:fldCharType="end"/>
        </w:r>
      </w:p>
    </w:sdtContent>
  </w:sdt>
  <w:p w:rsidR="00370075" w:rsidRDefault="003700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97B" w:rsidRDefault="003D297B" w:rsidP="00D80A15">
      <w:r>
        <w:separator/>
      </w:r>
    </w:p>
  </w:footnote>
  <w:footnote w:type="continuationSeparator" w:id="0">
    <w:p w:rsidR="003D297B" w:rsidRDefault="003D297B" w:rsidP="00D80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37AA"/>
    <w:multiLevelType w:val="hybridMultilevel"/>
    <w:tmpl w:val="76749A9C"/>
    <w:lvl w:ilvl="0" w:tplc="E2242F7C">
      <w:start w:val="1"/>
      <w:numFmt w:val="taiwaneseCountingThousand"/>
      <w:lvlText w:val="%1、"/>
      <w:lvlJc w:val="left"/>
      <w:pPr>
        <w:ind w:left="480" w:hanging="480"/>
      </w:pPr>
      <w:rPr>
        <w:rFonts w:ascii="Times New Roman" w:eastAsia="標楷體" w:hAnsi="標楷體" w:cs="Times New Roman" w:hint="eastAsia"/>
        <w:color w:val="auto"/>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A4530D"/>
    <w:multiLevelType w:val="hybridMultilevel"/>
    <w:tmpl w:val="D5325BF2"/>
    <w:lvl w:ilvl="0" w:tplc="0BC4BFD4">
      <w:start w:val="1"/>
      <w:numFmt w:val="taiwaneseCountingThousand"/>
      <w:lvlText w:val="(%1)"/>
      <w:lvlJc w:val="left"/>
      <w:pPr>
        <w:ind w:left="480" w:hanging="480"/>
      </w:pPr>
      <w:rPr>
        <w:rFonts w:hint="eastAsia"/>
      </w:rPr>
    </w:lvl>
    <w:lvl w:ilvl="1" w:tplc="0BC4BFD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266B58"/>
    <w:multiLevelType w:val="hybridMultilevel"/>
    <w:tmpl w:val="AF2A67AE"/>
    <w:lvl w:ilvl="0" w:tplc="070A67FE">
      <w:start w:val="1"/>
      <w:numFmt w:val="taiwaneseCountingThousand"/>
      <w:lvlText w:val="%1、"/>
      <w:lvlJc w:val="left"/>
      <w:pPr>
        <w:ind w:left="480" w:hanging="480"/>
      </w:pPr>
      <w:rPr>
        <w:rFonts w:ascii="Times New Roman" w:eastAsia="標楷體" w:hAnsi="標楷體" w:cs="Times New Roman" w:hint="eastAsia"/>
        <w:color w:val="auto"/>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EA7C67"/>
    <w:multiLevelType w:val="hybridMultilevel"/>
    <w:tmpl w:val="9B46528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F20303"/>
    <w:multiLevelType w:val="hybridMultilevel"/>
    <w:tmpl w:val="AAA633C8"/>
    <w:lvl w:ilvl="0" w:tplc="3E7A1B56">
      <w:start w:val="1"/>
      <w:numFmt w:val="taiwaneseCountingThousand"/>
      <w:lvlText w:val="%1、"/>
      <w:lvlJc w:val="left"/>
      <w:pPr>
        <w:ind w:left="480" w:hanging="480"/>
      </w:pPr>
      <w:rPr>
        <w:rFonts w:ascii="Times New Roman" w:eastAsia="標楷體" w:hAnsi="標楷體" w:cs="Times New Roman" w:hint="eastAsia"/>
        <w:color w:val="auto"/>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1634C0"/>
    <w:multiLevelType w:val="hybridMultilevel"/>
    <w:tmpl w:val="A0C2D9F0"/>
    <w:lvl w:ilvl="0" w:tplc="0BC4BFD4">
      <w:start w:val="1"/>
      <w:numFmt w:val="taiwaneseCountingThousand"/>
      <w:lvlText w:val="(%1)"/>
      <w:lvlJc w:val="left"/>
      <w:pPr>
        <w:ind w:left="720" w:hanging="480"/>
      </w:pPr>
      <w:rPr>
        <w:rFonts w:hint="eastAsia"/>
      </w:rPr>
    </w:lvl>
    <w:lvl w:ilvl="1" w:tplc="0BC4BFD4">
      <w:start w:val="1"/>
      <w:numFmt w:val="taiwaneseCountingThousand"/>
      <w:lvlText w:val="(%2)"/>
      <w:lvlJc w:val="left"/>
      <w:pPr>
        <w:ind w:left="1615" w:hanging="480"/>
      </w:pPr>
      <w:rPr>
        <w:rFonts w:hint="eastAsia"/>
      </w:rPr>
    </w:lvl>
    <w:lvl w:ilvl="2" w:tplc="465ED81C">
      <w:start w:val="1"/>
      <w:numFmt w:val="taiwaneseCountingThousand"/>
      <w:lvlText w:val="%3、"/>
      <w:lvlJc w:val="left"/>
      <w:pPr>
        <w:ind w:left="1660" w:hanging="460"/>
      </w:pPr>
      <w:rPr>
        <w:rFonts w:hint="default"/>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30F43BC2"/>
    <w:multiLevelType w:val="hybridMultilevel"/>
    <w:tmpl w:val="1CA8CE6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EF707D"/>
    <w:multiLevelType w:val="hybridMultilevel"/>
    <w:tmpl w:val="5C86E49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529775B"/>
    <w:multiLevelType w:val="hybridMultilevel"/>
    <w:tmpl w:val="06485D86"/>
    <w:lvl w:ilvl="0" w:tplc="392A6EE6">
      <w:start w:val="1"/>
      <w:numFmt w:val="taiwaneseCountingThousand"/>
      <w:lvlText w:val="%1、"/>
      <w:lvlJc w:val="left"/>
      <w:pPr>
        <w:ind w:left="1706" w:hanging="114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9" w15:restartNumberingAfterBreak="0">
    <w:nsid w:val="5D123DD2"/>
    <w:multiLevelType w:val="hybridMultilevel"/>
    <w:tmpl w:val="D654E8C6"/>
    <w:lvl w:ilvl="0" w:tplc="0BC4BFD4">
      <w:start w:val="1"/>
      <w:numFmt w:val="taiwaneseCountingThousand"/>
      <w:lvlText w:val="(%1)"/>
      <w:lvlJc w:val="left"/>
      <w:pPr>
        <w:ind w:left="720" w:hanging="480"/>
      </w:pPr>
      <w:rPr>
        <w:rFonts w:hint="eastAsia"/>
      </w:rPr>
    </w:lvl>
    <w:lvl w:ilvl="1" w:tplc="A790D2E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2515E1E"/>
    <w:multiLevelType w:val="hybridMultilevel"/>
    <w:tmpl w:val="FB360A58"/>
    <w:lvl w:ilvl="0" w:tplc="0BC4BFD4">
      <w:start w:val="1"/>
      <w:numFmt w:val="taiwaneseCountingThousand"/>
      <w:lvlText w:val="(%1)"/>
      <w:lvlJc w:val="left"/>
      <w:pPr>
        <w:ind w:left="960" w:hanging="480"/>
      </w:pPr>
      <w:rPr>
        <w:rFonts w:hint="eastAsia"/>
      </w:rPr>
    </w:lvl>
    <w:lvl w:ilvl="1" w:tplc="0BC4BFD4">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72B01DD5"/>
    <w:multiLevelType w:val="hybridMultilevel"/>
    <w:tmpl w:val="4E3A62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7112476"/>
    <w:multiLevelType w:val="hybridMultilevel"/>
    <w:tmpl w:val="068CA84A"/>
    <w:lvl w:ilvl="0" w:tplc="0BC4BFD4">
      <w:start w:val="1"/>
      <w:numFmt w:val="taiwaneseCountingThousand"/>
      <w:lvlText w:val="(%1)"/>
      <w:lvlJc w:val="left"/>
      <w:pPr>
        <w:ind w:left="720" w:hanging="480"/>
      </w:pPr>
      <w:rPr>
        <w:rFonts w:hint="eastAsia"/>
      </w:rPr>
    </w:lvl>
    <w:lvl w:ilvl="1" w:tplc="0BC4BFD4">
      <w:start w:val="1"/>
      <w:numFmt w:val="taiwaneseCountingThousand"/>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4"/>
  </w:num>
  <w:num w:numId="2">
    <w:abstractNumId w:val="2"/>
  </w:num>
  <w:num w:numId="3">
    <w:abstractNumId w:val="0"/>
  </w:num>
  <w:num w:numId="4">
    <w:abstractNumId w:val="11"/>
  </w:num>
  <w:num w:numId="5">
    <w:abstractNumId w:val="7"/>
  </w:num>
  <w:num w:numId="6">
    <w:abstractNumId w:val="9"/>
  </w:num>
  <w:num w:numId="7">
    <w:abstractNumId w:val="12"/>
  </w:num>
  <w:num w:numId="8">
    <w:abstractNumId w:val="5"/>
  </w:num>
  <w:num w:numId="9">
    <w:abstractNumId w:val="3"/>
  </w:num>
  <w:num w:numId="10">
    <w:abstractNumId w:val="6"/>
  </w:num>
  <w:num w:numId="11">
    <w:abstractNumId w:val="1"/>
  </w:num>
  <w:num w:numId="12">
    <w:abstractNumId w:val="10"/>
  </w:num>
  <w:num w:numId="1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849"/>
    <w:rsid w:val="0000071C"/>
    <w:rsid w:val="00002044"/>
    <w:rsid w:val="000045D8"/>
    <w:rsid w:val="000059AD"/>
    <w:rsid w:val="00016476"/>
    <w:rsid w:val="0001742A"/>
    <w:rsid w:val="00017F03"/>
    <w:rsid w:val="00020959"/>
    <w:rsid w:val="00026A44"/>
    <w:rsid w:val="000311DC"/>
    <w:rsid w:val="00032AA2"/>
    <w:rsid w:val="00033DF7"/>
    <w:rsid w:val="00036EBC"/>
    <w:rsid w:val="000435DB"/>
    <w:rsid w:val="000439F7"/>
    <w:rsid w:val="000443BF"/>
    <w:rsid w:val="00045DA0"/>
    <w:rsid w:val="00046A28"/>
    <w:rsid w:val="00051542"/>
    <w:rsid w:val="000544E5"/>
    <w:rsid w:val="000603E5"/>
    <w:rsid w:val="0006140F"/>
    <w:rsid w:val="000625C5"/>
    <w:rsid w:val="00064D28"/>
    <w:rsid w:val="0006538F"/>
    <w:rsid w:val="00067740"/>
    <w:rsid w:val="00070E94"/>
    <w:rsid w:val="00071CB9"/>
    <w:rsid w:val="000727AB"/>
    <w:rsid w:val="00073D6B"/>
    <w:rsid w:val="00075081"/>
    <w:rsid w:val="00076A8E"/>
    <w:rsid w:val="00081245"/>
    <w:rsid w:val="00081932"/>
    <w:rsid w:val="00083655"/>
    <w:rsid w:val="00083ECC"/>
    <w:rsid w:val="000865C6"/>
    <w:rsid w:val="00087DDB"/>
    <w:rsid w:val="000911EF"/>
    <w:rsid w:val="00093E08"/>
    <w:rsid w:val="00094EDE"/>
    <w:rsid w:val="000A10AD"/>
    <w:rsid w:val="000A3CB6"/>
    <w:rsid w:val="000A47E0"/>
    <w:rsid w:val="000A4A91"/>
    <w:rsid w:val="000A4D89"/>
    <w:rsid w:val="000A6521"/>
    <w:rsid w:val="000A6948"/>
    <w:rsid w:val="000A7FA3"/>
    <w:rsid w:val="000B2531"/>
    <w:rsid w:val="000B285B"/>
    <w:rsid w:val="000C1115"/>
    <w:rsid w:val="000C345D"/>
    <w:rsid w:val="000D098E"/>
    <w:rsid w:val="000D4DA8"/>
    <w:rsid w:val="000D508B"/>
    <w:rsid w:val="000D52F1"/>
    <w:rsid w:val="000D6A1D"/>
    <w:rsid w:val="000E0EB1"/>
    <w:rsid w:val="000E4241"/>
    <w:rsid w:val="000E445D"/>
    <w:rsid w:val="000E4DA3"/>
    <w:rsid w:val="000E5A46"/>
    <w:rsid w:val="000E6937"/>
    <w:rsid w:val="001015F9"/>
    <w:rsid w:val="001068A5"/>
    <w:rsid w:val="00115120"/>
    <w:rsid w:val="00116EDA"/>
    <w:rsid w:val="00125D4E"/>
    <w:rsid w:val="001278D4"/>
    <w:rsid w:val="00130D21"/>
    <w:rsid w:val="00133E0A"/>
    <w:rsid w:val="00137AAA"/>
    <w:rsid w:val="001401DE"/>
    <w:rsid w:val="00141387"/>
    <w:rsid w:val="00142065"/>
    <w:rsid w:val="00142254"/>
    <w:rsid w:val="00144CBD"/>
    <w:rsid w:val="00145FC0"/>
    <w:rsid w:val="0014680B"/>
    <w:rsid w:val="00147094"/>
    <w:rsid w:val="001470E1"/>
    <w:rsid w:val="00147CF8"/>
    <w:rsid w:val="00153A61"/>
    <w:rsid w:val="00154BAB"/>
    <w:rsid w:val="0015678F"/>
    <w:rsid w:val="00156902"/>
    <w:rsid w:val="0015778C"/>
    <w:rsid w:val="0016143D"/>
    <w:rsid w:val="00167331"/>
    <w:rsid w:val="00170171"/>
    <w:rsid w:val="00172CBD"/>
    <w:rsid w:val="00172EEF"/>
    <w:rsid w:val="001812F7"/>
    <w:rsid w:val="001879D8"/>
    <w:rsid w:val="00192C24"/>
    <w:rsid w:val="00192D5E"/>
    <w:rsid w:val="0019599F"/>
    <w:rsid w:val="00195FF2"/>
    <w:rsid w:val="00196360"/>
    <w:rsid w:val="001965B9"/>
    <w:rsid w:val="001967A8"/>
    <w:rsid w:val="001B4274"/>
    <w:rsid w:val="001B5743"/>
    <w:rsid w:val="001B77D2"/>
    <w:rsid w:val="001C2253"/>
    <w:rsid w:val="001C71D2"/>
    <w:rsid w:val="001C7DF6"/>
    <w:rsid w:val="001D2202"/>
    <w:rsid w:val="001D3F30"/>
    <w:rsid w:val="001E1B3E"/>
    <w:rsid w:val="001E2AAC"/>
    <w:rsid w:val="001E4B13"/>
    <w:rsid w:val="001F46DD"/>
    <w:rsid w:val="001F5EC5"/>
    <w:rsid w:val="001F6279"/>
    <w:rsid w:val="00200E38"/>
    <w:rsid w:val="00200FD6"/>
    <w:rsid w:val="002022C9"/>
    <w:rsid w:val="002026FF"/>
    <w:rsid w:val="00206697"/>
    <w:rsid w:val="00207785"/>
    <w:rsid w:val="0021237F"/>
    <w:rsid w:val="00216DBA"/>
    <w:rsid w:val="00224974"/>
    <w:rsid w:val="00227435"/>
    <w:rsid w:val="00227976"/>
    <w:rsid w:val="00227CF2"/>
    <w:rsid w:val="00231CB3"/>
    <w:rsid w:val="0023216D"/>
    <w:rsid w:val="0023352A"/>
    <w:rsid w:val="00234D87"/>
    <w:rsid w:val="00242113"/>
    <w:rsid w:val="00242230"/>
    <w:rsid w:val="002442EE"/>
    <w:rsid w:val="00246B68"/>
    <w:rsid w:val="00250853"/>
    <w:rsid w:val="00251C87"/>
    <w:rsid w:val="002522BB"/>
    <w:rsid w:val="0025669B"/>
    <w:rsid w:val="002569DC"/>
    <w:rsid w:val="0026048A"/>
    <w:rsid w:val="002606E6"/>
    <w:rsid w:val="00260AA0"/>
    <w:rsid w:val="0026135D"/>
    <w:rsid w:val="002646D3"/>
    <w:rsid w:val="00264985"/>
    <w:rsid w:val="00264D88"/>
    <w:rsid w:val="00266DE7"/>
    <w:rsid w:val="0027056B"/>
    <w:rsid w:val="002724D8"/>
    <w:rsid w:val="00274165"/>
    <w:rsid w:val="00274CF3"/>
    <w:rsid w:val="002760C6"/>
    <w:rsid w:val="0028081C"/>
    <w:rsid w:val="00282EC9"/>
    <w:rsid w:val="00284FFC"/>
    <w:rsid w:val="002877EC"/>
    <w:rsid w:val="002917FC"/>
    <w:rsid w:val="00293E06"/>
    <w:rsid w:val="00295B7D"/>
    <w:rsid w:val="00296BCE"/>
    <w:rsid w:val="002976BD"/>
    <w:rsid w:val="002A3A43"/>
    <w:rsid w:val="002A759E"/>
    <w:rsid w:val="002A7BDC"/>
    <w:rsid w:val="002B0DB1"/>
    <w:rsid w:val="002B22CA"/>
    <w:rsid w:val="002B37F3"/>
    <w:rsid w:val="002B5E8D"/>
    <w:rsid w:val="002B7D53"/>
    <w:rsid w:val="002C250E"/>
    <w:rsid w:val="002C2B62"/>
    <w:rsid w:val="002C3662"/>
    <w:rsid w:val="002C37B2"/>
    <w:rsid w:val="002C5390"/>
    <w:rsid w:val="002D04A8"/>
    <w:rsid w:val="002D184F"/>
    <w:rsid w:val="002D206B"/>
    <w:rsid w:val="002D34A6"/>
    <w:rsid w:val="002D4E5A"/>
    <w:rsid w:val="002D51CC"/>
    <w:rsid w:val="002D75A9"/>
    <w:rsid w:val="002E178E"/>
    <w:rsid w:val="002E17C7"/>
    <w:rsid w:val="002E1AE8"/>
    <w:rsid w:val="002E4D63"/>
    <w:rsid w:val="002E519D"/>
    <w:rsid w:val="002E5972"/>
    <w:rsid w:val="002F1EC0"/>
    <w:rsid w:val="002F2240"/>
    <w:rsid w:val="002F24EF"/>
    <w:rsid w:val="002F47B3"/>
    <w:rsid w:val="003012FE"/>
    <w:rsid w:val="003018D6"/>
    <w:rsid w:val="00302B1C"/>
    <w:rsid w:val="00303690"/>
    <w:rsid w:val="00313C17"/>
    <w:rsid w:val="00314C27"/>
    <w:rsid w:val="00316164"/>
    <w:rsid w:val="00320765"/>
    <w:rsid w:val="00334840"/>
    <w:rsid w:val="00336F89"/>
    <w:rsid w:val="0034159D"/>
    <w:rsid w:val="003441B9"/>
    <w:rsid w:val="00345B7E"/>
    <w:rsid w:val="00346154"/>
    <w:rsid w:val="00346655"/>
    <w:rsid w:val="00346753"/>
    <w:rsid w:val="0034678D"/>
    <w:rsid w:val="003473BB"/>
    <w:rsid w:val="0035506A"/>
    <w:rsid w:val="00355DEB"/>
    <w:rsid w:val="00356BCA"/>
    <w:rsid w:val="00360065"/>
    <w:rsid w:val="0036329B"/>
    <w:rsid w:val="00363A89"/>
    <w:rsid w:val="00364974"/>
    <w:rsid w:val="00366476"/>
    <w:rsid w:val="00370075"/>
    <w:rsid w:val="00371628"/>
    <w:rsid w:val="00373F1F"/>
    <w:rsid w:val="003750D8"/>
    <w:rsid w:val="00375206"/>
    <w:rsid w:val="0038154F"/>
    <w:rsid w:val="003821FC"/>
    <w:rsid w:val="00384DC0"/>
    <w:rsid w:val="00385EDD"/>
    <w:rsid w:val="003862A8"/>
    <w:rsid w:val="00387A76"/>
    <w:rsid w:val="00391296"/>
    <w:rsid w:val="00391D6C"/>
    <w:rsid w:val="00392076"/>
    <w:rsid w:val="003937F1"/>
    <w:rsid w:val="003A0011"/>
    <w:rsid w:val="003A0910"/>
    <w:rsid w:val="003A3850"/>
    <w:rsid w:val="003A3DAA"/>
    <w:rsid w:val="003A58E4"/>
    <w:rsid w:val="003A6005"/>
    <w:rsid w:val="003A74E0"/>
    <w:rsid w:val="003A7717"/>
    <w:rsid w:val="003B0205"/>
    <w:rsid w:val="003B0ED5"/>
    <w:rsid w:val="003B0F67"/>
    <w:rsid w:val="003B18F7"/>
    <w:rsid w:val="003B26CF"/>
    <w:rsid w:val="003B4F28"/>
    <w:rsid w:val="003C17DF"/>
    <w:rsid w:val="003C3B40"/>
    <w:rsid w:val="003C4495"/>
    <w:rsid w:val="003C44B7"/>
    <w:rsid w:val="003C49C2"/>
    <w:rsid w:val="003C4EB6"/>
    <w:rsid w:val="003C6241"/>
    <w:rsid w:val="003C6D75"/>
    <w:rsid w:val="003D038D"/>
    <w:rsid w:val="003D1D8B"/>
    <w:rsid w:val="003D297B"/>
    <w:rsid w:val="003E31F1"/>
    <w:rsid w:val="003E4E84"/>
    <w:rsid w:val="003F0D3A"/>
    <w:rsid w:val="003F1B07"/>
    <w:rsid w:val="003F1C87"/>
    <w:rsid w:val="003F25D1"/>
    <w:rsid w:val="003F49F8"/>
    <w:rsid w:val="003F7C3A"/>
    <w:rsid w:val="00400859"/>
    <w:rsid w:val="00403EAD"/>
    <w:rsid w:val="00405175"/>
    <w:rsid w:val="00405B9D"/>
    <w:rsid w:val="004074E3"/>
    <w:rsid w:val="004104BE"/>
    <w:rsid w:val="00412312"/>
    <w:rsid w:val="00413B76"/>
    <w:rsid w:val="00414296"/>
    <w:rsid w:val="00414E51"/>
    <w:rsid w:val="00421F27"/>
    <w:rsid w:val="00425CA0"/>
    <w:rsid w:val="004262D5"/>
    <w:rsid w:val="00427F75"/>
    <w:rsid w:val="00431495"/>
    <w:rsid w:val="004347B1"/>
    <w:rsid w:val="00434F07"/>
    <w:rsid w:val="00437EFB"/>
    <w:rsid w:val="00437F62"/>
    <w:rsid w:val="004420F8"/>
    <w:rsid w:val="0044716A"/>
    <w:rsid w:val="00451A38"/>
    <w:rsid w:val="004528C8"/>
    <w:rsid w:val="00457495"/>
    <w:rsid w:val="00457D40"/>
    <w:rsid w:val="00467017"/>
    <w:rsid w:val="00467623"/>
    <w:rsid w:val="004721A1"/>
    <w:rsid w:val="00476252"/>
    <w:rsid w:val="00476682"/>
    <w:rsid w:val="00477146"/>
    <w:rsid w:val="00480596"/>
    <w:rsid w:val="0048354F"/>
    <w:rsid w:val="004843E7"/>
    <w:rsid w:val="004844F5"/>
    <w:rsid w:val="00484512"/>
    <w:rsid w:val="00485C0A"/>
    <w:rsid w:val="00485D31"/>
    <w:rsid w:val="00490D6A"/>
    <w:rsid w:val="004911A9"/>
    <w:rsid w:val="00491A64"/>
    <w:rsid w:val="00494C0F"/>
    <w:rsid w:val="0049529D"/>
    <w:rsid w:val="00495377"/>
    <w:rsid w:val="00496023"/>
    <w:rsid w:val="004A4D53"/>
    <w:rsid w:val="004A4FFD"/>
    <w:rsid w:val="004A641B"/>
    <w:rsid w:val="004A6785"/>
    <w:rsid w:val="004B1E20"/>
    <w:rsid w:val="004B2190"/>
    <w:rsid w:val="004B2AC6"/>
    <w:rsid w:val="004B3128"/>
    <w:rsid w:val="004B5DC2"/>
    <w:rsid w:val="004B663C"/>
    <w:rsid w:val="004B6F2C"/>
    <w:rsid w:val="004C025A"/>
    <w:rsid w:val="004C06AB"/>
    <w:rsid w:val="004C33AA"/>
    <w:rsid w:val="004C4530"/>
    <w:rsid w:val="004C51A3"/>
    <w:rsid w:val="004C696E"/>
    <w:rsid w:val="004C7DD6"/>
    <w:rsid w:val="004D2759"/>
    <w:rsid w:val="004D43B3"/>
    <w:rsid w:val="004D746B"/>
    <w:rsid w:val="004D7C4E"/>
    <w:rsid w:val="004E0CEE"/>
    <w:rsid w:val="004E111F"/>
    <w:rsid w:val="004E1683"/>
    <w:rsid w:val="004E27B0"/>
    <w:rsid w:val="004E3845"/>
    <w:rsid w:val="004E7B77"/>
    <w:rsid w:val="004F021D"/>
    <w:rsid w:val="004F6628"/>
    <w:rsid w:val="004F6751"/>
    <w:rsid w:val="004F70D8"/>
    <w:rsid w:val="00501E3D"/>
    <w:rsid w:val="00504F16"/>
    <w:rsid w:val="00505005"/>
    <w:rsid w:val="00505275"/>
    <w:rsid w:val="0050726D"/>
    <w:rsid w:val="00507325"/>
    <w:rsid w:val="00510026"/>
    <w:rsid w:val="0051084C"/>
    <w:rsid w:val="005114D2"/>
    <w:rsid w:val="00511E59"/>
    <w:rsid w:val="0051200F"/>
    <w:rsid w:val="0051295B"/>
    <w:rsid w:val="00513D91"/>
    <w:rsid w:val="005142BD"/>
    <w:rsid w:val="00515B2F"/>
    <w:rsid w:val="00516406"/>
    <w:rsid w:val="00520581"/>
    <w:rsid w:val="0052455A"/>
    <w:rsid w:val="005251C8"/>
    <w:rsid w:val="005256AD"/>
    <w:rsid w:val="00527185"/>
    <w:rsid w:val="005308C5"/>
    <w:rsid w:val="005312F2"/>
    <w:rsid w:val="00532DE6"/>
    <w:rsid w:val="0053641E"/>
    <w:rsid w:val="00536D6C"/>
    <w:rsid w:val="00537A58"/>
    <w:rsid w:val="005400EA"/>
    <w:rsid w:val="00540DB5"/>
    <w:rsid w:val="0054229B"/>
    <w:rsid w:val="00542BFD"/>
    <w:rsid w:val="0054325E"/>
    <w:rsid w:val="0054633F"/>
    <w:rsid w:val="00550425"/>
    <w:rsid w:val="00550B87"/>
    <w:rsid w:val="00551320"/>
    <w:rsid w:val="005520B7"/>
    <w:rsid w:val="00553729"/>
    <w:rsid w:val="005564AA"/>
    <w:rsid w:val="00556A9C"/>
    <w:rsid w:val="00557FC5"/>
    <w:rsid w:val="00563DAC"/>
    <w:rsid w:val="0057310F"/>
    <w:rsid w:val="0057332B"/>
    <w:rsid w:val="0057633B"/>
    <w:rsid w:val="0057693F"/>
    <w:rsid w:val="00577642"/>
    <w:rsid w:val="00583C0B"/>
    <w:rsid w:val="00583E10"/>
    <w:rsid w:val="00585702"/>
    <w:rsid w:val="00585979"/>
    <w:rsid w:val="005870E9"/>
    <w:rsid w:val="005903FB"/>
    <w:rsid w:val="00592279"/>
    <w:rsid w:val="005930B8"/>
    <w:rsid w:val="00593A92"/>
    <w:rsid w:val="00594999"/>
    <w:rsid w:val="00594A9D"/>
    <w:rsid w:val="00594CDC"/>
    <w:rsid w:val="005967ED"/>
    <w:rsid w:val="005A1030"/>
    <w:rsid w:val="005A2F4D"/>
    <w:rsid w:val="005A355D"/>
    <w:rsid w:val="005A3B53"/>
    <w:rsid w:val="005A3D1E"/>
    <w:rsid w:val="005A3F4E"/>
    <w:rsid w:val="005B15B2"/>
    <w:rsid w:val="005B3E4B"/>
    <w:rsid w:val="005B47E9"/>
    <w:rsid w:val="005C0AB8"/>
    <w:rsid w:val="005C2945"/>
    <w:rsid w:val="005C4B01"/>
    <w:rsid w:val="005D2469"/>
    <w:rsid w:val="005D3402"/>
    <w:rsid w:val="005D45C5"/>
    <w:rsid w:val="005D4BA9"/>
    <w:rsid w:val="005D509E"/>
    <w:rsid w:val="005D717E"/>
    <w:rsid w:val="005D7430"/>
    <w:rsid w:val="005E0354"/>
    <w:rsid w:val="005E1119"/>
    <w:rsid w:val="005E1B80"/>
    <w:rsid w:val="005E2435"/>
    <w:rsid w:val="005E4B6F"/>
    <w:rsid w:val="005E4C36"/>
    <w:rsid w:val="005E6EA1"/>
    <w:rsid w:val="005F0376"/>
    <w:rsid w:val="005F1DDF"/>
    <w:rsid w:val="005F2974"/>
    <w:rsid w:val="005F5098"/>
    <w:rsid w:val="005F5C30"/>
    <w:rsid w:val="00603390"/>
    <w:rsid w:val="006047E1"/>
    <w:rsid w:val="00607808"/>
    <w:rsid w:val="00611384"/>
    <w:rsid w:val="00613C88"/>
    <w:rsid w:val="006146CB"/>
    <w:rsid w:val="00614D2C"/>
    <w:rsid w:val="00616563"/>
    <w:rsid w:val="00616AC7"/>
    <w:rsid w:val="00617043"/>
    <w:rsid w:val="006175BF"/>
    <w:rsid w:val="00620ECB"/>
    <w:rsid w:val="006216C5"/>
    <w:rsid w:val="00621E7A"/>
    <w:rsid w:val="0062200E"/>
    <w:rsid w:val="006227F0"/>
    <w:rsid w:val="00626059"/>
    <w:rsid w:val="006306C9"/>
    <w:rsid w:val="0063222F"/>
    <w:rsid w:val="00637BEA"/>
    <w:rsid w:val="00640105"/>
    <w:rsid w:val="00640572"/>
    <w:rsid w:val="00641B50"/>
    <w:rsid w:val="006421B9"/>
    <w:rsid w:val="0064530B"/>
    <w:rsid w:val="0064788E"/>
    <w:rsid w:val="006525AD"/>
    <w:rsid w:val="00653F5D"/>
    <w:rsid w:val="00654682"/>
    <w:rsid w:val="00654AA8"/>
    <w:rsid w:val="00662804"/>
    <w:rsid w:val="00664757"/>
    <w:rsid w:val="00664B0C"/>
    <w:rsid w:val="00665DEC"/>
    <w:rsid w:val="00666A75"/>
    <w:rsid w:val="00670CF9"/>
    <w:rsid w:val="006713EF"/>
    <w:rsid w:val="00673836"/>
    <w:rsid w:val="00673B77"/>
    <w:rsid w:val="0067499C"/>
    <w:rsid w:val="00675479"/>
    <w:rsid w:val="00675D7D"/>
    <w:rsid w:val="00677ED6"/>
    <w:rsid w:val="006830F8"/>
    <w:rsid w:val="0068466F"/>
    <w:rsid w:val="00687701"/>
    <w:rsid w:val="00687937"/>
    <w:rsid w:val="00692F58"/>
    <w:rsid w:val="0069312F"/>
    <w:rsid w:val="006957A0"/>
    <w:rsid w:val="0069668D"/>
    <w:rsid w:val="006A11C2"/>
    <w:rsid w:val="006A1548"/>
    <w:rsid w:val="006A7CC0"/>
    <w:rsid w:val="006B6C6D"/>
    <w:rsid w:val="006C1AE6"/>
    <w:rsid w:val="006C40F8"/>
    <w:rsid w:val="006C4BDA"/>
    <w:rsid w:val="006C4F65"/>
    <w:rsid w:val="006C5672"/>
    <w:rsid w:val="006C5B68"/>
    <w:rsid w:val="006D0337"/>
    <w:rsid w:val="006D0E3D"/>
    <w:rsid w:val="006D389D"/>
    <w:rsid w:val="006D3E57"/>
    <w:rsid w:val="006D6281"/>
    <w:rsid w:val="006D7953"/>
    <w:rsid w:val="006D7EBA"/>
    <w:rsid w:val="006D7EF3"/>
    <w:rsid w:val="006E0C64"/>
    <w:rsid w:val="006E77F6"/>
    <w:rsid w:val="006F1E52"/>
    <w:rsid w:val="006F4AF1"/>
    <w:rsid w:val="006F60F8"/>
    <w:rsid w:val="006F6B61"/>
    <w:rsid w:val="006F7A5C"/>
    <w:rsid w:val="007001DB"/>
    <w:rsid w:val="007032CF"/>
    <w:rsid w:val="00712CB1"/>
    <w:rsid w:val="00713020"/>
    <w:rsid w:val="00715DAF"/>
    <w:rsid w:val="007169FE"/>
    <w:rsid w:val="0071713B"/>
    <w:rsid w:val="00717509"/>
    <w:rsid w:val="0072173A"/>
    <w:rsid w:val="0072233F"/>
    <w:rsid w:val="007224EC"/>
    <w:rsid w:val="00722D44"/>
    <w:rsid w:val="0072461B"/>
    <w:rsid w:val="00726397"/>
    <w:rsid w:val="00727434"/>
    <w:rsid w:val="00731E6A"/>
    <w:rsid w:val="0073230C"/>
    <w:rsid w:val="00733850"/>
    <w:rsid w:val="00734E19"/>
    <w:rsid w:val="00735563"/>
    <w:rsid w:val="00736E7F"/>
    <w:rsid w:val="00736FB6"/>
    <w:rsid w:val="00742849"/>
    <w:rsid w:val="00745CE5"/>
    <w:rsid w:val="00746857"/>
    <w:rsid w:val="00750311"/>
    <w:rsid w:val="00753D72"/>
    <w:rsid w:val="007551D8"/>
    <w:rsid w:val="0075553E"/>
    <w:rsid w:val="00762220"/>
    <w:rsid w:val="007674B3"/>
    <w:rsid w:val="00770EFB"/>
    <w:rsid w:val="00772283"/>
    <w:rsid w:val="00777280"/>
    <w:rsid w:val="00781119"/>
    <w:rsid w:val="00782867"/>
    <w:rsid w:val="00782D55"/>
    <w:rsid w:val="007848B2"/>
    <w:rsid w:val="00787A4B"/>
    <w:rsid w:val="00790FB1"/>
    <w:rsid w:val="0079194D"/>
    <w:rsid w:val="00791A73"/>
    <w:rsid w:val="00791E1B"/>
    <w:rsid w:val="007956A7"/>
    <w:rsid w:val="00796E76"/>
    <w:rsid w:val="007A3141"/>
    <w:rsid w:val="007A38F4"/>
    <w:rsid w:val="007A7800"/>
    <w:rsid w:val="007B21FC"/>
    <w:rsid w:val="007B2BB6"/>
    <w:rsid w:val="007B3024"/>
    <w:rsid w:val="007C0D39"/>
    <w:rsid w:val="007C1219"/>
    <w:rsid w:val="007C1B02"/>
    <w:rsid w:val="007C2701"/>
    <w:rsid w:val="007C3298"/>
    <w:rsid w:val="007C3515"/>
    <w:rsid w:val="007C3B22"/>
    <w:rsid w:val="007C4D58"/>
    <w:rsid w:val="007D080C"/>
    <w:rsid w:val="007D08AB"/>
    <w:rsid w:val="007D0C7E"/>
    <w:rsid w:val="007D2D88"/>
    <w:rsid w:val="007D58BC"/>
    <w:rsid w:val="007D65DA"/>
    <w:rsid w:val="007D6BA6"/>
    <w:rsid w:val="007D7533"/>
    <w:rsid w:val="007E1E76"/>
    <w:rsid w:val="007E27C9"/>
    <w:rsid w:val="007E2E83"/>
    <w:rsid w:val="007E3DDB"/>
    <w:rsid w:val="007E5329"/>
    <w:rsid w:val="007E5B61"/>
    <w:rsid w:val="007E78D7"/>
    <w:rsid w:val="007F0C4B"/>
    <w:rsid w:val="007F1193"/>
    <w:rsid w:val="007F1BE4"/>
    <w:rsid w:val="007F66FA"/>
    <w:rsid w:val="008040D6"/>
    <w:rsid w:val="00804400"/>
    <w:rsid w:val="00806C28"/>
    <w:rsid w:val="00806DBB"/>
    <w:rsid w:val="00812BD7"/>
    <w:rsid w:val="008162BC"/>
    <w:rsid w:val="008166CA"/>
    <w:rsid w:val="00817375"/>
    <w:rsid w:val="00817B8F"/>
    <w:rsid w:val="00823A99"/>
    <w:rsid w:val="0082747E"/>
    <w:rsid w:val="0083085C"/>
    <w:rsid w:val="00830C02"/>
    <w:rsid w:val="008324AA"/>
    <w:rsid w:val="00832C70"/>
    <w:rsid w:val="00834E18"/>
    <w:rsid w:val="00835ABA"/>
    <w:rsid w:val="00836DDE"/>
    <w:rsid w:val="00842D82"/>
    <w:rsid w:val="008449BF"/>
    <w:rsid w:val="008451CC"/>
    <w:rsid w:val="00846404"/>
    <w:rsid w:val="00847511"/>
    <w:rsid w:val="00847C48"/>
    <w:rsid w:val="0085114A"/>
    <w:rsid w:val="00851204"/>
    <w:rsid w:val="00853CE4"/>
    <w:rsid w:val="008551FF"/>
    <w:rsid w:val="00855B85"/>
    <w:rsid w:val="00855CC3"/>
    <w:rsid w:val="008561F0"/>
    <w:rsid w:val="00857907"/>
    <w:rsid w:val="00857D5A"/>
    <w:rsid w:val="00857DA5"/>
    <w:rsid w:val="008600FC"/>
    <w:rsid w:val="0086324D"/>
    <w:rsid w:val="00863A5A"/>
    <w:rsid w:val="00864651"/>
    <w:rsid w:val="00864665"/>
    <w:rsid w:val="00865322"/>
    <w:rsid w:val="00866116"/>
    <w:rsid w:val="00870F79"/>
    <w:rsid w:val="00872B83"/>
    <w:rsid w:val="00887D53"/>
    <w:rsid w:val="00896429"/>
    <w:rsid w:val="008973BB"/>
    <w:rsid w:val="008A0DA8"/>
    <w:rsid w:val="008A4EAA"/>
    <w:rsid w:val="008B0C64"/>
    <w:rsid w:val="008B3164"/>
    <w:rsid w:val="008B40BE"/>
    <w:rsid w:val="008B4E96"/>
    <w:rsid w:val="008B4F9B"/>
    <w:rsid w:val="008B56DD"/>
    <w:rsid w:val="008B6D09"/>
    <w:rsid w:val="008B71F0"/>
    <w:rsid w:val="008B7990"/>
    <w:rsid w:val="008C0FF3"/>
    <w:rsid w:val="008C1F2E"/>
    <w:rsid w:val="008C46AB"/>
    <w:rsid w:val="008C4AB9"/>
    <w:rsid w:val="008C4C4A"/>
    <w:rsid w:val="008C534F"/>
    <w:rsid w:val="008C7AA8"/>
    <w:rsid w:val="008D280F"/>
    <w:rsid w:val="008D3D20"/>
    <w:rsid w:val="008D775F"/>
    <w:rsid w:val="008E1449"/>
    <w:rsid w:val="008E2972"/>
    <w:rsid w:val="008E3050"/>
    <w:rsid w:val="008E4D46"/>
    <w:rsid w:val="008E562D"/>
    <w:rsid w:val="008E5DE3"/>
    <w:rsid w:val="008F1D39"/>
    <w:rsid w:val="008F284D"/>
    <w:rsid w:val="008F2960"/>
    <w:rsid w:val="008F2C1A"/>
    <w:rsid w:val="008F5FC8"/>
    <w:rsid w:val="008F7C81"/>
    <w:rsid w:val="00900A55"/>
    <w:rsid w:val="0090109A"/>
    <w:rsid w:val="009018D8"/>
    <w:rsid w:val="00902F90"/>
    <w:rsid w:val="009078CA"/>
    <w:rsid w:val="0091027A"/>
    <w:rsid w:val="00917CBA"/>
    <w:rsid w:val="00920441"/>
    <w:rsid w:val="00921492"/>
    <w:rsid w:val="0092389B"/>
    <w:rsid w:val="00926A27"/>
    <w:rsid w:val="00926E18"/>
    <w:rsid w:val="00931087"/>
    <w:rsid w:val="009341C7"/>
    <w:rsid w:val="00937FAE"/>
    <w:rsid w:val="009405CB"/>
    <w:rsid w:val="00942222"/>
    <w:rsid w:val="00942725"/>
    <w:rsid w:val="00942FD9"/>
    <w:rsid w:val="00943241"/>
    <w:rsid w:val="00946FE1"/>
    <w:rsid w:val="00947075"/>
    <w:rsid w:val="00947387"/>
    <w:rsid w:val="00950050"/>
    <w:rsid w:val="009548BB"/>
    <w:rsid w:val="00961836"/>
    <w:rsid w:val="00962108"/>
    <w:rsid w:val="00964C47"/>
    <w:rsid w:val="009677E6"/>
    <w:rsid w:val="0097008A"/>
    <w:rsid w:val="00972349"/>
    <w:rsid w:val="00972714"/>
    <w:rsid w:val="00973301"/>
    <w:rsid w:val="0097695C"/>
    <w:rsid w:val="00980B8F"/>
    <w:rsid w:val="0098345A"/>
    <w:rsid w:val="0098520E"/>
    <w:rsid w:val="00986D61"/>
    <w:rsid w:val="00987073"/>
    <w:rsid w:val="0098731B"/>
    <w:rsid w:val="009940D6"/>
    <w:rsid w:val="0099518C"/>
    <w:rsid w:val="00997510"/>
    <w:rsid w:val="009A04D3"/>
    <w:rsid w:val="009A253D"/>
    <w:rsid w:val="009A2F3D"/>
    <w:rsid w:val="009A3D67"/>
    <w:rsid w:val="009A53BC"/>
    <w:rsid w:val="009A773A"/>
    <w:rsid w:val="009B04C4"/>
    <w:rsid w:val="009B0E5B"/>
    <w:rsid w:val="009B251C"/>
    <w:rsid w:val="009B2557"/>
    <w:rsid w:val="009B2BEF"/>
    <w:rsid w:val="009B5577"/>
    <w:rsid w:val="009B69F4"/>
    <w:rsid w:val="009C02F0"/>
    <w:rsid w:val="009C2072"/>
    <w:rsid w:val="009C4A69"/>
    <w:rsid w:val="009D01B2"/>
    <w:rsid w:val="009D40D0"/>
    <w:rsid w:val="009D4D9E"/>
    <w:rsid w:val="009D5F6E"/>
    <w:rsid w:val="009D67AB"/>
    <w:rsid w:val="009D77E3"/>
    <w:rsid w:val="009E1088"/>
    <w:rsid w:val="009E21C9"/>
    <w:rsid w:val="009E4947"/>
    <w:rsid w:val="009E5884"/>
    <w:rsid w:val="009F061A"/>
    <w:rsid w:val="009F153C"/>
    <w:rsid w:val="009F1F03"/>
    <w:rsid w:val="009F486A"/>
    <w:rsid w:val="009F4874"/>
    <w:rsid w:val="00A00137"/>
    <w:rsid w:val="00A00468"/>
    <w:rsid w:val="00A00AF6"/>
    <w:rsid w:val="00A0199A"/>
    <w:rsid w:val="00A02F83"/>
    <w:rsid w:val="00A07809"/>
    <w:rsid w:val="00A1089E"/>
    <w:rsid w:val="00A11762"/>
    <w:rsid w:val="00A137C0"/>
    <w:rsid w:val="00A13ACC"/>
    <w:rsid w:val="00A171E9"/>
    <w:rsid w:val="00A174A7"/>
    <w:rsid w:val="00A236CF"/>
    <w:rsid w:val="00A26BC3"/>
    <w:rsid w:val="00A310D3"/>
    <w:rsid w:val="00A3249A"/>
    <w:rsid w:val="00A37660"/>
    <w:rsid w:val="00A3792D"/>
    <w:rsid w:val="00A42DB2"/>
    <w:rsid w:val="00A51D26"/>
    <w:rsid w:val="00A56CF5"/>
    <w:rsid w:val="00A6017E"/>
    <w:rsid w:val="00A6234C"/>
    <w:rsid w:val="00A6483D"/>
    <w:rsid w:val="00A65BFA"/>
    <w:rsid w:val="00A66F3C"/>
    <w:rsid w:val="00A73542"/>
    <w:rsid w:val="00A7406D"/>
    <w:rsid w:val="00A74F2B"/>
    <w:rsid w:val="00A75D9C"/>
    <w:rsid w:val="00A77918"/>
    <w:rsid w:val="00A80E7B"/>
    <w:rsid w:val="00A82002"/>
    <w:rsid w:val="00A86DD2"/>
    <w:rsid w:val="00A87BAC"/>
    <w:rsid w:val="00A904FB"/>
    <w:rsid w:val="00AA20BF"/>
    <w:rsid w:val="00AA3157"/>
    <w:rsid w:val="00AA4D3A"/>
    <w:rsid w:val="00AA55EC"/>
    <w:rsid w:val="00AA586C"/>
    <w:rsid w:val="00AA5BD0"/>
    <w:rsid w:val="00AA6438"/>
    <w:rsid w:val="00AB1DDC"/>
    <w:rsid w:val="00AB24B0"/>
    <w:rsid w:val="00AB3A99"/>
    <w:rsid w:val="00AB68CE"/>
    <w:rsid w:val="00AB6B6B"/>
    <w:rsid w:val="00AC000F"/>
    <w:rsid w:val="00AC1591"/>
    <w:rsid w:val="00AC3329"/>
    <w:rsid w:val="00AE0CCC"/>
    <w:rsid w:val="00AE1063"/>
    <w:rsid w:val="00AE2B59"/>
    <w:rsid w:val="00AE396B"/>
    <w:rsid w:val="00AE3D0E"/>
    <w:rsid w:val="00AE5FF5"/>
    <w:rsid w:val="00AE75B4"/>
    <w:rsid w:val="00AE78B4"/>
    <w:rsid w:val="00AF1572"/>
    <w:rsid w:val="00AF3EE7"/>
    <w:rsid w:val="00AF430A"/>
    <w:rsid w:val="00AF45F1"/>
    <w:rsid w:val="00AF6482"/>
    <w:rsid w:val="00AF74CD"/>
    <w:rsid w:val="00B1113F"/>
    <w:rsid w:val="00B14416"/>
    <w:rsid w:val="00B15206"/>
    <w:rsid w:val="00B163BB"/>
    <w:rsid w:val="00B169BD"/>
    <w:rsid w:val="00B21B79"/>
    <w:rsid w:val="00B22974"/>
    <w:rsid w:val="00B23321"/>
    <w:rsid w:val="00B23525"/>
    <w:rsid w:val="00B32926"/>
    <w:rsid w:val="00B3326D"/>
    <w:rsid w:val="00B33585"/>
    <w:rsid w:val="00B346F0"/>
    <w:rsid w:val="00B35E35"/>
    <w:rsid w:val="00B36E61"/>
    <w:rsid w:val="00B402DE"/>
    <w:rsid w:val="00B4291D"/>
    <w:rsid w:val="00B43534"/>
    <w:rsid w:val="00B44CDD"/>
    <w:rsid w:val="00B52F09"/>
    <w:rsid w:val="00B56E99"/>
    <w:rsid w:val="00B620D5"/>
    <w:rsid w:val="00B62345"/>
    <w:rsid w:val="00B63EF5"/>
    <w:rsid w:val="00B649C1"/>
    <w:rsid w:val="00B7661B"/>
    <w:rsid w:val="00B84A78"/>
    <w:rsid w:val="00B86141"/>
    <w:rsid w:val="00B87205"/>
    <w:rsid w:val="00B87CB2"/>
    <w:rsid w:val="00B947A5"/>
    <w:rsid w:val="00B95B6B"/>
    <w:rsid w:val="00B97A85"/>
    <w:rsid w:val="00B97C07"/>
    <w:rsid w:val="00BA0D49"/>
    <w:rsid w:val="00BA2284"/>
    <w:rsid w:val="00BA26F8"/>
    <w:rsid w:val="00BA7D65"/>
    <w:rsid w:val="00BB13B7"/>
    <w:rsid w:val="00BB1811"/>
    <w:rsid w:val="00BB2E13"/>
    <w:rsid w:val="00BB3C91"/>
    <w:rsid w:val="00BB5A86"/>
    <w:rsid w:val="00BB70CE"/>
    <w:rsid w:val="00BC15A8"/>
    <w:rsid w:val="00BC1BF5"/>
    <w:rsid w:val="00BC28FE"/>
    <w:rsid w:val="00BC4E99"/>
    <w:rsid w:val="00BC4F24"/>
    <w:rsid w:val="00BC525E"/>
    <w:rsid w:val="00BC555D"/>
    <w:rsid w:val="00BD0E11"/>
    <w:rsid w:val="00BD3B5F"/>
    <w:rsid w:val="00BD485E"/>
    <w:rsid w:val="00BD4F1C"/>
    <w:rsid w:val="00BD6359"/>
    <w:rsid w:val="00BE0BB0"/>
    <w:rsid w:val="00BE0D4D"/>
    <w:rsid w:val="00BE12BB"/>
    <w:rsid w:val="00BE2472"/>
    <w:rsid w:val="00BE302B"/>
    <w:rsid w:val="00BE3AFD"/>
    <w:rsid w:val="00BE5091"/>
    <w:rsid w:val="00BE6ED5"/>
    <w:rsid w:val="00BE72CD"/>
    <w:rsid w:val="00BF1AD2"/>
    <w:rsid w:val="00BF2344"/>
    <w:rsid w:val="00BF46C7"/>
    <w:rsid w:val="00BF4990"/>
    <w:rsid w:val="00BF599D"/>
    <w:rsid w:val="00C02803"/>
    <w:rsid w:val="00C06B3E"/>
    <w:rsid w:val="00C072BF"/>
    <w:rsid w:val="00C074BF"/>
    <w:rsid w:val="00C13C6D"/>
    <w:rsid w:val="00C212EC"/>
    <w:rsid w:val="00C218B1"/>
    <w:rsid w:val="00C225B1"/>
    <w:rsid w:val="00C22E6E"/>
    <w:rsid w:val="00C30AF0"/>
    <w:rsid w:val="00C320F5"/>
    <w:rsid w:val="00C4144D"/>
    <w:rsid w:val="00C435D9"/>
    <w:rsid w:val="00C4773D"/>
    <w:rsid w:val="00C520BA"/>
    <w:rsid w:val="00C52137"/>
    <w:rsid w:val="00C52CB6"/>
    <w:rsid w:val="00C53025"/>
    <w:rsid w:val="00C530C7"/>
    <w:rsid w:val="00C54075"/>
    <w:rsid w:val="00C56188"/>
    <w:rsid w:val="00C569E0"/>
    <w:rsid w:val="00C62E44"/>
    <w:rsid w:val="00C62E63"/>
    <w:rsid w:val="00C649F0"/>
    <w:rsid w:val="00C71198"/>
    <w:rsid w:val="00C73084"/>
    <w:rsid w:val="00C74F22"/>
    <w:rsid w:val="00C77234"/>
    <w:rsid w:val="00C8071A"/>
    <w:rsid w:val="00C8148C"/>
    <w:rsid w:val="00C83AA4"/>
    <w:rsid w:val="00C8481C"/>
    <w:rsid w:val="00C84880"/>
    <w:rsid w:val="00C85614"/>
    <w:rsid w:val="00C90569"/>
    <w:rsid w:val="00C9113C"/>
    <w:rsid w:val="00C94923"/>
    <w:rsid w:val="00CA030E"/>
    <w:rsid w:val="00CA12F5"/>
    <w:rsid w:val="00CA284E"/>
    <w:rsid w:val="00CA343B"/>
    <w:rsid w:val="00CA4AC2"/>
    <w:rsid w:val="00CA73B4"/>
    <w:rsid w:val="00CA73D7"/>
    <w:rsid w:val="00CA7CAA"/>
    <w:rsid w:val="00CB18B4"/>
    <w:rsid w:val="00CB23FD"/>
    <w:rsid w:val="00CB3841"/>
    <w:rsid w:val="00CB6859"/>
    <w:rsid w:val="00CB73B5"/>
    <w:rsid w:val="00CC4A5F"/>
    <w:rsid w:val="00CD3542"/>
    <w:rsid w:val="00CD4023"/>
    <w:rsid w:val="00CD4603"/>
    <w:rsid w:val="00CD7A44"/>
    <w:rsid w:val="00CE0C25"/>
    <w:rsid w:val="00CE1DDD"/>
    <w:rsid w:val="00CE3024"/>
    <w:rsid w:val="00CE6CDD"/>
    <w:rsid w:val="00CE6F54"/>
    <w:rsid w:val="00CE71EA"/>
    <w:rsid w:val="00CF2D4F"/>
    <w:rsid w:val="00CF3F51"/>
    <w:rsid w:val="00CF6CA2"/>
    <w:rsid w:val="00D0205E"/>
    <w:rsid w:val="00D04212"/>
    <w:rsid w:val="00D0541D"/>
    <w:rsid w:val="00D061F3"/>
    <w:rsid w:val="00D06807"/>
    <w:rsid w:val="00D07EA4"/>
    <w:rsid w:val="00D12369"/>
    <w:rsid w:val="00D124A7"/>
    <w:rsid w:val="00D150FE"/>
    <w:rsid w:val="00D155B6"/>
    <w:rsid w:val="00D21AC6"/>
    <w:rsid w:val="00D23479"/>
    <w:rsid w:val="00D2608A"/>
    <w:rsid w:val="00D30625"/>
    <w:rsid w:val="00D33E6B"/>
    <w:rsid w:val="00D367F2"/>
    <w:rsid w:val="00D37022"/>
    <w:rsid w:val="00D37619"/>
    <w:rsid w:val="00D402F0"/>
    <w:rsid w:val="00D41967"/>
    <w:rsid w:val="00D42159"/>
    <w:rsid w:val="00D424C0"/>
    <w:rsid w:val="00D42674"/>
    <w:rsid w:val="00D447DF"/>
    <w:rsid w:val="00D453EE"/>
    <w:rsid w:val="00D46D32"/>
    <w:rsid w:val="00D50F6A"/>
    <w:rsid w:val="00D55CA6"/>
    <w:rsid w:val="00D57A4D"/>
    <w:rsid w:val="00D618D4"/>
    <w:rsid w:val="00D645CA"/>
    <w:rsid w:val="00D716E0"/>
    <w:rsid w:val="00D71DA2"/>
    <w:rsid w:val="00D72296"/>
    <w:rsid w:val="00D72A30"/>
    <w:rsid w:val="00D73095"/>
    <w:rsid w:val="00D73ED8"/>
    <w:rsid w:val="00D803B7"/>
    <w:rsid w:val="00D80A15"/>
    <w:rsid w:val="00D864D0"/>
    <w:rsid w:val="00D87505"/>
    <w:rsid w:val="00D87632"/>
    <w:rsid w:val="00D90835"/>
    <w:rsid w:val="00D915AA"/>
    <w:rsid w:val="00D928BE"/>
    <w:rsid w:val="00D9411D"/>
    <w:rsid w:val="00DA0250"/>
    <w:rsid w:val="00DA0776"/>
    <w:rsid w:val="00DA1D8C"/>
    <w:rsid w:val="00DA27DC"/>
    <w:rsid w:val="00DA4A18"/>
    <w:rsid w:val="00DA4B71"/>
    <w:rsid w:val="00DA5558"/>
    <w:rsid w:val="00DA6899"/>
    <w:rsid w:val="00DA6FC2"/>
    <w:rsid w:val="00DA765D"/>
    <w:rsid w:val="00DB1D64"/>
    <w:rsid w:val="00DB2421"/>
    <w:rsid w:val="00DB7141"/>
    <w:rsid w:val="00DB73F1"/>
    <w:rsid w:val="00DC155E"/>
    <w:rsid w:val="00DC1AD4"/>
    <w:rsid w:val="00DC2BA9"/>
    <w:rsid w:val="00DC5FEE"/>
    <w:rsid w:val="00DC65F8"/>
    <w:rsid w:val="00DC6C5A"/>
    <w:rsid w:val="00DD25C8"/>
    <w:rsid w:val="00DD2A8E"/>
    <w:rsid w:val="00DD33FA"/>
    <w:rsid w:val="00DD60E3"/>
    <w:rsid w:val="00DD649F"/>
    <w:rsid w:val="00DE0F42"/>
    <w:rsid w:val="00DE2DA2"/>
    <w:rsid w:val="00DE5844"/>
    <w:rsid w:val="00DF29C0"/>
    <w:rsid w:val="00DF3C89"/>
    <w:rsid w:val="00DF6E85"/>
    <w:rsid w:val="00E01A0F"/>
    <w:rsid w:val="00E01E6C"/>
    <w:rsid w:val="00E0290D"/>
    <w:rsid w:val="00E02D6D"/>
    <w:rsid w:val="00E12172"/>
    <w:rsid w:val="00E137D8"/>
    <w:rsid w:val="00E13BEC"/>
    <w:rsid w:val="00E149BC"/>
    <w:rsid w:val="00E16454"/>
    <w:rsid w:val="00E16C1B"/>
    <w:rsid w:val="00E2514C"/>
    <w:rsid w:val="00E2544E"/>
    <w:rsid w:val="00E26FB2"/>
    <w:rsid w:val="00E3025C"/>
    <w:rsid w:val="00E328B3"/>
    <w:rsid w:val="00E337A0"/>
    <w:rsid w:val="00E33913"/>
    <w:rsid w:val="00E4473B"/>
    <w:rsid w:val="00E4696D"/>
    <w:rsid w:val="00E5079C"/>
    <w:rsid w:val="00E50AEF"/>
    <w:rsid w:val="00E51735"/>
    <w:rsid w:val="00E5173E"/>
    <w:rsid w:val="00E54817"/>
    <w:rsid w:val="00E609ED"/>
    <w:rsid w:val="00E63DDE"/>
    <w:rsid w:val="00E643E7"/>
    <w:rsid w:val="00E6506D"/>
    <w:rsid w:val="00E6705F"/>
    <w:rsid w:val="00E675F4"/>
    <w:rsid w:val="00E7119A"/>
    <w:rsid w:val="00E71826"/>
    <w:rsid w:val="00E729C1"/>
    <w:rsid w:val="00E73B71"/>
    <w:rsid w:val="00E76DD5"/>
    <w:rsid w:val="00E76FB7"/>
    <w:rsid w:val="00E819B9"/>
    <w:rsid w:val="00E826FB"/>
    <w:rsid w:val="00E83F86"/>
    <w:rsid w:val="00E855E0"/>
    <w:rsid w:val="00E870A9"/>
    <w:rsid w:val="00E878E0"/>
    <w:rsid w:val="00E87F23"/>
    <w:rsid w:val="00E91BFB"/>
    <w:rsid w:val="00E97824"/>
    <w:rsid w:val="00EA11B2"/>
    <w:rsid w:val="00EA2092"/>
    <w:rsid w:val="00EA6F89"/>
    <w:rsid w:val="00EB1CA9"/>
    <w:rsid w:val="00EB3B2F"/>
    <w:rsid w:val="00EB548A"/>
    <w:rsid w:val="00EB76CD"/>
    <w:rsid w:val="00EC0A35"/>
    <w:rsid w:val="00EC27F7"/>
    <w:rsid w:val="00EC3439"/>
    <w:rsid w:val="00EC5EAF"/>
    <w:rsid w:val="00EC5F9C"/>
    <w:rsid w:val="00EC71EE"/>
    <w:rsid w:val="00ED00F7"/>
    <w:rsid w:val="00ED1A92"/>
    <w:rsid w:val="00ED2184"/>
    <w:rsid w:val="00ED3AFC"/>
    <w:rsid w:val="00ED4159"/>
    <w:rsid w:val="00ED7083"/>
    <w:rsid w:val="00EE0CF4"/>
    <w:rsid w:val="00EE1167"/>
    <w:rsid w:val="00EE2186"/>
    <w:rsid w:val="00EE2E9F"/>
    <w:rsid w:val="00EE7355"/>
    <w:rsid w:val="00EE79E1"/>
    <w:rsid w:val="00EF05F7"/>
    <w:rsid w:val="00EF164C"/>
    <w:rsid w:val="00F01DDA"/>
    <w:rsid w:val="00F041B2"/>
    <w:rsid w:val="00F04DD2"/>
    <w:rsid w:val="00F050C6"/>
    <w:rsid w:val="00F05BFE"/>
    <w:rsid w:val="00F05EB4"/>
    <w:rsid w:val="00F0628F"/>
    <w:rsid w:val="00F06710"/>
    <w:rsid w:val="00F07DF8"/>
    <w:rsid w:val="00F100C9"/>
    <w:rsid w:val="00F1281A"/>
    <w:rsid w:val="00F13B45"/>
    <w:rsid w:val="00F16B5E"/>
    <w:rsid w:val="00F17A04"/>
    <w:rsid w:val="00F17BD8"/>
    <w:rsid w:val="00F17FA9"/>
    <w:rsid w:val="00F21F87"/>
    <w:rsid w:val="00F232CC"/>
    <w:rsid w:val="00F31CFB"/>
    <w:rsid w:val="00F34CFC"/>
    <w:rsid w:val="00F355B8"/>
    <w:rsid w:val="00F37316"/>
    <w:rsid w:val="00F435A5"/>
    <w:rsid w:val="00F469F7"/>
    <w:rsid w:val="00F505C1"/>
    <w:rsid w:val="00F5103E"/>
    <w:rsid w:val="00F52E00"/>
    <w:rsid w:val="00F54EDE"/>
    <w:rsid w:val="00F60294"/>
    <w:rsid w:val="00F615A2"/>
    <w:rsid w:val="00F63BDA"/>
    <w:rsid w:val="00F64424"/>
    <w:rsid w:val="00F64BEA"/>
    <w:rsid w:val="00F67802"/>
    <w:rsid w:val="00F7129C"/>
    <w:rsid w:val="00F71F27"/>
    <w:rsid w:val="00F7332F"/>
    <w:rsid w:val="00F754EA"/>
    <w:rsid w:val="00F76160"/>
    <w:rsid w:val="00F806D1"/>
    <w:rsid w:val="00F81FEE"/>
    <w:rsid w:val="00F85441"/>
    <w:rsid w:val="00F90B8B"/>
    <w:rsid w:val="00F924DC"/>
    <w:rsid w:val="00F94317"/>
    <w:rsid w:val="00F95648"/>
    <w:rsid w:val="00F96F92"/>
    <w:rsid w:val="00F97741"/>
    <w:rsid w:val="00F9778F"/>
    <w:rsid w:val="00F97CC0"/>
    <w:rsid w:val="00FA1D4C"/>
    <w:rsid w:val="00FA2FD7"/>
    <w:rsid w:val="00FA3A93"/>
    <w:rsid w:val="00FA477B"/>
    <w:rsid w:val="00FA62AC"/>
    <w:rsid w:val="00FA6732"/>
    <w:rsid w:val="00FB0570"/>
    <w:rsid w:val="00FB133A"/>
    <w:rsid w:val="00FB193C"/>
    <w:rsid w:val="00FB7F79"/>
    <w:rsid w:val="00FC3C47"/>
    <w:rsid w:val="00FC6FDC"/>
    <w:rsid w:val="00FC77C4"/>
    <w:rsid w:val="00FD2DA2"/>
    <w:rsid w:val="00FD3085"/>
    <w:rsid w:val="00FD4119"/>
    <w:rsid w:val="00FD4728"/>
    <w:rsid w:val="00FD685A"/>
    <w:rsid w:val="00FE06C7"/>
    <w:rsid w:val="00FE0D72"/>
    <w:rsid w:val="00FE3132"/>
    <w:rsid w:val="00FE345D"/>
    <w:rsid w:val="00FE38B7"/>
    <w:rsid w:val="00FE4ACD"/>
    <w:rsid w:val="00FE4D74"/>
    <w:rsid w:val="00FE57DA"/>
    <w:rsid w:val="00FE77DE"/>
    <w:rsid w:val="00FE7F12"/>
    <w:rsid w:val="00FF048E"/>
    <w:rsid w:val="00FF3A41"/>
    <w:rsid w:val="00FF3B18"/>
    <w:rsid w:val="00FF5D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7133631-5DCC-4AC9-B28E-A5DC84458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E1088"/>
    <w:pPr>
      <w:widowControl w:val="0"/>
      <w:autoSpaceDE w:val="0"/>
      <w:autoSpaceDN w:val="0"/>
      <w:adjustRightInd w:val="0"/>
    </w:pPr>
    <w:rPr>
      <w:rFonts w:ascii="AR NewHeiB5 Bold" w:eastAsia="AR NewHeiB5 Bold" w:cs="AR NewHeiB5 Bold"/>
      <w:color w:val="000000"/>
      <w:kern w:val="0"/>
      <w:szCs w:val="24"/>
    </w:rPr>
  </w:style>
  <w:style w:type="character" w:customStyle="1" w:styleId="A9">
    <w:name w:val="A9"/>
    <w:uiPriority w:val="99"/>
    <w:rsid w:val="009E1088"/>
    <w:rPr>
      <w:rFonts w:cs="AR NewHeiB5 Bold"/>
      <w:b/>
      <w:bCs/>
      <w:color w:val="000000"/>
      <w:sz w:val="20"/>
      <w:szCs w:val="20"/>
      <w:u w:val="single"/>
    </w:rPr>
  </w:style>
  <w:style w:type="paragraph" w:styleId="a3">
    <w:name w:val="header"/>
    <w:basedOn w:val="a"/>
    <w:link w:val="a4"/>
    <w:uiPriority w:val="99"/>
    <w:unhideWhenUsed/>
    <w:rsid w:val="00D80A15"/>
    <w:pPr>
      <w:tabs>
        <w:tab w:val="center" w:pos="4153"/>
        <w:tab w:val="right" w:pos="8306"/>
      </w:tabs>
      <w:snapToGrid w:val="0"/>
    </w:pPr>
    <w:rPr>
      <w:sz w:val="20"/>
      <w:szCs w:val="20"/>
    </w:rPr>
  </w:style>
  <w:style w:type="character" w:customStyle="1" w:styleId="a4">
    <w:name w:val="頁首 字元"/>
    <w:basedOn w:val="a0"/>
    <w:link w:val="a3"/>
    <w:uiPriority w:val="99"/>
    <w:rsid w:val="00D80A15"/>
    <w:rPr>
      <w:sz w:val="20"/>
      <w:szCs w:val="20"/>
    </w:rPr>
  </w:style>
  <w:style w:type="paragraph" w:styleId="a5">
    <w:name w:val="footer"/>
    <w:basedOn w:val="a"/>
    <w:link w:val="a6"/>
    <w:uiPriority w:val="99"/>
    <w:unhideWhenUsed/>
    <w:rsid w:val="00D80A15"/>
    <w:pPr>
      <w:tabs>
        <w:tab w:val="center" w:pos="4153"/>
        <w:tab w:val="right" w:pos="8306"/>
      </w:tabs>
      <w:snapToGrid w:val="0"/>
    </w:pPr>
    <w:rPr>
      <w:sz w:val="20"/>
      <w:szCs w:val="20"/>
    </w:rPr>
  </w:style>
  <w:style w:type="character" w:customStyle="1" w:styleId="a6">
    <w:name w:val="頁尾 字元"/>
    <w:basedOn w:val="a0"/>
    <w:link w:val="a5"/>
    <w:uiPriority w:val="99"/>
    <w:rsid w:val="00D80A15"/>
    <w:rPr>
      <w:sz w:val="20"/>
      <w:szCs w:val="20"/>
    </w:rPr>
  </w:style>
  <w:style w:type="paragraph" w:styleId="a7">
    <w:name w:val="List Paragraph"/>
    <w:basedOn w:val="a"/>
    <w:uiPriority w:val="34"/>
    <w:qFormat/>
    <w:rsid w:val="00D80A15"/>
    <w:pPr>
      <w:ind w:leftChars="200" w:left="480"/>
    </w:pPr>
  </w:style>
  <w:style w:type="table" w:styleId="a8">
    <w:name w:val="Table Grid"/>
    <w:basedOn w:val="a1"/>
    <w:uiPriority w:val="39"/>
    <w:rsid w:val="002C2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8286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82867"/>
    <w:rPr>
      <w:rFonts w:asciiTheme="majorHAnsi" w:eastAsiaTheme="majorEastAsia" w:hAnsiTheme="majorHAnsi" w:cstheme="majorBidi"/>
      <w:sz w:val="18"/>
      <w:szCs w:val="18"/>
    </w:rPr>
  </w:style>
  <w:style w:type="paragraph" w:customStyle="1" w:styleId="Pa18">
    <w:name w:val="Pa18"/>
    <w:basedOn w:val="Default"/>
    <w:next w:val="Default"/>
    <w:uiPriority w:val="99"/>
    <w:rsid w:val="00246B68"/>
    <w:pPr>
      <w:spacing w:line="201" w:lineRule="atLeast"/>
    </w:pPr>
    <w:rPr>
      <w:rFonts w:cstheme="minorBidi"/>
      <w:color w:val="auto"/>
    </w:rPr>
  </w:style>
  <w:style w:type="character" w:customStyle="1" w:styleId="A26">
    <w:name w:val="A26"/>
    <w:uiPriority w:val="99"/>
    <w:rsid w:val="00246B68"/>
    <w:rPr>
      <w:rFonts w:ascii="Gill Sans Nova SemiBold" w:eastAsia="Gill Sans Nova SemiBold" w:cs="Gill Sans Nova SemiBold"/>
      <w:b/>
      <w:bCs/>
      <w:color w:val="000000"/>
      <w:sz w:val="22"/>
      <w:szCs w:val="22"/>
    </w:rPr>
  </w:style>
  <w:style w:type="character" w:styleId="ac">
    <w:name w:val="Placeholder Text"/>
    <w:basedOn w:val="a0"/>
    <w:uiPriority w:val="99"/>
    <w:semiHidden/>
    <w:rsid w:val="00614D2C"/>
    <w:rPr>
      <w:color w:val="808080"/>
    </w:rPr>
  </w:style>
  <w:style w:type="character" w:styleId="ad">
    <w:name w:val="annotation reference"/>
    <w:basedOn w:val="a0"/>
    <w:uiPriority w:val="99"/>
    <w:semiHidden/>
    <w:unhideWhenUsed/>
    <w:rsid w:val="00CA284E"/>
    <w:rPr>
      <w:sz w:val="18"/>
      <w:szCs w:val="18"/>
    </w:rPr>
  </w:style>
  <w:style w:type="paragraph" w:styleId="ae">
    <w:name w:val="annotation text"/>
    <w:basedOn w:val="a"/>
    <w:link w:val="af"/>
    <w:uiPriority w:val="99"/>
    <w:semiHidden/>
    <w:unhideWhenUsed/>
    <w:rsid w:val="00CA284E"/>
  </w:style>
  <w:style w:type="character" w:customStyle="1" w:styleId="af">
    <w:name w:val="註解文字 字元"/>
    <w:basedOn w:val="a0"/>
    <w:link w:val="ae"/>
    <w:uiPriority w:val="99"/>
    <w:semiHidden/>
    <w:rsid w:val="00CA284E"/>
  </w:style>
  <w:style w:type="paragraph" w:styleId="af0">
    <w:name w:val="annotation subject"/>
    <w:basedOn w:val="ae"/>
    <w:next w:val="ae"/>
    <w:link w:val="af1"/>
    <w:uiPriority w:val="99"/>
    <w:semiHidden/>
    <w:unhideWhenUsed/>
    <w:rsid w:val="00CA284E"/>
    <w:rPr>
      <w:b/>
      <w:bCs/>
    </w:rPr>
  </w:style>
  <w:style w:type="character" w:customStyle="1" w:styleId="af1">
    <w:name w:val="註解主旨 字元"/>
    <w:basedOn w:val="af"/>
    <w:link w:val="af0"/>
    <w:uiPriority w:val="99"/>
    <w:semiHidden/>
    <w:rsid w:val="00CA28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45153">
      <w:bodyDiv w:val="1"/>
      <w:marLeft w:val="0"/>
      <w:marRight w:val="0"/>
      <w:marTop w:val="0"/>
      <w:marBottom w:val="0"/>
      <w:divBdr>
        <w:top w:val="none" w:sz="0" w:space="0" w:color="auto"/>
        <w:left w:val="none" w:sz="0" w:space="0" w:color="auto"/>
        <w:bottom w:val="none" w:sz="0" w:space="0" w:color="auto"/>
        <w:right w:val="none" w:sz="0" w:space="0" w:color="auto"/>
      </w:divBdr>
    </w:div>
    <w:div w:id="271326660">
      <w:bodyDiv w:val="1"/>
      <w:marLeft w:val="0"/>
      <w:marRight w:val="0"/>
      <w:marTop w:val="0"/>
      <w:marBottom w:val="0"/>
      <w:divBdr>
        <w:top w:val="none" w:sz="0" w:space="0" w:color="auto"/>
        <w:left w:val="none" w:sz="0" w:space="0" w:color="auto"/>
        <w:bottom w:val="none" w:sz="0" w:space="0" w:color="auto"/>
        <w:right w:val="none" w:sz="0" w:space="0" w:color="auto"/>
      </w:divBdr>
    </w:div>
    <w:div w:id="386152635">
      <w:bodyDiv w:val="1"/>
      <w:marLeft w:val="0"/>
      <w:marRight w:val="0"/>
      <w:marTop w:val="0"/>
      <w:marBottom w:val="0"/>
      <w:divBdr>
        <w:top w:val="none" w:sz="0" w:space="0" w:color="auto"/>
        <w:left w:val="none" w:sz="0" w:space="0" w:color="auto"/>
        <w:bottom w:val="none" w:sz="0" w:space="0" w:color="auto"/>
        <w:right w:val="none" w:sz="0" w:space="0" w:color="auto"/>
      </w:divBdr>
    </w:div>
    <w:div w:id="627972474">
      <w:bodyDiv w:val="1"/>
      <w:marLeft w:val="0"/>
      <w:marRight w:val="0"/>
      <w:marTop w:val="0"/>
      <w:marBottom w:val="0"/>
      <w:divBdr>
        <w:top w:val="none" w:sz="0" w:space="0" w:color="auto"/>
        <w:left w:val="none" w:sz="0" w:space="0" w:color="auto"/>
        <w:bottom w:val="none" w:sz="0" w:space="0" w:color="auto"/>
        <w:right w:val="none" w:sz="0" w:space="0" w:color="auto"/>
      </w:divBdr>
    </w:div>
    <w:div w:id="783227505">
      <w:bodyDiv w:val="1"/>
      <w:marLeft w:val="0"/>
      <w:marRight w:val="0"/>
      <w:marTop w:val="0"/>
      <w:marBottom w:val="0"/>
      <w:divBdr>
        <w:top w:val="none" w:sz="0" w:space="0" w:color="auto"/>
        <w:left w:val="none" w:sz="0" w:space="0" w:color="auto"/>
        <w:bottom w:val="none" w:sz="0" w:space="0" w:color="auto"/>
        <w:right w:val="none" w:sz="0" w:space="0" w:color="auto"/>
      </w:divBdr>
    </w:div>
    <w:div w:id="1323270132">
      <w:bodyDiv w:val="1"/>
      <w:marLeft w:val="0"/>
      <w:marRight w:val="0"/>
      <w:marTop w:val="0"/>
      <w:marBottom w:val="0"/>
      <w:divBdr>
        <w:top w:val="none" w:sz="0" w:space="0" w:color="auto"/>
        <w:left w:val="none" w:sz="0" w:space="0" w:color="auto"/>
        <w:bottom w:val="none" w:sz="0" w:space="0" w:color="auto"/>
        <w:right w:val="none" w:sz="0" w:space="0" w:color="auto"/>
      </w:divBdr>
    </w:div>
    <w:div w:id="1603417260">
      <w:bodyDiv w:val="1"/>
      <w:marLeft w:val="0"/>
      <w:marRight w:val="0"/>
      <w:marTop w:val="0"/>
      <w:marBottom w:val="0"/>
      <w:divBdr>
        <w:top w:val="none" w:sz="0" w:space="0" w:color="auto"/>
        <w:left w:val="none" w:sz="0" w:space="0" w:color="auto"/>
        <w:bottom w:val="none" w:sz="0" w:space="0" w:color="auto"/>
        <w:right w:val="none" w:sz="0" w:space="0" w:color="auto"/>
      </w:divBdr>
    </w:div>
    <w:div w:id="1635519392">
      <w:bodyDiv w:val="1"/>
      <w:marLeft w:val="0"/>
      <w:marRight w:val="0"/>
      <w:marTop w:val="0"/>
      <w:marBottom w:val="0"/>
      <w:divBdr>
        <w:top w:val="none" w:sz="0" w:space="0" w:color="auto"/>
        <w:left w:val="none" w:sz="0" w:space="0" w:color="auto"/>
        <w:bottom w:val="none" w:sz="0" w:space="0" w:color="auto"/>
        <w:right w:val="none" w:sz="0" w:space="0" w:color="auto"/>
      </w:divBdr>
    </w:div>
    <w:div w:id="1715959771">
      <w:bodyDiv w:val="1"/>
      <w:marLeft w:val="0"/>
      <w:marRight w:val="0"/>
      <w:marTop w:val="0"/>
      <w:marBottom w:val="0"/>
      <w:divBdr>
        <w:top w:val="none" w:sz="0" w:space="0" w:color="auto"/>
        <w:left w:val="none" w:sz="0" w:space="0" w:color="auto"/>
        <w:bottom w:val="none" w:sz="0" w:space="0" w:color="auto"/>
        <w:right w:val="none" w:sz="0" w:space="0" w:color="auto"/>
      </w:divBdr>
    </w:div>
    <w:div w:id="1785346308">
      <w:bodyDiv w:val="1"/>
      <w:marLeft w:val="0"/>
      <w:marRight w:val="0"/>
      <w:marTop w:val="0"/>
      <w:marBottom w:val="0"/>
      <w:divBdr>
        <w:top w:val="none" w:sz="0" w:space="0" w:color="auto"/>
        <w:left w:val="none" w:sz="0" w:space="0" w:color="auto"/>
        <w:bottom w:val="none" w:sz="0" w:space="0" w:color="auto"/>
        <w:right w:val="none" w:sz="0" w:space="0" w:color="auto"/>
      </w:divBdr>
    </w:div>
    <w:div w:id="2018530965">
      <w:bodyDiv w:val="1"/>
      <w:marLeft w:val="0"/>
      <w:marRight w:val="0"/>
      <w:marTop w:val="0"/>
      <w:marBottom w:val="0"/>
      <w:divBdr>
        <w:top w:val="none" w:sz="0" w:space="0" w:color="auto"/>
        <w:left w:val="none" w:sz="0" w:space="0" w:color="auto"/>
        <w:bottom w:val="none" w:sz="0" w:space="0" w:color="auto"/>
        <w:right w:val="none" w:sz="0" w:space="0" w:color="auto"/>
      </w:divBdr>
    </w:div>
    <w:div w:id="207881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1AACB-48C1-4E60-9C7A-3057DBFE7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827</Words>
  <Characters>4718</Characters>
  <Application>Microsoft Office Word</Application>
  <DocSecurity>0</DocSecurity>
  <Lines>39</Lines>
  <Paragraphs>11</Paragraphs>
  <ScaleCrop>false</ScaleCrop>
  <Company>TWSE 臺灣證券交易所</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高晟晉</dc:creator>
  <cp:lastModifiedBy>戴文媛</cp:lastModifiedBy>
  <cp:revision>2</cp:revision>
  <cp:lastPrinted>2018-10-01T07:30:00Z</cp:lastPrinted>
  <dcterms:created xsi:type="dcterms:W3CDTF">2019-01-04T09:44:00Z</dcterms:created>
  <dcterms:modified xsi:type="dcterms:W3CDTF">2019-01-04T09:44:00Z</dcterms:modified>
</cp:coreProperties>
</file>