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7A" w:rsidRPr="00495D44" w:rsidRDefault="000B64E0" w:rsidP="0096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標楷體" w:eastAsia="標楷體" w:hAnsi="標楷體" w:cstheme="minorHAnsi"/>
          <w:color w:val="000000" w:themeColor="text1"/>
          <w:sz w:val="28"/>
          <w:szCs w:val="28"/>
        </w:rPr>
      </w:pPr>
      <w:r w:rsidRPr="000B64E0">
        <w:rPr>
          <w:rFonts w:ascii="標楷體" w:eastAsia="標楷體" w:hAnsi="標楷體" w:cstheme="minorHAnsi" w:hint="eastAsia"/>
          <w:color w:val="000000" w:themeColor="text1"/>
          <w:sz w:val="28"/>
          <w:szCs w:val="28"/>
        </w:rPr>
        <w:t>臺灣證券交易所股份有限公司</w:t>
      </w:r>
      <w:r w:rsidR="0096247A" w:rsidRPr="00495D44">
        <w:rPr>
          <w:rFonts w:ascii="標楷體" w:eastAsia="標楷體" w:hAnsi="標楷體" w:cstheme="minorHAnsi" w:hint="eastAsia"/>
          <w:color w:val="000000" w:themeColor="text1"/>
          <w:sz w:val="28"/>
          <w:szCs w:val="28"/>
        </w:rPr>
        <w:t>「</w:t>
      </w:r>
      <w:r w:rsidR="001E6FD2" w:rsidRPr="00495D44">
        <w:rPr>
          <w:rFonts w:ascii="標楷體" w:eastAsia="標楷體" w:hAnsi="標楷體" w:hint="eastAsia"/>
          <w:color w:val="000000" w:themeColor="text1"/>
          <w:sz w:val="28"/>
          <w:szCs w:val="28"/>
        </w:rPr>
        <w:t>上市公司董事會</w:t>
      </w:r>
      <w:r w:rsidR="00AA3E7F" w:rsidRPr="00495D44">
        <w:rPr>
          <w:rFonts w:ascii="標楷體" w:eastAsia="標楷體" w:hAnsi="標楷體" w:hint="eastAsia"/>
          <w:color w:val="000000" w:themeColor="text1"/>
          <w:sz w:val="28"/>
          <w:szCs w:val="28"/>
        </w:rPr>
        <w:t>設置</w:t>
      </w:r>
      <w:r w:rsidR="001E6FD2" w:rsidRPr="00495D44">
        <w:rPr>
          <w:rFonts w:ascii="標楷體" w:eastAsia="標楷體" w:hAnsi="標楷體" w:hint="eastAsia"/>
          <w:color w:val="000000" w:themeColor="text1"/>
          <w:sz w:val="28"/>
          <w:szCs w:val="28"/>
        </w:rPr>
        <w:t>及行使職權應遵循事項</w:t>
      </w:r>
      <w:r w:rsidR="00112698" w:rsidRPr="00495D44">
        <w:rPr>
          <w:rFonts w:ascii="標楷體" w:eastAsia="標楷體" w:hAnsi="標楷體" w:cstheme="minorHAnsi" w:hint="eastAsia"/>
          <w:color w:val="000000" w:themeColor="text1"/>
          <w:sz w:val="28"/>
          <w:szCs w:val="28"/>
        </w:rPr>
        <w:t>要點</w:t>
      </w:r>
      <w:r w:rsidR="0096247A" w:rsidRPr="00495D44">
        <w:rPr>
          <w:rFonts w:ascii="標楷體" w:eastAsia="標楷體" w:hAnsi="標楷體" w:cstheme="minorHAnsi" w:hint="eastAsia"/>
          <w:color w:val="000000" w:themeColor="text1"/>
          <w:sz w:val="28"/>
          <w:szCs w:val="28"/>
        </w:rPr>
        <w:t>」</w:t>
      </w:r>
      <w:r w:rsidR="001E6FD2" w:rsidRPr="00495D44">
        <w:rPr>
          <w:rFonts w:ascii="標楷體" w:eastAsia="標楷體" w:hAnsi="標楷體" w:cstheme="minorHAnsi" w:hint="eastAsia"/>
          <w:color w:val="000000" w:themeColor="text1"/>
          <w:sz w:val="28"/>
          <w:szCs w:val="28"/>
        </w:rPr>
        <w:t>修正</w:t>
      </w:r>
      <w:r w:rsidR="00751A20" w:rsidRPr="00495D44">
        <w:rPr>
          <w:rFonts w:ascii="標楷體" w:eastAsia="標楷體" w:hAnsi="標楷體" w:cstheme="minorHAnsi" w:hint="eastAsia"/>
          <w:color w:val="000000" w:themeColor="text1"/>
          <w:sz w:val="28"/>
          <w:szCs w:val="28"/>
        </w:rPr>
        <w:t>總</w:t>
      </w:r>
      <w:r w:rsidR="0096247A" w:rsidRPr="00495D44">
        <w:rPr>
          <w:rFonts w:ascii="標楷體" w:eastAsia="標楷體" w:hAnsi="標楷體" w:cstheme="minorHAnsi" w:hint="eastAsia"/>
          <w:color w:val="000000" w:themeColor="text1"/>
          <w:sz w:val="28"/>
          <w:szCs w:val="28"/>
        </w:rPr>
        <w:t>說明</w:t>
      </w:r>
    </w:p>
    <w:p w:rsidR="00BA2F4F" w:rsidRPr="00495D44" w:rsidRDefault="00B15FF0" w:rsidP="005C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Chars="118" w:firstLine="283"/>
        <w:rPr>
          <w:rFonts w:ascii="標楷體" w:eastAsia="標楷體" w:hAnsi="標楷體" w:cstheme="minorHAnsi"/>
          <w:color w:val="000000" w:themeColor="text1"/>
          <w:szCs w:val="24"/>
        </w:rPr>
      </w:pPr>
      <w:r w:rsidRPr="00495D44">
        <w:rPr>
          <w:rFonts w:ascii="標楷體" w:eastAsia="標楷體" w:hAnsi="標楷體" w:cstheme="minorHAnsi" w:hint="eastAsia"/>
          <w:color w:val="000000" w:themeColor="text1"/>
          <w:szCs w:val="24"/>
        </w:rPr>
        <w:t>爰</w:t>
      </w:r>
      <w:r w:rsidRPr="00495D44">
        <w:rPr>
          <w:rFonts w:ascii="標楷體" w:eastAsia="標楷體" w:hAnsi="標楷體" w:cstheme="minorHAnsi"/>
          <w:color w:val="000000" w:themeColor="text1"/>
          <w:szCs w:val="24"/>
        </w:rPr>
        <w:t>200</w:t>
      </w:r>
      <w:r w:rsidRPr="00495D44">
        <w:rPr>
          <w:rFonts w:ascii="標楷體" w:eastAsia="標楷體" w:hAnsi="標楷體" w:cstheme="minorHAnsi" w:hint="eastAsia"/>
          <w:color w:val="000000" w:themeColor="text1"/>
          <w:szCs w:val="24"/>
        </w:rPr>
        <w:t>2年為推動獨立董事</w:t>
      </w:r>
      <w:r w:rsidR="00112698" w:rsidRPr="00495D44">
        <w:rPr>
          <w:rFonts w:ascii="標楷體" w:eastAsia="標楷體" w:hAnsi="標楷體" w:cstheme="minorHAnsi" w:hint="eastAsia"/>
          <w:color w:val="000000" w:themeColor="text1"/>
          <w:szCs w:val="24"/>
        </w:rPr>
        <w:t>制度</w:t>
      </w:r>
      <w:r w:rsidRPr="00495D44">
        <w:rPr>
          <w:rFonts w:ascii="標楷體" w:eastAsia="標楷體" w:hAnsi="標楷體" w:cstheme="minorHAnsi" w:hint="eastAsia"/>
          <w:color w:val="000000" w:themeColor="text1"/>
          <w:szCs w:val="24"/>
        </w:rPr>
        <w:t>，</w:t>
      </w:r>
      <w:r w:rsidR="00112698" w:rsidRPr="00495D44">
        <w:rPr>
          <w:rFonts w:ascii="標楷體" w:eastAsia="標楷體" w:hAnsi="標楷體" w:cstheme="minorHAnsi" w:hint="eastAsia"/>
          <w:color w:val="000000" w:themeColor="text1"/>
          <w:szCs w:val="24"/>
        </w:rPr>
        <w:t>本公司於</w:t>
      </w:r>
      <w:r w:rsidR="003224F3" w:rsidRPr="00495D44">
        <w:rPr>
          <w:rFonts w:ascii="標楷體" w:eastAsia="標楷體" w:hAnsi="標楷體" w:cstheme="minorHAnsi" w:hint="eastAsia"/>
          <w:color w:val="000000" w:themeColor="text1"/>
          <w:szCs w:val="24"/>
        </w:rPr>
        <w:t>上市審查準則</w:t>
      </w:r>
      <w:r w:rsidR="00112698" w:rsidRPr="00495D44">
        <w:rPr>
          <w:rFonts w:ascii="標楷體" w:eastAsia="標楷體" w:hAnsi="標楷體" w:cstheme="minorHAnsi" w:hint="eastAsia"/>
          <w:color w:val="000000" w:themeColor="text1"/>
          <w:szCs w:val="24"/>
        </w:rPr>
        <w:t>增訂初次申請上市公司應設置獨立董事之</w:t>
      </w:r>
      <w:r w:rsidRPr="00495D44">
        <w:rPr>
          <w:rFonts w:ascii="標楷體" w:eastAsia="標楷體" w:hAnsi="標楷體" w:cstheme="minorHAnsi" w:hint="eastAsia"/>
          <w:color w:val="000000" w:themeColor="text1"/>
          <w:szCs w:val="24"/>
        </w:rPr>
        <w:t>規定，</w:t>
      </w:r>
      <w:r w:rsidR="005A6AFB" w:rsidRPr="00495D44">
        <w:rPr>
          <w:rFonts w:ascii="標楷體" w:eastAsia="標楷體" w:hAnsi="標楷體" w:cstheme="minorHAnsi" w:hint="eastAsia"/>
          <w:color w:val="000000" w:themeColor="text1"/>
          <w:szCs w:val="24"/>
        </w:rPr>
        <w:t>適用對象為2002</w:t>
      </w:r>
      <w:r w:rsidR="005A6AFB" w:rsidRPr="00495D44">
        <w:rPr>
          <w:rFonts w:ascii="標楷體" w:eastAsia="標楷體" w:hAnsi="標楷體" w:cs="細明體" w:hint="eastAsia"/>
          <w:color w:val="000000" w:themeColor="text1"/>
          <w:kern w:val="0"/>
          <w:szCs w:val="24"/>
        </w:rPr>
        <w:t>年2月22日以後向本公司申請有價證券上市之公司</w:t>
      </w:r>
      <w:r w:rsidR="005A6AFB" w:rsidRPr="00495D44">
        <w:rPr>
          <w:rFonts w:ascii="標楷體" w:eastAsia="標楷體" w:hAnsi="標楷體" w:cstheme="minorHAnsi" w:hint="eastAsia"/>
          <w:color w:val="000000" w:themeColor="text1"/>
          <w:szCs w:val="24"/>
        </w:rPr>
        <w:t>，</w:t>
      </w:r>
      <w:r w:rsidR="00535875" w:rsidRPr="00495D44">
        <w:rPr>
          <w:rFonts w:ascii="標楷體" w:eastAsia="標楷體" w:hAnsi="標楷體" w:cstheme="minorHAnsi" w:hint="eastAsia"/>
          <w:color w:val="000000" w:themeColor="text1"/>
          <w:szCs w:val="24"/>
        </w:rPr>
        <w:t>並</w:t>
      </w:r>
      <w:r w:rsidR="00112698" w:rsidRPr="00495D44">
        <w:rPr>
          <w:rFonts w:ascii="標楷體" w:eastAsia="標楷體" w:hAnsi="標楷體" w:cstheme="minorHAnsi" w:hint="eastAsia"/>
          <w:color w:val="000000" w:themeColor="text1"/>
          <w:szCs w:val="24"/>
        </w:rPr>
        <w:t>配合</w:t>
      </w:r>
      <w:r w:rsidR="00535875" w:rsidRPr="00495D44">
        <w:rPr>
          <w:rFonts w:ascii="標楷體" w:eastAsia="標楷體" w:hAnsi="標楷體" w:cstheme="minorHAnsi" w:hint="eastAsia"/>
          <w:color w:val="000000" w:themeColor="text1"/>
          <w:szCs w:val="24"/>
        </w:rPr>
        <w:t>發布</w:t>
      </w:r>
      <w:r w:rsidR="003224F3" w:rsidRPr="00495D44">
        <w:rPr>
          <w:rFonts w:ascii="標楷體" w:eastAsia="標楷體" w:hAnsi="標楷體" w:cstheme="minorHAnsi" w:hint="eastAsia"/>
          <w:color w:val="000000" w:themeColor="text1"/>
          <w:szCs w:val="24"/>
        </w:rPr>
        <w:t>「</w:t>
      </w:r>
      <w:r w:rsidR="003224F3" w:rsidRPr="00495D44">
        <w:rPr>
          <w:rFonts w:ascii="標楷體" w:eastAsia="標楷體" w:hAnsi="標楷體" w:cstheme="minorHAnsi"/>
          <w:color w:val="000000" w:themeColor="text1"/>
          <w:szCs w:val="24"/>
        </w:rPr>
        <w:t>上市公司設置獨立董事</w:t>
      </w:r>
      <w:r w:rsidR="003224F3" w:rsidRPr="00495D44">
        <w:rPr>
          <w:rFonts w:ascii="標楷體" w:eastAsia="標楷體" w:hAnsi="標楷體" w:cstheme="minorHAnsi" w:hint="eastAsia"/>
          <w:color w:val="000000" w:themeColor="text1"/>
          <w:szCs w:val="24"/>
        </w:rPr>
        <w:t>、監察人</w:t>
      </w:r>
      <w:r w:rsidR="003224F3" w:rsidRPr="00495D44">
        <w:rPr>
          <w:rFonts w:ascii="標楷體" w:eastAsia="標楷體" w:hAnsi="標楷體" w:cstheme="minorHAnsi"/>
          <w:color w:val="000000" w:themeColor="text1"/>
          <w:szCs w:val="24"/>
        </w:rPr>
        <w:t>之</w:t>
      </w:r>
      <w:r w:rsidR="003224F3" w:rsidRPr="00495D44">
        <w:rPr>
          <w:rFonts w:ascii="標楷體" w:eastAsia="標楷體" w:hAnsi="標楷體" w:cstheme="minorHAnsi" w:hint="eastAsia"/>
          <w:color w:val="000000" w:themeColor="text1"/>
          <w:szCs w:val="24"/>
        </w:rPr>
        <w:t>相關</w:t>
      </w:r>
      <w:r w:rsidR="003224F3" w:rsidRPr="00495D44">
        <w:rPr>
          <w:rFonts w:ascii="標楷體" w:eastAsia="標楷體" w:hAnsi="標楷體" w:cstheme="minorHAnsi"/>
          <w:color w:val="000000" w:themeColor="text1"/>
          <w:szCs w:val="24"/>
        </w:rPr>
        <w:t>處置要點</w:t>
      </w:r>
      <w:r w:rsidR="003224F3" w:rsidRPr="00495D44">
        <w:rPr>
          <w:rFonts w:ascii="標楷體" w:eastAsia="標楷體" w:hAnsi="標楷體" w:cstheme="minorHAnsi" w:hint="eastAsia"/>
          <w:color w:val="000000" w:themeColor="text1"/>
          <w:szCs w:val="24"/>
        </w:rPr>
        <w:t>」</w:t>
      </w:r>
      <w:r w:rsidR="005C34D1" w:rsidRPr="00495D44">
        <w:rPr>
          <w:rFonts w:ascii="標楷體" w:eastAsia="標楷體" w:hAnsi="標楷體" w:cstheme="minorHAnsi" w:hint="eastAsia"/>
          <w:color w:val="000000" w:themeColor="text1"/>
          <w:szCs w:val="24"/>
        </w:rPr>
        <w:t>(下稱</w:t>
      </w:r>
      <w:r w:rsidR="00B233A1" w:rsidRPr="00495D44">
        <w:rPr>
          <w:rFonts w:ascii="標楷體" w:eastAsia="標楷體" w:hAnsi="標楷體" w:cstheme="minorHAnsi" w:hint="eastAsia"/>
          <w:color w:val="000000" w:themeColor="text1"/>
          <w:szCs w:val="24"/>
        </w:rPr>
        <w:t>「</w:t>
      </w:r>
      <w:r w:rsidR="00E85481" w:rsidRPr="00495D44">
        <w:rPr>
          <w:rFonts w:ascii="標楷體" w:eastAsia="標楷體" w:hAnsi="標楷體" w:cstheme="minorHAnsi" w:hint="eastAsia"/>
          <w:color w:val="000000" w:themeColor="text1"/>
          <w:szCs w:val="24"/>
        </w:rPr>
        <w:t>前揭</w:t>
      </w:r>
      <w:r w:rsidR="005C34D1" w:rsidRPr="00495D44">
        <w:rPr>
          <w:rFonts w:ascii="標楷體" w:eastAsia="標楷體" w:hAnsi="標楷體" w:cstheme="minorHAnsi" w:hint="eastAsia"/>
          <w:color w:val="000000" w:themeColor="text1"/>
          <w:szCs w:val="24"/>
        </w:rPr>
        <w:t>要點</w:t>
      </w:r>
      <w:r w:rsidR="00B233A1" w:rsidRPr="00495D44">
        <w:rPr>
          <w:rFonts w:ascii="標楷體" w:eastAsia="標楷體" w:hAnsi="標楷體" w:cstheme="minorHAnsi" w:hint="eastAsia"/>
          <w:color w:val="000000" w:themeColor="text1"/>
          <w:szCs w:val="24"/>
        </w:rPr>
        <w:t>」</w:t>
      </w:r>
      <w:r w:rsidR="005C34D1" w:rsidRPr="00495D44">
        <w:rPr>
          <w:rFonts w:ascii="標楷體" w:eastAsia="標楷體" w:hAnsi="標楷體" w:cstheme="minorHAnsi" w:hint="eastAsia"/>
          <w:color w:val="000000" w:themeColor="text1"/>
          <w:szCs w:val="24"/>
        </w:rPr>
        <w:t>)</w:t>
      </w:r>
      <w:r w:rsidR="003224F3" w:rsidRPr="00495D44">
        <w:rPr>
          <w:rFonts w:ascii="標楷體" w:eastAsia="標楷體" w:hAnsi="標楷體" w:cstheme="minorHAnsi" w:hint="eastAsia"/>
          <w:color w:val="000000" w:themeColor="text1"/>
          <w:szCs w:val="24"/>
        </w:rPr>
        <w:t>，</w:t>
      </w:r>
      <w:r w:rsidR="00BA2F4F" w:rsidRPr="00495D44">
        <w:rPr>
          <w:rFonts w:ascii="標楷體" w:eastAsia="標楷體" w:hAnsi="標楷體" w:cstheme="minorHAnsi" w:hint="eastAsia"/>
          <w:color w:val="000000" w:themeColor="text1"/>
          <w:szCs w:val="24"/>
        </w:rPr>
        <w:t>明定</w:t>
      </w:r>
      <w:r w:rsidR="005C34D1" w:rsidRPr="00495D44">
        <w:rPr>
          <w:rFonts w:ascii="標楷體" w:eastAsia="標楷體" w:hAnsi="標楷體" w:cstheme="minorHAnsi" w:hint="eastAsia"/>
          <w:color w:val="000000" w:themeColor="text1"/>
          <w:szCs w:val="24"/>
        </w:rPr>
        <w:t>公司上市後</w:t>
      </w:r>
      <w:r w:rsidR="00BA2F4F" w:rsidRPr="00495D44">
        <w:rPr>
          <w:rFonts w:ascii="標楷體" w:eastAsia="標楷體" w:hAnsi="標楷體" w:cstheme="minorHAnsi" w:hint="eastAsia"/>
          <w:color w:val="000000" w:themeColor="text1"/>
          <w:szCs w:val="24"/>
        </w:rPr>
        <w:t>獨立董事異動之資訊申報、補選</w:t>
      </w:r>
      <w:r w:rsidR="005A6AFB" w:rsidRPr="00495D44">
        <w:rPr>
          <w:rFonts w:ascii="標楷體" w:eastAsia="標楷體" w:hAnsi="標楷體" w:cstheme="minorHAnsi" w:hint="eastAsia"/>
          <w:color w:val="000000" w:themeColor="text1"/>
          <w:szCs w:val="24"/>
        </w:rPr>
        <w:t>等</w:t>
      </w:r>
      <w:r w:rsidR="00BA2F4F" w:rsidRPr="00495D44">
        <w:rPr>
          <w:rFonts w:ascii="標楷體" w:eastAsia="標楷體" w:hAnsi="標楷體" w:cstheme="minorHAnsi" w:hint="eastAsia"/>
          <w:color w:val="000000" w:themeColor="text1"/>
          <w:szCs w:val="24"/>
        </w:rPr>
        <w:t>規定及相關處置措施</w:t>
      </w:r>
      <w:r w:rsidR="00BA2F4F" w:rsidRPr="00495D44">
        <w:rPr>
          <w:rFonts w:ascii="標楷體" w:eastAsia="標楷體" w:hAnsi="標楷體" w:cs="細明體" w:hint="eastAsia"/>
          <w:color w:val="000000" w:themeColor="text1"/>
          <w:kern w:val="0"/>
          <w:szCs w:val="24"/>
        </w:rPr>
        <w:t>。</w:t>
      </w:r>
    </w:p>
    <w:p w:rsidR="00113540" w:rsidRPr="00495D44" w:rsidRDefault="00535875" w:rsidP="00BF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Chars="118" w:firstLine="283"/>
        <w:rPr>
          <w:rFonts w:ascii="標楷體" w:eastAsia="標楷體" w:hAnsi="標楷體" w:cstheme="minorHAnsi"/>
          <w:color w:val="000000" w:themeColor="text1"/>
        </w:rPr>
      </w:pPr>
      <w:r w:rsidRPr="00495D44">
        <w:rPr>
          <w:rFonts w:ascii="標楷體" w:eastAsia="標楷體" w:hAnsi="標楷體" w:cstheme="minorHAnsi" w:hint="eastAsia"/>
          <w:color w:val="000000" w:themeColor="text1"/>
          <w:szCs w:val="24"/>
        </w:rPr>
        <w:t>嗣</w:t>
      </w:r>
      <w:r w:rsidR="00B15FF0" w:rsidRPr="00495D44">
        <w:rPr>
          <w:rFonts w:ascii="標楷體" w:eastAsia="標楷體" w:hAnsi="標楷體" w:cstheme="minorHAnsi" w:hint="eastAsia"/>
          <w:color w:val="000000" w:themeColor="text1"/>
          <w:szCs w:val="24"/>
        </w:rPr>
        <w:t>2006年</w:t>
      </w:r>
      <w:r w:rsidR="000C5033" w:rsidRPr="00495D44">
        <w:rPr>
          <w:rFonts w:ascii="標楷體" w:eastAsia="標楷體" w:hAnsi="標楷體" w:cstheme="minorHAnsi" w:hint="eastAsia"/>
          <w:color w:val="000000" w:themeColor="text1"/>
          <w:szCs w:val="24"/>
        </w:rPr>
        <w:t>證券交易法(下稱</w:t>
      </w:r>
      <w:r w:rsidR="00D82D0F" w:rsidRPr="00495D44">
        <w:rPr>
          <w:rFonts w:ascii="標楷體" w:eastAsia="標楷體" w:hAnsi="標楷體" w:cstheme="minorHAnsi" w:hint="eastAsia"/>
          <w:color w:val="000000" w:themeColor="text1"/>
          <w:szCs w:val="24"/>
        </w:rPr>
        <w:t>證交法</w:t>
      </w:r>
      <w:r w:rsidR="000C5033" w:rsidRPr="00495D44">
        <w:rPr>
          <w:rFonts w:ascii="標楷體" w:eastAsia="標楷體" w:hAnsi="標楷體" w:cstheme="minorHAnsi" w:hint="eastAsia"/>
          <w:color w:val="000000" w:themeColor="text1"/>
          <w:szCs w:val="24"/>
        </w:rPr>
        <w:t>)</w:t>
      </w:r>
      <w:r w:rsidR="00D82D0F" w:rsidRPr="00495D44">
        <w:rPr>
          <w:rFonts w:ascii="標楷體" w:eastAsia="標楷體" w:hAnsi="標楷體" w:cstheme="minorHAnsi" w:hint="eastAsia"/>
          <w:color w:val="000000" w:themeColor="text1"/>
          <w:szCs w:val="24"/>
        </w:rPr>
        <w:t>增訂</w:t>
      </w:r>
      <w:r w:rsidR="00BA2F4F" w:rsidRPr="00495D44">
        <w:rPr>
          <w:rFonts w:ascii="標楷體" w:eastAsia="標楷體" w:hAnsi="標楷體" w:cs="細明體" w:hint="eastAsia"/>
          <w:color w:val="000000" w:themeColor="text1"/>
          <w:kern w:val="0"/>
          <w:szCs w:val="24"/>
        </w:rPr>
        <w:t>第十四條之二</w:t>
      </w:r>
      <w:r w:rsidR="00D82D0F" w:rsidRPr="00495D44">
        <w:rPr>
          <w:rFonts w:ascii="標楷體" w:eastAsia="標楷體" w:hAnsi="標楷體" w:cstheme="minorHAnsi" w:hint="eastAsia"/>
          <w:color w:val="000000" w:themeColor="text1"/>
          <w:szCs w:val="24"/>
        </w:rPr>
        <w:t>明定獨立董事</w:t>
      </w:r>
      <w:r w:rsidR="005A6AFB" w:rsidRPr="00495D44">
        <w:rPr>
          <w:rFonts w:ascii="標楷體" w:eastAsia="標楷體" w:hAnsi="標楷體" w:cstheme="minorHAnsi" w:hint="eastAsia"/>
          <w:color w:val="000000" w:themeColor="text1"/>
          <w:szCs w:val="24"/>
        </w:rPr>
        <w:t>制度</w:t>
      </w:r>
      <w:r w:rsidR="00B15FF0" w:rsidRPr="00495D44">
        <w:rPr>
          <w:rFonts w:ascii="標楷體" w:eastAsia="標楷體" w:hAnsi="標楷體" w:cstheme="minorHAnsi" w:hint="eastAsia"/>
          <w:color w:val="000000" w:themeColor="text1"/>
          <w:szCs w:val="24"/>
        </w:rPr>
        <w:t>，</w:t>
      </w:r>
      <w:r w:rsidR="00E85481" w:rsidRPr="00495D44">
        <w:rPr>
          <w:rFonts w:ascii="標楷體" w:eastAsia="標楷體" w:hAnsi="標楷體" w:cstheme="minorHAnsi" w:hint="eastAsia"/>
          <w:color w:val="000000" w:themeColor="text1"/>
          <w:szCs w:val="24"/>
        </w:rPr>
        <w:t>爰將前揭</w:t>
      </w:r>
      <w:r w:rsidRPr="00495D44">
        <w:rPr>
          <w:rFonts w:ascii="標楷體" w:eastAsia="標楷體" w:hAnsi="標楷體" w:cstheme="minorHAnsi" w:hint="eastAsia"/>
          <w:color w:val="000000" w:themeColor="text1"/>
          <w:szCs w:val="24"/>
        </w:rPr>
        <w:t>要點</w:t>
      </w:r>
      <w:r w:rsidR="00BA2F4F" w:rsidRPr="00495D44">
        <w:rPr>
          <w:rFonts w:ascii="標楷體" w:eastAsia="標楷體" w:hAnsi="標楷體" w:cstheme="minorHAnsi" w:hint="eastAsia"/>
          <w:color w:val="000000" w:themeColor="text1"/>
          <w:szCs w:val="24"/>
        </w:rPr>
        <w:t>更名為「</w:t>
      </w:r>
      <w:r w:rsidR="00BA2F4F" w:rsidRPr="00495D44">
        <w:rPr>
          <w:rFonts w:ascii="標楷體" w:eastAsia="標楷體" w:hAnsi="標楷體" w:cstheme="minorHAnsi"/>
          <w:color w:val="000000" w:themeColor="text1"/>
          <w:szCs w:val="24"/>
        </w:rPr>
        <w:t>上市公司設置獨立董事之處置要點</w:t>
      </w:r>
      <w:r w:rsidR="00BA2F4F" w:rsidRPr="00495D44">
        <w:rPr>
          <w:rFonts w:ascii="標楷體" w:eastAsia="標楷體" w:hAnsi="標楷體" w:cstheme="minorHAnsi" w:hint="eastAsia"/>
          <w:color w:val="000000" w:themeColor="text1"/>
          <w:szCs w:val="24"/>
        </w:rPr>
        <w:t>」</w:t>
      </w:r>
      <w:r w:rsidR="00E85481" w:rsidRPr="00495D44">
        <w:rPr>
          <w:rFonts w:ascii="標楷體" w:eastAsia="標楷體" w:hAnsi="標楷體" w:cstheme="minorHAnsi" w:hint="eastAsia"/>
          <w:color w:val="000000" w:themeColor="text1"/>
          <w:szCs w:val="24"/>
        </w:rPr>
        <w:t>(下稱「現行要點」)</w:t>
      </w:r>
      <w:r w:rsidR="00BA2F4F" w:rsidRPr="00495D44">
        <w:rPr>
          <w:rFonts w:ascii="標楷體" w:eastAsia="標楷體" w:hAnsi="標楷體" w:cstheme="minorHAnsi" w:hint="eastAsia"/>
          <w:color w:val="000000" w:themeColor="text1"/>
          <w:szCs w:val="24"/>
        </w:rPr>
        <w:t>，並</w:t>
      </w:r>
      <w:r w:rsidRPr="00495D44">
        <w:rPr>
          <w:rFonts w:ascii="標楷體" w:eastAsia="標楷體" w:hAnsi="標楷體" w:cstheme="minorHAnsi" w:hint="eastAsia"/>
          <w:color w:val="000000" w:themeColor="text1"/>
          <w:szCs w:val="24"/>
        </w:rPr>
        <w:t>擴大適用對象</w:t>
      </w:r>
      <w:r w:rsidR="00BA2F4F" w:rsidRPr="00495D44">
        <w:rPr>
          <w:rFonts w:ascii="標楷體" w:eastAsia="標楷體" w:hAnsi="標楷體" w:cstheme="minorHAnsi" w:hint="eastAsia"/>
          <w:color w:val="000000" w:themeColor="text1"/>
          <w:szCs w:val="24"/>
        </w:rPr>
        <w:t>包括</w:t>
      </w:r>
      <w:r w:rsidRPr="00495D44">
        <w:rPr>
          <w:rFonts w:ascii="標楷體" w:eastAsia="標楷體" w:hAnsi="標楷體" w:cs="細明體" w:hint="eastAsia"/>
          <w:color w:val="000000" w:themeColor="text1"/>
          <w:kern w:val="0"/>
          <w:szCs w:val="24"/>
        </w:rPr>
        <w:t>依證券交易法第十四條之二第一項但書經主管機關要求設置獨立董事之公司</w:t>
      </w:r>
      <w:r w:rsidR="005A6AFB" w:rsidRPr="00495D44">
        <w:rPr>
          <w:rFonts w:ascii="標楷體" w:eastAsia="標楷體" w:hAnsi="標楷體" w:cstheme="minorHAnsi" w:hint="eastAsia"/>
          <w:color w:val="000000" w:themeColor="text1"/>
        </w:rPr>
        <w:t>。</w:t>
      </w:r>
      <w:r w:rsidRPr="00495D44">
        <w:rPr>
          <w:rFonts w:ascii="標楷體" w:eastAsia="標楷體" w:hAnsi="標楷體" w:cstheme="minorHAnsi" w:hint="eastAsia"/>
          <w:color w:val="000000" w:themeColor="text1"/>
        </w:rPr>
        <w:t>2006年</w:t>
      </w:r>
      <w:r w:rsidR="005A6AFB" w:rsidRPr="00495D44">
        <w:rPr>
          <w:rFonts w:ascii="標楷體" w:eastAsia="標楷體" w:hAnsi="標楷體" w:cstheme="minorHAnsi" w:hint="eastAsia"/>
          <w:color w:val="000000" w:themeColor="text1"/>
        </w:rPr>
        <w:t>主管機關函令</w:t>
      </w:r>
      <w:r w:rsidR="00BA2F4F" w:rsidRPr="00495D44">
        <w:rPr>
          <w:rFonts w:ascii="標楷體" w:eastAsia="標楷體" w:hAnsi="標楷體" w:cstheme="minorHAnsi" w:hint="eastAsia"/>
          <w:color w:val="000000" w:themeColor="text1"/>
        </w:rPr>
        <w:t>強制設置</w:t>
      </w:r>
      <w:r w:rsidR="00FB291B" w:rsidRPr="00495D44">
        <w:rPr>
          <w:rFonts w:ascii="標楷體" w:eastAsia="標楷體" w:hAnsi="標楷體" w:cstheme="minorHAnsi" w:hint="eastAsia"/>
          <w:color w:val="000000" w:themeColor="text1"/>
        </w:rPr>
        <w:t>獨立董事之</w:t>
      </w:r>
      <w:r w:rsidR="00BF0D54" w:rsidRPr="00495D44">
        <w:rPr>
          <w:rFonts w:ascii="標楷體" w:eastAsia="標楷體" w:hAnsi="標楷體" w:cstheme="minorHAnsi" w:hint="eastAsia"/>
          <w:color w:val="000000" w:themeColor="text1"/>
        </w:rPr>
        <w:t>對象</w:t>
      </w:r>
      <w:r w:rsidRPr="00495D44">
        <w:rPr>
          <w:rFonts w:ascii="標楷體" w:eastAsia="標楷體" w:hAnsi="標楷體" w:cstheme="minorHAnsi" w:hint="eastAsia"/>
          <w:color w:val="000000" w:themeColor="text1"/>
        </w:rPr>
        <w:t>為特定金融業及資本額</w:t>
      </w:r>
      <w:r w:rsidRPr="00495D44">
        <w:rPr>
          <w:rFonts w:ascii="標楷體" w:eastAsia="標楷體" w:hAnsi="標楷體" w:cstheme="minorHAnsi"/>
          <w:color w:val="000000" w:themeColor="text1"/>
        </w:rPr>
        <w:t>500</w:t>
      </w:r>
      <w:r w:rsidRPr="00495D44">
        <w:rPr>
          <w:rFonts w:ascii="標楷體" w:eastAsia="標楷體" w:hAnsi="標楷體" w:cstheme="minorHAnsi" w:hint="eastAsia"/>
          <w:color w:val="000000" w:themeColor="text1"/>
        </w:rPr>
        <w:t>億以上之上市</w:t>
      </w:r>
      <w:r w:rsidRPr="00495D44">
        <w:rPr>
          <w:rFonts w:ascii="標楷體" w:eastAsia="標楷體" w:hAnsi="標楷體" w:cstheme="minorHAnsi"/>
          <w:color w:val="000000" w:themeColor="text1"/>
        </w:rPr>
        <w:t>(</w:t>
      </w:r>
      <w:r w:rsidRPr="00495D44">
        <w:rPr>
          <w:rFonts w:ascii="標楷體" w:eastAsia="標楷體" w:hAnsi="標楷體" w:cstheme="minorHAnsi" w:hint="eastAsia"/>
          <w:color w:val="000000" w:themeColor="text1"/>
        </w:rPr>
        <w:t>櫃</w:t>
      </w:r>
      <w:r w:rsidRPr="00495D44">
        <w:rPr>
          <w:rFonts w:ascii="標楷體" w:eastAsia="標楷體" w:hAnsi="標楷體" w:cstheme="minorHAnsi"/>
          <w:color w:val="000000" w:themeColor="text1"/>
        </w:rPr>
        <w:t>)</w:t>
      </w:r>
      <w:r w:rsidRPr="00495D44">
        <w:rPr>
          <w:rFonts w:ascii="標楷體" w:eastAsia="標楷體" w:hAnsi="標楷體" w:cstheme="minorHAnsi" w:hint="eastAsia"/>
          <w:color w:val="000000" w:themeColor="text1"/>
        </w:rPr>
        <w:t>公司</w:t>
      </w:r>
      <w:r w:rsidRPr="00495D44">
        <w:rPr>
          <w:rFonts w:ascii="標楷體" w:eastAsia="標楷體" w:hAnsi="標楷體" w:cstheme="minorHAnsi" w:hint="eastAsia"/>
          <w:color w:val="000000" w:themeColor="text1"/>
          <w:szCs w:val="24"/>
        </w:rPr>
        <w:t>，</w:t>
      </w:r>
      <w:r w:rsidR="00B15FF0" w:rsidRPr="00495D44">
        <w:rPr>
          <w:rFonts w:ascii="標楷體" w:eastAsia="標楷體" w:hAnsi="標楷體" w:cstheme="minorHAnsi" w:hint="eastAsia"/>
          <w:color w:val="000000" w:themeColor="text1"/>
        </w:rPr>
        <w:t>2011年</w:t>
      </w:r>
      <w:r w:rsidR="00D82D0F" w:rsidRPr="00495D44">
        <w:rPr>
          <w:rFonts w:ascii="標楷體" w:eastAsia="標楷體" w:hAnsi="標楷體" w:cstheme="minorHAnsi" w:hint="eastAsia"/>
          <w:color w:val="000000" w:themeColor="text1"/>
        </w:rPr>
        <w:t>擴大至資本額</w:t>
      </w:r>
      <w:r w:rsidR="00D82D0F" w:rsidRPr="00495D44">
        <w:rPr>
          <w:rFonts w:ascii="標楷體" w:eastAsia="標楷體" w:hAnsi="標楷體" w:cstheme="minorHAnsi"/>
          <w:color w:val="000000" w:themeColor="text1"/>
        </w:rPr>
        <w:t>100</w:t>
      </w:r>
      <w:r w:rsidR="00D82D0F" w:rsidRPr="00495D44">
        <w:rPr>
          <w:rFonts w:ascii="標楷體" w:eastAsia="標楷體" w:hAnsi="標楷體" w:cstheme="minorHAnsi" w:hint="eastAsia"/>
          <w:color w:val="000000" w:themeColor="text1"/>
        </w:rPr>
        <w:t>億以上之上市</w:t>
      </w:r>
      <w:r w:rsidR="00D82D0F" w:rsidRPr="00495D44">
        <w:rPr>
          <w:rFonts w:ascii="標楷體" w:eastAsia="標楷體" w:hAnsi="標楷體" w:cstheme="minorHAnsi"/>
          <w:color w:val="000000" w:themeColor="text1"/>
        </w:rPr>
        <w:t>(</w:t>
      </w:r>
      <w:r w:rsidR="00D82D0F" w:rsidRPr="00495D44">
        <w:rPr>
          <w:rFonts w:ascii="標楷體" w:eastAsia="標楷體" w:hAnsi="標楷體" w:cstheme="minorHAnsi" w:hint="eastAsia"/>
          <w:color w:val="000000" w:themeColor="text1"/>
        </w:rPr>
        <w:t>櫃</w:t>
      </w:r>
      <w:r w:rsidR="00D82D0F" w:rsidRPr="00495D44">
        <w:rPr>
          <w:rFonts w:ascii="標楷體" w:eastAsia="標楷體" w:hAnsi="標楷體" w:cstheme="minorHAnsi"/>
          <w:color w:val="000000" w:themeColor="text1"/>
        </w:rPr>
        <w:t>)</w:t>
      </w:r>
      <w:r w:rsidR="00D82D0F" w:rsidRPr="00495D44">
        <w:rPr>
          <w:rFonts w:ascii="標楷體" w:eastAsia="標楷體" w:hAnsi="標楷體" w:cstheme="minorHAnsi" w:hint="eastAsia"/>
          <w:color w:val="000000" w:themeColor="text1"/>
        </w:rPr>
        <w:t>公司</w:t>
      </w:r>
      <w:r w:rsidR="00B15FF0" w:rsidRPr="00495D44">
        <w:rPr>
          <w:rFonts w:ascii="標楷體" w:eastAsia="標楷體" w:hAnsi="標楷體" w:cstheme="minorHAnsi" w:hint="eastAsia"/>
          <w:color w:val="000000" w:themeColor="text1"/>
        </w:rPr>
        <w:t>，</w:t>
      </w:r>
      <w:r w:rsidR="00D82D0F" w:rsidRPr="00495D44">
        <w:rPr>
          <w:rFonts w:ascii="標楷體" w:eastAsia="標楷體" w:hAnsi="標楷體" w:cstheme="minorHAnsi" w:hint="eastAsia"/>
          <w:color w:val="000000" w:themeColor="text1"/>
        </w:rPr>
        <w:t>「2013強化我國公司治理藍圖」要求上市(櫃)公司全面設置獨立董事</w:t>
      </w:r>
      <w:r w:rsidR="00B15FF0" w:rsidRPr="00495D44">
        <w:rPr>
          <w:rFonts w:ascii="標楷體" w:eastAsia="標楷體" w:hAnsi="標楷體" w:cstheme="minorHAnsi" w:hint="eastAsia"/>
          <w:color w:val="000000" w:themeColor="text1"/>
        </w:rPr>
        <w:t>，至2017年</w:t>
      </w:r>
      <w:r w:rsidR="00D82D0F" w:rsidRPr="00495D44">
        <w:rPr>
          <w:rFonts w:ascii="標楷體" w:eastAsia="標楷體" w:hAnsi="標楷體" w:cstheme="minorHAnsi" w:hint="eastAsia"/>
          <w:color w:val="000000" w:themeColor="text1"/>
        </w:rPr>
        <w:t>上市(櫃)公司</w:t>
      </w:r>
      <w:r w:rsidR="00B15FF0" w:rsidRPr="00495D44">
        <w:rPr>
          <w:rFonts w:ascii="標楷體" w:eastAsia="標楷體" w:hAnsi="標楷體" w:cstheme="minorHAnsi" w:hint="eastAsia"/>
          <w:color w:val="000000" w:themeColor="text1"/>
        </w:rPr>
        <w:t>已</w:t>
      </w:r>
      <w:r w:rsidR="00D82D0F" w:rsidRPr="00495D44">
        <w:rPr>
          <w:rFonts w:ascii="標楷體" w:eastAsia="標楷體" w:hAnsi="標楷體" w:cstheme="minorHAnsi" w:hint="eastAsia"/>
          <w:color w:val="000000" w:themeColor="text1"/>
        </w:rPr>
        <w:t>全面完成設置獨立董事</w:t>
      </w:r>
      <w:r w:rsidR="00B15FF0" w:rsidRPr="00495D44">
        <w:rPr>
          <w:rFonts w:ascii="標楷體" w:eastAsia="標楷體" w:hAnsi="標楷體" w:cstheme="minorHAnsi" w:hint="eastAsia"/>
          <w:color w:val="000000" w:themeColor="text1"/>
        </w:rPr>
        <w:t>。</w:t>
      </w:r>
    </w:p>
    <w:p w:rsidR="00E85481" w:rsidRPr="00495D44" w:rsidRDefault="0040764A" w:rsidP="0021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Chars="118" w:firstLine="283"/>
        <w:rPr>
          <w:rFonts w:ascii="標楷體" w:eastAsia="標楷體" w:hAnsi="標楷體" w:cstheme="minorHAnsi"/>
          <w:color w:val="000000" w:themeColor="text1"/>
        </w:rPr>
      </w:pPr>
      <w:r w:rsidRPr="00495D44">
        <w:rPr>
          <w:rFonts w:ascii="標楷體" w:eastAsia="標楷體" w:hAnsi="標楷體" w:cstheme="minorHAnsi" w:hint="eastAsia"/>
          <w:color w:val="000000" w:themeColor="text1"/>
          <w:szCs w:val="24"/>
        </w:rPr>
        <w:t>2018</w:t>
      </w:r>
      <w:r w:rsidR="00226104">
        <w:rPr>
          <w:rFonts w:ascii="標楷體" w:eastAsia="標楷體" w:hAnsi="標楷體" w:cstheme="minorHAnsi" w:hint="eastAsia"/>
          <w:color w:val="000000" w:themeColor="text1"/>
          <w:szCs w:val="24"/>
        </w:rPr>
        <w:t>年</w:t>
      </w:r>
      <w:r w:rsidRPr="00495D44">
        <w:rPr>
          <w:rFonts w:ascii="標楷體" w:eastAsia="標楷體" w:hAnsi="標楷體" w:cstheme="minorHAnsi" w:hint="eastAsia"/>
          <w:color w:val="000000" w:themeColor="text1"/>
        </w:rPr>
        <w:t>新版公司治理藍圖</w:t>
      </w:r>
      <w:r w:rsidR="002D11F5" w:rsidRPr="00495D44">
        <w:rPr>
          <w:rFonts w:ascii="標楷體" w:eastAsia="標楷體" w:hAnsi="標楷體" w:cstheme="minorHAnsi" w:hint="eastAsia"/>
          <w:color w:val="000000" w:themeColor="text1"/>
          <w:szCs w:val="24"/>
        </w:rPr>
        <w:t>(下稱</w:t>
      </w:r>
      <w:r w:rsidR="002D11F5">
        <w:rPr>
          <w:rFonts w:ascii="標楷體" w:eastAsia="標楷體" w:hAnsi="標楷體" w:cstheme="minorHAnsi" w:hint="eastAsia"/>
          <w:color w:val="000000" w:themeColor="text1"/>
          <w:szCs w:val="24"/>
        </w:rPr>
        <w:t>新版藍圖</w:t>
      </w:r>
      <w:r w:rsidR="002D11F5" w:rsidRPr="00495D44">
        <w:rPr>
          <w:rFonts w:ascii="標楷體" w:eastAsia="標楷體" w:hAnsi="標楷體" w:cstheme="minorHAnsi" w:hint="eastAsia"/>
          <w:color w:val="000000" w:themeColor="text1"/>
          <w:szCs w:val="24"/>
        </w:rPr>
        <w:t>)</w:t>
      </w:r>
      <w:r w:rsidR="000C5033" w:rsidRPr="00495D44">
        <w:rPr>
          <w:rFonts w:ascii="標楷體" w:eastAsia="標楷體" w:hAnsi="標楷體" w:cstheme="minorHAnsi" w:hint="eastAsia"/>
          <w:color w:val="000000" w:themeColor="text1"/>
        </w:rPr>
        <w:t>推動五大計畫項目，其中將</w:t>
      </w:r>
      <w:r w:rsidRPr="00495D44">
        <w:rPr>
          <w:rFonts w:ascii="標楷體" w:eastAsia="標楷體" w:hAnsi="標楷體" w:cstheme="minorHAnsi" w:hint="eastAsia"/>
          <w:color w:val="000000" w:themeColor="text1"/>
        </w:rPr>
        <w:t>由主管機關或本公司發布規定要求上市公司遵循者多</w:t>
      </w:r>
      <w:r w:rsidR="007A02F9" w:rsidRPr="00495D44">
        <w:rPr>
          <w:rFonts w:ascii="標楷體" w:eastAsia="標楷體" w:hAnsi="標楷體" w:cstheme="minorHAnsi" w:hint="eastAsia"/>
          <w:color w:val="000000" w:themeColor="text1"/>
        </w:rPr>
        <w:t>與</w:t>
      </w:r>
      <w:r w:rsidR="002E63B8" w:rsidRPr="00495D44">
        <w:rPr>
          <w:rFonts w:ascii="標楷體" w:eastAsia="標楷體" w:hAnsi="標楷體" w:cstheme="minorHAnsi" w:hint="eastAsia"/>
          <w:color w:val="000000" w:themeColor="text1"/>
        </w:rPr>
        <w:t>計畫項目二</w:t>
      </w:r>
      <w:r w:rsidR="007A02F9" w:rsidRPr="00495D44">
        <w:rPr>
          <w:rFonts w:ascii="標楷體" w:eastAsia="標楷體" w:hAnsi="標楷體" w:cstheme="minorHAnsi" w:hint="eastAsia"/>
          <w:color w:val="000000" w:themeColor="text1"/>
        </w:rPr>
        <w:t>、</w:t>
      </w:r>
      <w:r w:rsidRPr="00495D44">
        <w:rPr>
          <w:rFonts w:ascii="標楷體" w:eastAsia="標楷體" w:hAnsi="標楷體" w:cstheme="minorHAnsi" w:hint="eastAsia"/>
          <w:color w:val="000000" w:themeColor="text1"/>
        </w:rPr>
        <w:t>「</w:t>
      </w:r>
      <w:r w:rsidR="002912D5" w:rsidRPr="00495D44">
        <w:rPr>
          <w:rFonts w:ascii="標楷體" w:eastAsia="標楷體" w:hAnsi="標楷體" w:cstheme="minorHAnsi" w:hint="eastAsia"/>
          <w:color w:val="000000" w:themeColor="text1"/>
        </w:rPr>
        <w:t>有效發揮董事</w:t>
      </w:r>
      <w:r w:rsidRPr="00495D44">
        <w:rPr>
          <w:rFonts w:ascii="標楷體" w:eastAsia="標楷體" w:hAnsi="標楷體" w:cstheme="minorHAnsi" w:hint="eastAsia"/>
          <w:color w:val="000000" w:themeColor="text1"/>
        </w:rPr>
        <w:t>職能」</w:t>
      </w:r>
      <w:r w:rsidR="007A02F9" w:rsidRPr="00495D44">
        <w:rPr>
          <w:rFonts w:ascii="標楷體" w:eastAsia="標楷體" w:hAnsi="標楷體" w:cstheme="minorHAnsi" w:hint="eastAsia"/>
          <w:color w:val="000000" w:themeColor="text1"/>
        </w:rPr>
        <w:t>相關</w:t>
      </w:r>
      <w:r w:rsidR="002912D5" w:rsidRPr="00495D44">
        <w:rPr>
          <w:rFonts w:ascii="標楷體" w:eastAsia="標楷體" w:hAnsi="標楷體" w:cstheme="minorHAnsi" w:hint="eastAsia"/>
          <w:color w:val="000000" w:themeColor="text1"/>
        </w:rPr>
        <w:t>，</w:t>
      </w:r>
      <w:r w:rsidR="0096247A" w:rsidRPr="00495D44">
        <w:rPr>
          <w:rFonts w:ascii="標楷體" w:eastAsia="標楷體" w:hAnsi="標楷體" w:cstheme="minorHAnsi" w:hint="eastAsia"/>
          <w:color w:val="000000" w:themeColor="text1"/>
        </w:rPr>
        <w:t>且規範事項</w:t>
      </w:r>
      <w:r w:rsidR="00A74A0A" w:rsidRPr="00495D44">
        <w:rPr>
          <w:rFonts w:ascii="標楷體" w:eastAsia="標楷體" w:hAnsi="標楷體" w:cstheme="minorHAnsi" w:hint="eastAsia"/>
          <w:color w:val="000000" w:themeColor="text1"/>
          <w:szCs w:val="24"/>
        </w:rPr>
        <w:t>範圍</w:t>
      </w:r>
      <w:r w:rsidR="002912D5" w:rsidRPr="00495D44">
        <w:rPr>
          <w:rFonts w:ascii="標楷體" w:eastAsia="標楷體" w:hAnsi="標楷體" w:cstheme="minorHAnsi" w:hint="eastAsia"/>
          <w:color w:val="000000" w:themeColor="text1"/>
          <w:szCs w:val="24"/>
        </w:rPr>
        <w:t>全面</w:t>
      </w:r>
      <w:r w:rsidR="00BF0D54" w:rsidRPr="00495D44">
        <w:rPr>
          <w:rFonts w:ascii="標楷體" w:eastAsia="標楷體" w:hAnsi="標楷體" w:cstheme="minorHAnsi" w:hint="eastAsia"/>
          <w:color w:val="000000" w:themeColor="text1"/>
          <w:szCs w:val="24"/>
        </w:rPr>
        <w:t>擴大</w:t>
      </w:r>
      <w:r w:rsidR="00D215C3" w:rsidRPr="00495D44">
        <w:rPr>
          <w:rFonts w:ascii="標楷體" w:eastAsia="標楷體" w:hAnsi="標楷體" w:cstheme="minorHAnsi" w:hint="eastAsia"/>
          <w:color w:val="000000" w:themeColor="text1"/>
          <w:szCs w:val="24"/>
        </w:rPr>
        <w:t>，</w:t>
      </w:r>
      <w:r w:rsidR="00F21CB6" w:rsidRPr="00495D44">
        <w:rPr>
          <w:rFonts w:ascii="標楷體" w:eastAsia="標楷體" w:hAnsi="標楷體" w:cstheme="minorHAnsi" w:hint="eastAsia"/>
          <w:color w:val="000000" w:themeColor="text1"/>
          <w:szCs w:val="24"/>
        </w:rPr>
        <w:t>不以</w:t>
      </w:r>
      <w:r w:rsidR="00F73D69" w:rsidRPr="00495D44">
        <w:rPr>
          <w:rFonts w:ascii="標楷體" w:eastAsia="標楷體" w:hAnsi="標楷體" w:cstheme="minorHAnsi" w:hint="eastAsia"/>
          <w:color w:val="000000" w:themeColor="text1"/>
          <w:szCs w:val="24"/>
        </w:rPr>
        <w:t>獨立董事</w:t>
      </w:r>
      <w:r w:rsidR="00F21CB6" w:rsidRPr="00495D44">
        <w:rPr>
          <w:rFonts w:ascii="標楷體" w:eastAsia="標楷體" w:hAnsi="標楷體" w:cstheme="minorHAnsi" w:hint="eastAsia"/>
          <w:color w:val="000000" w:themeColor="text1"/>
          <w:szCs w:val="24"/>
        </w:rPr>
        <w:t>為限</w:t>
      </w:r>
      <w:r w:rsidR="00113540" w:rsidRPr="00495D44">
        <w:rPr>
          <w:rFonts w:ascii="標楷體" w:eastAsia="標楷體" w:hAnsi="標楷體" w:cstheme="minorHAnsi" w:hint="eastAsia"/>
          <w:color w:val="000000" w:themeColor="text1"/>
          <w:szCs w:val="24"/>
        </w:rPr>
        <w:t>。</w:t>
      </w:r>
      <w:r w:rsidR="00E85481" w:rsidRPr="00495D44">
        <w:rPr>
          <w:rFonts w:ascii="標楷體" w:eastAsia="標楷體" w:hAnsi="標楷體" w:cstheme="minorHAnsi" w:hint="eastAsia"/>
          <w:color w:val="000000" w:themeColor="text1"/>
          <w:szCs w:val="24"/>
        </w:rPr>
        <w:t>為配合新版藍圖及國內外公司治理發展趨勢增訂相關規定，統一規範與董事會組織職能相關事項，擬將現行要點更名為「上市公司董事會</w:t>
      </w:r>
      <w:r w:rsidR="00AA3E7F" w:rsidRPr="00495D44">
        <w:rPr>
          <w:rFonts w:ascii="標楷體" w:eastAsia="標楷體" w:hAnsi="標楷體" w:cstheme="minorHAnsi" w:hint="eastAsia"/>
          <w:color w:val="000000" w:themeColor="text1"/>
          <w:szCs w:val="24"/>
        </w:rPr>
        <w:t>設置</w:t>
      </w:r>
      <w:r w:rsidR="00E85481" w:rsidRPr="00495D44">
        <w:rPr>
          <w:rFonts w:ascii="標楷體" w:eastAsia="標楷體" w:hAnsi="標楷體" w:cstheme="minorHAnsi" w:hint="eastAsia"/>
          <w:color w:val="000000" w:themeColor="text1"/>
          <w:szCs w:val="24"/>
        </w:rPr>
        <w:t>及行使職權應遵循事項要點」，並擴充其內容</w:t>
      </w:r>
      <w:r w:rsidR="00DE04E4" w:rsidRPr="00495D44">
        <w:rPr>
          <w:rFonts w:ascii="標楷體" w:eastAsia="標楷體" w:hAnsi="標楷體" w:cstheme="minorHAnsi" w:hint="eastAsia"/>
          <w:color w:val="000000" w:themeColor="text1"/>
          <w:szCs w:val="24"/>
        </w:rPr>
        <w:t>，</w:t>
      </w:r>
      <w:r w:rsidR="00E85481" w:rsidRPr="00495D44">
        <w:rPr>
          <w:rFonts w:ascii="標楷體" w:eastAsia="標楷體" w:hAnsi="標楷體" w:cstheme="minorHAnsi" w:hint="eastAsia"/>
          <w:color w:val="000000" w:themeColor="text1"/>
          <w:szCs w:val="24"/>
        </w:rPr>
        <w:t>俾全面性含括與董事會有關之公司治理規範。</w:t>
      </w:r>
    </w:p>
    <w:p w:rsidR="001E43BF" w:rsidRPr="00495D44" w:rsidRDefault="00E85481" w:rsidP="0075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Chars="118" w:firstLine="283"/>
        <w:rPr>
          <w:rFonts w:ascii="標楷體" w:eastAsia="標楷體" w:hAnsi="標楷體"/>
          <w:color w:val="000000" w:themeColor="text1"/>
        </w:rPr>
      </w:pPr>
      <w:r w:rsidRPr="00495D44">
        <w:rPr>
          <w:rFonts w:ascii="標楷體" w:eastAsia="標楷體" w:hAnsi="標楷體"/>
          <w:color w:val="000000" w:themeColor="text1"/>
        </w:rPr>
        <w:t>本要點</w:t>
      </w:r>
      <w:r w:rsidR="001E6FD2" w:rsidRPr="00495D44">
        <w:rPr>
          <w:rFonts w:ascii="標楷體" w:eastAsia="標楷體" w:hAnsi="標楷體" w:hint="eastAsia"/>
          <w:color w:val="000000" w:themeColor="text1"/>
        </w:rPr>
        <w:t>修正後</w:t>
      </w:r>
      <w:r w:rsidRPr="00495D44">
        <w:rPr>
          <w:rFonts w:ascii="標楷體" w:eastAsia="標楷體" w:hAnsi="標楷體" w:hint="eastAsia"/>
          <w:color w:val="000000" w:themeColor="text1"/>
        </w:rPr>
        <w:t>分為</w:t>
      </w:r>
      <w:r w:rsidRPr="00495D44">
        <w:rPr>
          <w:rFonts w:ascii="標楷體" w:eastAsia="標楷體" w:hAnsi="標楷體" w:cstheme="minorHAnsi" w:hint="eastAsia"/>
          <w:color w:val="000000" w:themeColor="text1"/>
          <w:szCs w:val="24"/>
        </w:rPr>
        <w:t>總則、董事會、功能性委員會、董事職責、</w:t>
      </w:r>
      <w:r w:rsidR="00A7738F">
        <w:rPr>
          <w:rFonts w:ascii="標楷體" w:eastAsia="標楷體" w:hAnsi="標楷體" w:cstheme="minorHAnsi" w:hint="eastAsia"/>
          <w:color w:val="000000" w:themeColor="text1"/>
          <w:szCs w:val="24"/>
        </w:rPr>
        <w:t>薪酬及</w:t>
      </w:r>
      <w:r w:rsidRPr="00495D44">
        <w:rPr>
          <w:rFonts w:ascii="標楷體" w:eastAsia="標楷體" w:hAnsi="標楷體" w:cstheme="minorHAnsi" w:hint="eastAsia"/>
          <w:color w:val="000000" w:themeColor="text1"/>
          <w:szCs w:val="24"/>
        </w:rPr>
        <w:t>績效</w:t>
      </w:r>
      <w:r w:rsidR="00A7738F">
        <w:rPr>
          <w:rFonts w:ascii="標楷體" w:eastAsia="標楷體" w:hAnsi="標楷體" w:cstheme="minorHAnsi" w:hint="eastAsia"/>
          <w:color w:val="000000" w:themeColor="text1"/>
          <w:szCs w:val="24"/>
        </w:rPr>
        <w:t>評鑑</w:t>
      </w:r>
      <w:r w:rsidRPr="00495D44">
        <w:rPr>
          <w:rFonts w:ascii="標楷體" w:eastAsia="標楷體" w:hAnsi="標楷體" w:cstheme="minorHAnsi" w:hint="eastAsia"/>
          <w:color w:val="000000" w:themeColor="text1"/>
          <w:szCs w:val="24"/>
        </w:rPr>
        <w:t>、公司治理</w:t>
      </w:r>
      <w:r w:rsidR="001E43BF" w:rsidRPr="00495D44">
        <w:rPr>
          <w:rFonts w:ascii="標楷體" w:eastAsia="標楷體" w:hAnsi="標楷體" w:cstheme="minorHAnsi" w:hint="eastAsia"/>
          <w:color w:val="000000" w:themeColor="text1"/>
          <w:szCs w:val="24"/>
        </w:rPr>
        <w:t>主管</w:t>
      </w:r>
      <w:r w:rsidRPr="00495D44">
        <w:rPr>
          <w:rFonts w:ascii="標楷體" w:eastAsia="標楷體" w:hAnsi="標楷體" w:cstheme="minorHAnsi" w:hint="eastAsia"/>
          <w:color w:val="000000" w:themeColor="text1"/>
          <w:szCs w:val="24"/>
        </w:rPr>
        <w:t>、罰則、</w:t>
      </w:r>
      <w:r w:rsidR="00751A20" w:rsidRPr="00495D44">
        <w:rPr>
          <w:rFonts w:ascii="標楷體" w:eastAsia="標楷體" w:hAnsi="標楷體" w:cstheme="minorHAnsi" w:hint="eastAsia"/>
          <w:color w:val="000000" w:themeColor="text1"/>
          <w:szCs w:val="24"/>
        </w:rPr>
        <w:t>附則</w:t>
      </w:r>
      <w:r w:rsidRPr="00495D44">
        <w:rPr>
          <w:rFonts w:ascii="標楷體" w:eastAsia="標楷體" w:hAnsi="標楷體"/>
          <w:color w:val="000000" w:themeColor="text1"/>
        </w:rPr>
        <w:t>等</w:t>
      </w:r>
      <w:r w:rsidR="001E43BF" w:rsidRPr="00495D44">
        <w:rPr>
          <w:rFonts w:ascii="標楷體" w:eastAsia="標楷體" w:hAnsi="標楷體" w:hint="eastAsia"/>
          <w:color w:val="000000" w:themeColor="text1"/>
        </w:rPr>
        <w:t>八</w:t>
      </w:r>
      <w:r w:rsidRPr="00495D44">
        <w:rPr>
          <w:rFonts w:ascii="標楷體" w:eastAsia="標楷體" w:hAnsi="標楷體"/>
          <w:color w:val="000000" w:themeColor="text1"/>
        </w:rPr>
        <w:t>節</w:t>
      </w:r>
      <w:r w:rsidRPr="00495D44">
        <w:rPr>
          <w:rFonts w:ascii="標楷體" w:eastAsia="標楷體" w:hAnsi="標楷體" w:hint="eastAsia"/>
          <w:color w:val="000000" w:themeColor="text1"/>
        </w:rPr>
        <w:t>，</w:t>
      </w:r>
      <w:r w:rsidRPr="00495D44">
        <w:rPr>
          <w:rFonts w:ascii="標楷體" w:eastAsia="標楷體" w:hAnsi="標楷體"/>
          <w:color w:val="000000" w:themeColor="text1"/>
        </w:rPr>
        <w:t>共計</w:t>
      </w:r>
      <w:r w:rsidR="00D1038E">
        <w:rPr>
          <w:rFonts w:ascii="標楷體" w:eastAsia="標楷體" w:hAnsi="標楷體" w:hint="eastAsia"/>
          <w:color w:val="000000" w:themeColor="text1"/>
        </w:rPr>
        <w:t>三十</w:t>
      </w:r>
      <w:r w:rsidR="001E6FD2" w:rsidRPr="00495D44">
        <w:rPr>
          <w:rFonts w:ascii="標楷體" w:eastAsia="標楷體" w:hAnsi="標楷體" w:hint="eastAsia"/>
          <w:color w:val="000000" w:themeColor="text1"/>
        </w:rPr>
        <w:t>條</w:t>
      </w:r>
      <w:r w:rsidR="001E43BF" w:rsidRPr="00495D44">
        <w:rPr>
          <w:rFonts w:ascii="標楷體" w:eastAsia="標楷體" w:hAnsi="標楷體" w:hint="eastAsia"/>
          <w:color w:val="000000" w:themeColor="text1"/>
        </w:rPr>
        <w:t>，各節規範重點如下：</w:t>
      </w:r>
    </w:p>
    <w:p w:rsidR="001E43BF" w:rsidRPr="00495D44" w:rsidRDefault="001E43BF" w:rsidP="001E43B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color w:val="000000" w:themeColor="text1"/>
        </w:rPr>
      </w:pPr>
      <w:r w:rsidRPr="00495D44">
        <w:rPr>
          <w:rFonts w:ascii="標楷體" w:eastAsia="標楷體" w:hAnsi="標楷體" w:hint="eastAsia"/>
          <w:color w:val="000000" w:themeColor="text1"/>
        </w:rPr>
        <w:t>總則(第</w:t>
      </w:r>
      <w:r w:rsidR="00DE04E4" w:rsidRPr="00495D44">
        <w:rPr>
          <w:rFonts w:ascii="標楷體" w:eastAsia="標楷體" w:hAnsi="標楷體" w:hint="eastAsia"/>
          <w:color w:val="000000" w:themeColor="text1"/>
        </w:rPr>
        <w:t>一~三</w:t>
      </w:r>
      <w:r w:rsidRPr="00495D44">
        <w:rPr>
          <w:rFonts w:ascii="標楷體" w:eastAsia="標楷體" w:hAnsi="標楷體" w:hint="eastAsia"/>
          <w:color w:val="000000" w:themeColor="text1"/>
        </w:rPr>
        <w:t>條)：明定本要點訂定目的及依據</w:t>
      </w:r>
      <w:r w:rsidRPr="00495D44">
        <w:rPr>
          <w:rFonts w:hint="eastAsia"/>
          <w:color w:val="000000" w:themeColor="text1"/>
        </w:rPr>
        <w:t>。</w:t>
      </w:r>
    </w:p>
    <w:p w:rsidR="001E43BF" w:rsidRPr="00495D44" w:rsidRDefault="001E43BF" w:rsidP="001E43B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color w:val="000000" w:themeColor="text1"/>
        </w:rPr>
      </w:pPr>
      <w:r w:rsidRPr="00495D44">
        <w:rPr>
          <w:rFonts w:ascii="標楷體" w:eastAsia="標楷體" w:hAnsi="標楷體" w:hint="eastAsia"/>
          <w:color w:val="000000" w:themeColor="text1"/>
        </w:rPr>
        <w:t>董事會(第</w:t>
      </w:r>
      <w:r w:rsidR="00DE04E4" w:rsidRPr="00495D44">
        <w:rPr>
          <w:rFonts w:ascii="標楷體" w:eastAsia="標楷體" w:hAnsi="標楷體" w:hint="eastAsia"/>
          <w:color w:val="000000" w:themeColor="text1"/>
        </w:rPr>
        <w:t>四</w:t>
      </w:r>
      <w:r w:rsidRPr="00495D44">
        <w:rPr>
          <w:rFonts w:ascii="標楷體" w:eastAsia="標楷體" w:hAnsi="標楷體" w:hint="eastAsia"/>
          <w:color w:val="000000" w:themeColor="text1"/>
        </w:rPr>
        <w:t>~</w:t>
      </w:r>
      <w:r w:rsidR="00DE04E4" w:rsidRPr="00495D44">
        <w:rPr>
          <w:rFonts w:ascii="標楷體" w:eastAsia="標楷體" w:hAnsi="標楷體" w:hint="eastAsia"/>
          <w:color w:val="000000" w:themeColor="text1"/>
        </w:rPr>
        <w:t>八</w:t>
      </w:r>
      <w:r w:rsidRPr="00495D44">
        <w:rPr>
          <w:rFonts w:ascii="標楷體" w:eastAsia="標楷體" w:hAnsi="標楷體" w:hint="eastAsia"/>
          <w:color w:val="000000" w:themeColor="text1"/>
        </w:rPr>
        <w:t>條)：依</w:t>
      </w:r>
      <w:r w:rsidR="00D06565" w:rsidRPr="00495D44">
        <w:rPr>
          <w:rFonts w:ascii="標楷體" w:eastAsia="標楷體" w:hAnsi="標楷體" w:hint="eastAsia"/>
          <w:color w:val="000000" w:themeColor="text1"/>
        </w:rPr>
        <w:t>現行</w:t>
      </w:r>
      <w:r w:rsidRPr="00495D44">
        <w:rPr>
          <w:rFonts w:ascii="標楷體" w:eastAsia="標楷體" w:hAnsi="標楷體" w:hint="eastAsia"/>
          <w:color w:val="000000" w:themeColor="text1"/>
        </w:rPr>
        <w:t>法規明定董事會</w:t>
      </w:r>
      <w:r w:rsidR="00D06565" w:rsidRPr="00495D44">
        <w:rPr>
          <w:rFonts w:ascii="標楷體" w:eastAsia="標楷體" w:hAnsi="標楷體" w:hint="eastAsia"/>
          <w:color w:val="000000" w:themeColor="text1"/>
        </w:rPr>
        <w:t>之設置與組成</w:t>
      </w:r>
      <w:r w:rsidR="003F23F8" w:rsidRPr="00495D44">
        <w:rPr>
          <w:rFonts w:ascii="標楷體" w:eastAsia="標楷體" w:hAnsi="標楷體" w:hint="eastAsia"/>
          <w:color w:val="000000" w:themeColor="text1"/>
        </w:rPr>
        <w:t>(含獨立董事)</w:t>
      </w:r>
      <w:r w:rsidRPr="00495D44">
        <w:rPr>
          <w:rFonts w:ascii="標楷體" w:eastAsia="標楷體" w:hAnsi="標楷體" w:hint="eastAsia"/>
          <w:color w:val="000000" w:themeColor="text1"/>
        </w:rPr>
        <w:t>，並配合藍圖具體措施(十三)41</w:t>
      </w:r>
      <w:r w:rsidR="00895AA7" w:rsidRPr="00495D44">
        <w:rPr>
          <w:rFonts w:ascii="標楷體" w:eastAsia="標楷體" w:hAnsi="標楷體" w:hint="eastAsia"/>
          <w:color w:val="000000" w:themeColor="text1"/>
        </w:rPr>
        <w:t>，</w:t>
      </w:r>
      <w:r w:rsidRPr="00495D44">
        <w:rPr>
          <w:rFonts w:ascii="標楷體" w:eastAsia="標楷體" w:hAnsi="標楷體" w:hint="eastAsia"/>
          <w:color w:val="000000" w:themeColor="text1"/>
        </w:rPr>
        <w:t>明定上市公司應依</w:t>
      </w:r>
      <w:r w:rsidR="003F23F8" w:rsidRPr="00495D44">
        <w:rPr>
          <w:rFonts w:ascii="標楷體" w:eastAsia="標楷體" w:hAnsi="標楷體" w:hint="eastAsia"/>
          <w:color w:val="000000" w:themeColor="text1"/>
        </w:rPr>
        <w:t>主管機關法令及時程</w:t>
      </w:r>
      <w:r w:rsidRPr="00495D44">
        <w:rPr>
          <w:rFonts w:ascii="標楷體" w:eastAsia="標楷體" w:hAnsi="標楷體" w:cstheme="minorHAnsi" w:hint="eastAsia"/>
          <w:color w:val="000000" w:themeColor="text1"/>
        </w:rPr>
        <w:t>，於章程載明董事選舉採候選人提名制</w:t>
      </w:r>
      <w:r w:rsidRPr="00495D44">
        <w:rPr>
          <w:rFonts w:hint="eastAsia"/>
          <w:color w:val="000000" w:themeColor="text1"/>
        </w:rPr>
        <w:t>。</w:t>
      </w:r>
    </w:p>
    <w:p w:rsidR="001E43BF" w:rsidRPr="00495D44" w:rsidRDefault="001E43BF" w:rsidP="001E43B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rFonts w:ascii="標楷體" w:eastAsia="標楷體" w:hAnsi="標楷體"/>
          <w:color w:val="000000" w:themeColor="text1"/>
        </w:rPr>
      </w:pPr>
      <w:r w:rsidRPr="00495D44">
        <w:rPr>
          <w:rFonts w:ascii="標楷體" w:eastAsia="標楷體" w:hAnsi="標楷體" w:hint="eastAsia"/>
          <w:color w:val="000000" w:themeColor="text1"/>
        </w:rPr>
        <w:t>功能性委員會(第</w:t>
      </w:r>
      <w:r w:rsidR="00DE04E4" w:rsidRPr="00495D44">
        <w:rPr>
          <w:rFonts w:ascii="標楷體" w:eastAsia="標楷體" w:hAnsi="標楷體" w:hint="eastAsia"/>
          <w:color w:val="000000" w:themeColor="text1"/>
        </w:rPr>
        <w:t>九</w:t>
      </w:r>
      <w:r w:rsidRPr="00495D44">
        <w:rPr>
          <w:rFonts w:ascii="標楷體" w:eastAsia="標楷體" w:hAnsi="標楷體" w:hint="eastAsia"/>
          <w:color w:val="000000" w:themeColor="text1"/>
        </w:rPr>
        <w:t>~</w:t>
      </w:r>
      <w:r w:rsidR="00DE04E4" w:rsidRPr="00495D44">
        <w:rPr>
          <w:rFonts w:ascii="標楷體" w:eastAsia="標楷體" w:hAnsi="標楷體" w:hint="eastAsia"/>
          <w:color w:val="000000" w:themeColor="text1"/>
        </w:rPr>
        <w:t>十三</w:t>
      </w:r>
      <w:r w:rsidRPr="00495D44">
        <w:rPr>
          <w:rFonts w:ascii="標楷體" w:eastAsia="標楷體" w:hAnsi="標楷體" w:hint="eastAsia"/>
          <w:color w:val="000000" w:themeColor="text1"/>
        </w:rPr>
        <w:t>條)：</w:t>
      </w:r>
      <w:r w:rsidR="00D06565" w:rsidRPr="00495D44">
        <w:rPr>
          <w:rFonts w:ascii="標楷體" w:eastAsia="標楷體" w:hAnsi="標楷體" w:hint="eastAsia"/>
          <w:color w:val="000000" w:themeColor="text1"/>
        </w:rPr>
        <w:t>依現行法規明定法定功能性委員會之設置與組成，</w:t>
      </w:r>
      <w:r w:rsidR="003F23F8" w:rsidRPr="00495D44">
        <w:rPr>
          <w:rFonts w:ascii="標楷體" w:eastAsia="標楷體" w:hAnsi="標楷體" w:hint="eastAsia"/>
          <w:color w:val="000000" w:themeColor="text1"/>
        </w:rPr>
        <w:t>並</w:t>
      </w:r>
      <w:r w:rsidR="00D06565" w:rsidRPr="00495D44">
        <w:rPr>
          <w:rFonts w:ascii="標楷體" w:eastAsia="標楷體" w:hAnsi="標楷體" w:hint="eastAsia"/>
          <w:color w:val="000000" w:themeColor="text1"/>
        </w:rPr>
        <w:t>配合藍圖具體措施(四)12及(七)2</w:t>
      </w:r>
      <w:r w:rsidR="00896BAD">
        <w:rPr>
          <w:rFonts w:ascii="標楷體" w:eastAsia="標楷體" w:hAnsi="標楷體" w:hint="eastAsia"/>
          <w:color w:val="000000" w:themeColor="text1"/>
        </w:rPr>
        <w:t>0</w:t>
      </w:r>
      <w:bookmarkStart w:id="0" w:name="_GoBack"/>
      <w:bookmarkEnd w:id="0"/>
      <w:r w:rsidR="00E42427">
        <w:rPr>
          <w:rFonts w:ascii="標楷體" w:eastAsia="標楷體" w:hAnsi="標楷體" w:hint="eastAsia"/>
          <w:color w:val="000000" w:themeColor="text1"/>
        </w:rPr>
        <w:t>、21</w:t>
      </w:r>
      <w:r w:rsidR="00895AA7" w:rsidRPr="00495D44">
        <w:rPr>
          <w:rFonts w:ascii="標楷體" w:eastAsia="標楷體" w:hAnsi="標楷體" w:hint="eastAsia"/>
          <w:color w:val="000000" w:themeColor="text1"/>
        </w:rPr>
        <w:t>，</w:t>
      </w:r>
      <w:r w:rsidR="00D06565" w:rsidRPr="00495D44">
        <w:rPr>
          <w:rFonts w:ascii="標楷體" w:eastAsia="標楷體" w:hAnsi="標楷體" w:hint="eastAsia"/>
          <w:color w:val="000000" w:themeColor="text1"/>
        </w:rPr>
        <w:t>明定上市公司應依主管機關法令及時程，設置審計委員會</w:t>
      </w:r>
      <w:r w:rsidR="00714851">
        <w:rPr>
          <w:rFonts w:ascii="標楷體" w:eastAsia="標楷體" w:hAnsi="標楷體" w:hint="eastAsia"/>
          <w:color w:val="000000" w:themeColor="text1"/>
        </w:rPr>
        <w:t>，又</w:t>
      </w:r>
      <w:r w:rsidR="00D06565" w:rsidRPr="00495D44">
        <w:rPr>
          <w:rFonts w:ascii="標楷體" w:eastAsia="標楷體" w:hAnsi="標楷體" w:hint="eastAsia"/>
          <w:color w:val="000000" w:themeColor="text1"/>
        </w:rPr>
        <w:t>薪</w:t>
      </w:r>
      <w:r w:rsidR="00DD46DE">
        <w:rPr>
          <w:rFonts w:ascii="標楷體" w:eastAsia="標楷體" w:hAnsi="標楷體" w:hint="eastAsia"/>
          <w:color w:val="000000" w:themeColor="text1"/>
        </w:rPr>
        <w:t>資報</w:t>
      </w:r>
      <w:r w:rsidR="00D06565" w:rsidRPr="00495D44">
        <w:rPr>
          <w:rFonts w:ascii="標楷體" w:eastAsia="標楷體" w:hAnsi="標楷體" w:hint="eastAsia"/>
          <w:color w:val="000000" w:themeColor="text1"/>
        </w:rPr>
        <w:t>酬委員會過半數成員由獨立董事擔任。</w:t>
      </w:r>
    </w:p>
    <w:p w:rsidR="003F23F8" w:rsidRPr="00495D44" w:rsidRDefault="003F23F8" w:rsidP="001E43BF">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rFonts w:ascii="標楷體" w:eastAsia="標楷體" w:hAnsi="標楷體"/>
          <w:color w:val="000000" w:themeColor="text1"/>
        </w:rPr>
      </w:pPr>
      <w:r w:rsidRPr="00495D44">
        <w:rPr>
          <w:rFonts w:ascii="標楷體" w:eastAsia="標楷體" w:hAnsi="標楷體" w:hint="eastAsia"/>
          <w:color w:val="000000" w:themeColor="text1"/>
        </w:rPr>
        <w:t>董事職責(第</w:t>
      </w:r>
      <w:r w:rsidR="00DE04E4" w:rsidRPr="00495D44">
        <w:rPr>
          <w:rFonts w:ascii="標楷體" w:eastAsia="標楷體" w:hAnsi="標楷體" w:hint="eastAsia"/>
          <w:color w:val="000000" w:themeColor="text1"/>
        </w:rPr>
        <w:t>十四</w:t>
      </w:r>
      <w:r w:rsidRPr="00495D44">
        <w:rPr>
          <w:rFonts w:ascii="標楷體" w:eastAsia="標楷體" w:hAnsi="標楷體" w:hint="eastAsia"/>
          <w:color w:val="000000" w:themeColor="text1"/>
        </w:rPr>
        <w:t>~</w:t>
      </w:r>
      <w:r w:rsidR="00DE04E4" w:rsidRPr="00495D44">
        <w:rPr>
          <w:rFonts w:ascii="標楷體" w:eastAsia="標楷體" w:hAnsi="標楷體" w:hint="eastAsia"/>
          <w:color w:val="000000" w:themeColor="text1"/>
        </w:rPr>
        <w:t>十六</w:t>
      </w:r>
      <w:r w:rsidRPr="00495D44">
        <w:rPr>
          <w:rFonts w:ascii="標楷體" w:eastAsia="標楷體" w:hAnsi="標楷體" w:hint="eastAsia"/>
          <w:color w:val="000000" w:themeColor="text1"/>
        </w:rPr>
        <w:t>條)：因應</w:t>
      </w:r>
      <w:r w:rsidR="00895AA7" w:rsidRPr="00495D44">
        <w:rPr>
          <w:rFonts w:ascii="標楷體" w:eastAsia="標楷體" w:hAnsi="標楷體" w:hint="eastAsia"/>
          <w:color w:val="000000" w:themeColor="text1"/>
        </w:rPr>
        <w:t>證交</w:t>
      </w:r>
      <w:r w:rsidRPr="00495D44">
        <w:rPr>
          <w:rFonts w:ascii="標楷體" w:eastAsia="標楷體" w:hAnsi="標楷體" w:hint="eastAsia"/>
          <w:color w:val="000000" w:themeColor="text1"/>
        </w:rPr>
        <w:t>法</w:t>
      </w:r>
      <w:r w:rsidR="00CE23CA" w:rsidRPr="00495D44">
        <w:rPr>
          <w:rFonts w:ascii="標楷體" w:eastAsia="標楷體" w:hAnsi="標楷體" w:cs="細明體" w:hint="eastAsia"/>
          <w:color w:val="000000" w:themeColor="text1"/>
        </w:rPr>
        <w:t>第十四條之二</w:t>
      </w:r>
      <w:r w:rsidRPr="00495D44">
        <w:rPr>
          <w:rFonts w:ascii="標楷體" w:eastAsia="標楷體" w:hAnsi="標楷體" w:hint="eastAsia"/>
          <w:color w:val="000000" w:themeColor="text1"/>
        </w:rPr>
        <w:t>增訂獨立董事資訊查閱權</w:t>
      </w:r>
      <w:r w:rsidR="00895AA7" w:rsidRPr="00495D44">
        <w:rPr>
          <w:rFonts w:ascii="標楷體" w:eastAsia="標楷體" w:hAnsi="標楷體" w:hint="eastAsia"/>
          <w:color w:val="000000" w:themeColor="text1"/>
        </w:rPr>
        <w:t>、</w:t>
      </w:r>
      <w:r w:rsidRPr="00495D44">
        <w:rPr>
          <w:rFonts w:ascii="標楷體" w:eastAsia="標楷體" w:hAnsi="標楷體" w:hint="eastAsia"/>
          <w:color w:val="000000" w:themeColor="text1"/>
        </w:rPr>
        <w:t>公司法增訂</w:t>
      </w:r>
      <w:r w:rsidR="00CE23CA" w:rsidRPr="00495D44">
        <w:rPr>
          <w:rFonts w:ascii="標楷體" w:eastAsia="標楷體" w:hAnsi="標楷體" w:hint="eastAsia"/>
          <w:color w:val="000000" w:themeColor="text1"/>
        </w:rPr>
        <w:t>第一百九十三條之一</w:t>
      </w:r>
      <w:r w:rsidRPr="00495D44">
        <w:rPr>
          <w:rFonts w:ascii="標楷體" w:eastAsia="標楷體" w:hAnsi="標楷體" w:hint="eastAsia"/>
          <w:color w:val="000000" w:themeColor="text1"/>
        </w:rPr>
        <w:t>董事責任保險規定</w:t>
      </w:r>
      <w:r w:rsidR="00895AA7" w:rsidRPr="00495D44">
        <w:rPr>
          <w:rFonts w:ascii="標楷體" w:eastAsia="標楷體" w:hAnsi="標楷體" w:hint="eastAsia"/>
          <w:color w:val="000000" w:themeColor="text1"/>
        </w:rPr>
        <w:t>，暨</w:t>
      </w:r>
      <w:r w:rsidRPr="00495D44">
        <w:rPr>
          <w:rFonts w:ascii="標楷體" w:eastAsia="標楷體" w:hAnsi="標楷體" w:hint="eastAsia"/>
          <w:color w:val="000000" w:themeColor="text1"/>
        </w:rPr>
        <w:t>配合藍圖具體措施(十)33及</w:t>
      </w:r>
      <w:r w:rsidR="00895AA7" w:rsidRPr="00495D44">
        <w:rPr>
          <w:rFonts w:ascii="標楷體" w:eastAsia="標楷體" w:hAnsi="標楷體" w:hint="eastAsia"/>
          <w:color w:val="000000" w:themeColor="text1"/>
        </w:rPr>
        <w:t>(十一)38，明</w:t>
      </w:r>
      <w:r w:rsidRPr="00495D44">
        <w:rPr>
          <w:rFonts w:ascii="標楷體" w:eastAsia="標楷體" w:hAnsi="標楷體" w:hint="eastAsia"/>
          <w:color w:val="000000" w:themeColor="text1"/>
        </w:rPr>
        <w:t>定上市公司應訂定處理董事</w:t>
      </w:r>
      <w:r w:rsidR="00895AA7" w:rsidRPr="00495D44">
        <w:rPr>
          <w:rFonts w:ascii="標楷體" w:eastAsia="標楷體" w:hAnsi="標楷體" w:hint="eastAsia"/>
          <w:color w:val="000000" w:themeColor="text1"/>
        </w:rPr>
        <w:t>所提</w:t>
      </w:r>
      <w:r w:rsidRPr="00495D44">
        <w:rPr>
          <w:rFonts w:ascii="標楷體" w:eastAsia="標楷體" w:hAnsi="標楷體" w:hint="eastAsia"/>
          <w:color w:val="000000" w:themeColor="text1"/>
        </w:rPr>
        <w:t>要求之標準作業程序</w:t>
      </w:r>
      <w:r w:rsidR="00895AA7" w:rsidRPr="00495D44">
        <w:rPr>
          <w:rFonts w:ascii="標楷體" w:eastAsia="標楷體" w:hAnsi="標楷體" w:hint="eastAsia"/>
          <w:color w:val="000000" w:themeColor="text1"/>
        </w:rPr>
        <w:t>及</w:t>
      </w:r>
      <w:r w:rsidR="000C5033" w:rsidRPr="00495D44">
        <w:rPr>
          <w:rFonts w:ascii="標楷體" w:eastAsia="標楷體" w:hAnsi="標楷體" w:hint="eastAsia"/>
          <w:color w:val="000000" w:themeColor="text1"/>
        </w:rPr>
        <w:t>為全體董事</w:t>
      </w:r>
      <w:r w:rsidR="00FA7FF0">
        <w:rPr>
          <w:rFonts w:ascii="標楷體" w:eastAsia="標楷體" w:hAnsi="標楷體" w:hint="eastAsia"/>
          <w:color w:val="000000" w:themeColor="text1"/>
        </w:rPr>
        <w:t>、監察人</w:t>
      </w:r>
      <w:r w:rsidR="009E4F87">
        <w:rPr>
          <w:rFonts w:ascii="標楷體" w:eastAsia="標楷體" w:hAnsi="標楷體" w:hint="eastAsia"/>
          <w:color w:val="000000" w:themeColor="text1"/>
        </w:rPr>
        <w:t>購買</w:t>
      </w:r>
      <w:r w:rsidR="00895AA7" w:rsidRPr="00495D44">
        <w:rPr>
          <w:rFonts w:ascii="標楷體" w:eastAsia="標楷體" w:hAnsi="標楷體" w:hint="eastAsia"/>
          <w:color w:val="000000" w:themeColor="text1"/>
        </w:rPr>
        <w:t>責任保險。</w:t>
      </w:r>
    </w:p>
    <w:p w:rsidR="00895AA7" w:rsidRPr="00495D44" w:rsidRDefault="003F23F8" w:rsidP="00895AA7">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rFonts w:ascii="標楷體" w:eastAsia="標楷體" w:hAnsi="標楷體"/>
          <w:color w:val="000000" w:themeColor="text1"/>
        </w:rPr>
      </w:pPr>
      <w:r w:rsidRPr="00495D44">
        <w:rPr>
          <w:rFonts w:ascii="標楷體" w:eastAsia="標楷體" w:hAnsi="標楷體" w:hint="eastAsia"/>
          <w:color w:val="000000" w:themeColor="text1"/>
        </w:rPr>
        <w:lastRenderedPageBreak/>
        <w:t>薪酬及績效評鑑</w:t>
      </w:r>
      <w:r w:rsidR="00895AA7" w:rsidRPr="00495D44">
        <w:rPr>
          <w:rFonts w:ascii="標楷體" w:eastAsia="標楷體" w:hAnsi="標楷體" w:hint="eastAsia"/>
          <w:color w:val="000000" w:themeColor="text1"/>
        </w:rPr>
        <w:t>(第</w:t>
      </w:r>
      <w:r w:rsidR="00DE04E4" w:rsidRPr="00495D44">
        <w:rPr>
          <w:rFonts w:ascii="標楷體" w:eastAsia="標楷體" w:hAnsi="標楷體" w:hint="eastAsia"/>
          <w:color w:val="000000" w:themeColor="text1"/>
        </w:rPr>
        <w:t>十七</w:t>
      </w:r>
      <w:r w:rsidR="00895AA7" w:rsidRPr="00495D44">
        <w:rPr>
          <w:rFonts w:ascii="標楷體" w:eastAsia="標楷體" w:hAnsi="標楷體" w:hint="eastAsia"/>
          <w:color w:val="000000" w:themeColor="text1"/>
        </w:rPr>
        <w:t>~</w:t>
      </w:r>
      <w:r w:rsidR="00DE04E4" w:rsidRPr="00495D44">
        <w:rPr>
          <w:rFonts w:ascii="標楷體" w:eastAsia="標楷體" w:hAnsi="標楷體" w:hint="eastAsia"/>
          <w:color w:val="000000" w:themeColor="text1"/>
        </w:rPr>
        <w:t>十九</w:t>
      </w:r>
      <w:r w:rsidR="00895AA7" w:rsidRPr="00495D44">
        <w:rPr>
          <w:rFonts w:ascii="標楷體" w:eastAsia="標楷體" w:hAnsi="標楷體" w:hint="eastAsia"/>
          <w:color w:val="000000" w:themeColor="text1"/>
        </w:rPr>
        <w:t>條)：配合藍圖具體措施(八)23及(九)28，明定上市公司應依主管機關法令揭露董</w:t>
      </w:r>
      <w:r w:rsidR="009E4F87">
        <w:rPr>
          <w:rFonts w:ascii="標楷體" w:eastAsia="標楷體" w:hAnsi="標楷體" w:hint="eastAsia"/>
          <w:color w:val="000000" w:themeColor="text1"/>
        </w:rPr>
        <w:t>監及高階</w:t>
      </w:r>
      <w:r w:rsidR="008C6958">
        <w:rPr>
          <w:rFonts w:ascii="標楷體" w:eastAsia="標楷體" w:hAnsi="標楷體" w:hint="eastAsia"/>
          <w:color w:val="000000" w:themeColor="text1"/>
        </w:rPr>
        <w:t>經理人</w:t>
      </w:r>
      <w:r w:rsidR="00895AA7" w:rsidRPr="00495D44">
        <w:rPr>
          <w:rFonts w:ascii="標楷體" w:eastAsia="標楷體" w:hAnsi="標楷體" w:hint="eastAsia"/>
          <w:color w:val="000000" w:themeColor="text1"/>
        </w:rPr>
        <w:t>薪酬</w:t>
      </w:r>
      <w:r w:rsidR="008C6958">
        <w:rPr>
          <w:rFonts w:ascii="標楷體" w:eastAsia="標楷體" w:hAnsi="標楷體" w:hint="eastAsia"/>
          <w:color w:val="000000" w:themeColor="text1"/>
        </w:rPr>
        <w:t>，並</w:t>
      </w:r>
      <w:r w:rsidR="00895AA7" w:rsidRPr="00495D44">
        <w:rPr>
          <w:rFonts w:ascii="標楷體" w:eastAsia="標楷體" w:hAnsi="標楷體" w:hint="eastAsia"/>
          <w:color w:val="000000" w:themeColor="text1"/>
        </w:rPr>
        <w:t>依本公司規定辦理董事會自我</w:t>
      </w:r>
      <w:r w:rsidR="002B3095">
        <w:rPr>
          <w:rFonts w:ascii="標楷體" w:eastAsia="標楷體" w:hAnsi="標楷體" w:hint="eastAsia"/>
          <w:color w:val="000000" w:themeColor="text1"/>
        </w:rPr>
        <w:t>(或同儕)</w:t>
      </w:r>
      <w:r w:rsidR="00895AA7" w:rsidRPr="00495D44">
        <w:rPr>
          <w:rFonts w:ascii="標楷體" w:eastAsia="標楷體" w:hAnsi="標楷體" w:hint="eastAsia"/>
          <w:color w:val="000000" w:themeColor="text1"/>
        </w:rPr>
        <w:t>評鑑。</w:t>
      </w:r>
    </w:p>
    <w:p w:rsidR="009B03F4" w:rsidRPr="00495D44" w:rsidRDefault="00F73D69" w:rsidP="009B03F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rFonts w:ascii="標楷體" w:eastAsia="標楷體" w:hAnsi="標楷體"/>
          <w:color w:val="000000" w:themeColor="text1"/>
        </w:rPr>
      </w:pPr>
      <w:r w:rsidRPr="00495D44">
        <w:rPr>
          <w:rFonts w:ascii="標楷體" w:eastAsia="標楷體" w:hAnsi="標楷體" w:hint="eastAsia"/>
          <w:color w:val="000000" w:themeColor="text1"/>
        </w:rPr>
        <w:t>公司治理主管</w:t>
      </w:r>
      <w:r w:rsidR="00F21CB6" w:rsidRPr="00495D44">
        <w:rPr>
          <w:rFonts w:ascii="標楷體" w:eastAsia="標楷體" w:hAnsi="標楷體" w:hint="eastAsia"/>
          <w:color w:val="000000" w:themeColor="text1"/>
        </w:rPr>
        <w:t>(第</w:t>
      </w:r>
      <w:r w:rsidR="00DE04E4" w:rsidRPr="00495D44">
        <w:rPr>
          <w:rFonts w:ascii="標楷體" w:eastAsia="標楷體" w:hAnsi="標楷體" w:hint="eastAsia"/>
          <w:color w:val="000000" w:themeColor="text1"/>
        </w:rPr>
        <w:t>二十</w:t>
      </w:r>
      <w:r w:rsidR="00F21CB6" w:rsidRPr="00495D44">
        <w:rPr>
          <w:rFonts w:ascii="標楷體" w:eastAsia="標楷體" w:hAnsi="標楷體" w:hint="eastAsia"/>
          <w:color w:val="000000" w:themeColor="text1"/>
        </w:rPr>
        <w:t>~</w:t>
      </w:r>
      <w:r w:rsidR="00DE04E4" w:rsidRPr="00495D44">
        <w:rPr>
          <w:rFonts w:ascii="標楷體" w:eastAsia="標楷體" w:hAnsi="標楷體" w:hint="eastAsia"/>
          <w:color w:val="000000" w:themeColor="text1"/>
        </w:rPr>
        <w:t>二十五</w:t>
      </w:r>
      <w:r w:rsidR="00F21CB6" w:rsidRPr="00495D44">
        <w:rPr>
          <w:rFonts w:ascii="標楷體" w:eastAsia="標楷體" w:hAnsi="標楷體" w:hint="eastAsia"/>
          <w:color w:val="000000" w:themeColor="text1"/>
        </w:rPr>
        <w:t>條)：</w:t>
      </w:r>
      <w:r w:rsidR="009B03F4" w:rsidRPr="00495D44">
        <w:rPr>
          <w:rFonts w:ascii="標楷體" w:eastAsia="標楷體" w:hAnsi="標楷體" w:hint="eastAsia"/>
          <w:color w:val="000000" w:themeColor="text1"/>
        </w:rPr>
        <w:t>配合藍圖具體措施(十)31</w:t>
      </w:r>
      <w:r w:rsidR="00213C98" w:rsidRPr="00495D44">
        <w:rPr>
          <w:rFonts w:ascii="標楷體" w:eastAsia="標楷體" w:hAnsi="標楷體" w:hint="eastAsia"/>
          <w:color w:val="000000" w:themeColor="text1"/>
        </w:rPr>
        <w:t>，</w:t>
      </w:r>
      <w:r w:rsidR="000C5033" w:rsidRPr="00495D44">
        <w:rPr>
          <w:rFonts w:ascii="標楷體" w:eastAsia="標楷體" w:hAnsi="標楷體" w:hint="eastAsia"/>
          <w:color w:val="000000" w:themeColor="text1"/>
        </w:rPr>
        <w:t>並</w:t>
      </w:r>
      <w:r w:rsidR="00DE32F0" w:rsidRPr="00495D44">
        <w:rPr>
          <w:rFonts w:ascii="標楷體" w:eastAsia="標楷體" w:hAnsi="標楷體" w:hint="eastAsia"/>
          <w:color w:val="000000" w:themeColor="text1"/>
        </w:rPr>
        <w:t>參照現行法</w:t>
      </w:r>
      <w:r w:rsidR="00213C98" w:rsidRPr="00495D44">
        <w:rPr>
          <w:rFonts w:ascii="標楷體" w:eastAsia="標楷體" w:hAnsi="標楷體" w:hint="eastAsia"/>
          <w:color w:val="000000" w:themeColor="text1"/>
        </w:rPr>
        <w:t>會計</w:t>
      </w:r>
      <w:r w:rsidR="00DE32F0" w:rsidRPr="00495D44">
        <w:rPr>
          <w:rFonts w:ascii="標楷體" w:eastAsia="標楷體" w:hAnsi="標楷體" w:hint="eastAsia"/>
          <w:color w:val="000000" w:themeColor="text1"/>
        </w:rPr>
        <w:t>主管</w:t>
      </w:r>
      <w:r w:rsidR="00DE32F0" w:rsidRPr="00495D44">
        <w:rPr>
          <w:rFonts w:ascii="標楷體" w:eastAsia="標楷體" w:hAnsi="標楷體" w:cstheme="minorHAnsi" w:hint="eastAsia"/>
          <w:color w:val="000000" w:themeColor="text1"/>
        </w:rPr>
        <w:t>、</w:t>
      </w:r>
      <w:r w:rsidR="00213C98" w:rsidRPr="00495D44">
        <w:rPr>
          <w:rFonts w:ascii="標楷體" w:eastAsia="標楷體" w:hAnsi="標楷體" w:hint="eastAsia"/>
          <w:color w:val="000000" w:themeColor="text1"/>
        </w:rPr>
        <w:t>內部稽核主管</w:t>
      </w:r>
      <w:r w:rsidR="00DE32F0" w:rsidRPr="00495D44">
        <w:rPr>
          <w:rFonts w:ascii="標楷體" w:eastAsia="標楷體" w:hAnsi="標楷體" w:hint="eastAsia"/>
          <w:color w:val="000000" w:themeColor="text1"/>
        </w:rPr>
        <w:t>用語</w:t>
      </w:r>
      <w:r w:rsidR="00213C98" w:rsidRPr="00495D44">
        <w:rPr>
          <w:rFonts w:ascii="標楷體" w:eastAsia="標楷體" w:hAnsi="標楷體" w:hint="eastAsia"/>
          <w:color w:val="000000" w:themeColor="text1"/>
        </w:rPr>
        <w:t>，</w:t>
      </w:r>
      <w:r w:rsidR="009B03F4" w:rsidRPr="00495D44">
        <w:rPr>
          <w:rFonts w:ascii="標楷體" w:eastAsia="標楷體" w:hAnsi="標楷體" w:hint="eastAsia"/>
          <w:color w:val="000000" w:themeColor="text1"/>
        </w:rPr>
        <w:t>明定上市公司</w:t>
      </w:r>
      <w:r w:rsidR="00213C98" w:rsidRPr="00495D44">
        <w:rPr>
          <w:rFonts w:ascii="標楷體" w:eastAsia="標楷體" w:hAnsi="標楷體" w:hint="eastAsia"/>
          <w:color w:val="000000" w:themeColor="text1"/>
        </w:rPr>
        <w:t>強制</w:t>
      </w:r>
      <w:r w:rsidR="009B03F4" w:rsidRPr="00495D44">
        <w:rPr>
          <w:rFonts w:ascii="標楷體" w:eastAsia="標楷體" w:hAnsi="標楷體" w:hint="eastAsia"/>
          <w:color w:val="000000" w:themeColor="text1"/>
        </w:rPr>
        <w:t>設置</w:t>
      </w:r>
      <w:r w:rsidR="00213C98" w:rsidRPr="00495D44">
        <w:rPr>
          <w:rFonts w:ascii="標楷體" w:eastAsia="標楷體" w:hAnsi="標楷體" w:hint="eastAsia"/>
          <w:color w:val="000000" w:themeColor="text1"/>
        </w:rPr>
        <w:t>「</w:t>
      </w:r>
      <w:r w:rsidR="009B03F4" w:rsidRPr="00495D44">
        <w:rPr>
          <w:rFonts w:ascii="標楷體" w:eastAsia="標楷體" w:hAnsi="標楷體" w:hint="eastAsia"/>
          <w:color w:val="000000" w:themeColor="text1"/>
        </w:rPr>
        <w:t>公司治理主管</w:t>
      </w:r>
      <w:r w:rsidR="00213C98" w:rsidRPr="00495D44">
        <w:rPr>
          <w:rFonts w:ascii="標楷體" w:eastAsia="標楷體" w:hAnsi="標楷體" w:hint="eastAsia"/>
          <w:color w:val="000000" w:themeColor="text1"/>
        </w:rPr>
        <w:t>」之門檻</w:t>
      </w:r>
      <w:r w:rsidR="009B03F4" w:rsidRPr="00495D44">
        <w:rPr>
          <w:rFonts w:ascii="標楷體" w:eastAsia="標楷體" w:hAnsi="標楷體" w:hint="eastAsia"/>
          <w:color w:val="000000" w:themeColor="text1"/>
        </w:rPr>
        <w:t>及其資格條件</w:t>
      </w:r>
      <w:r w:rsidR="00213C98" w:rsidRPr="00495D44">
        <w:rPr>
          <w:rFonts w:ascii="標楷體" w:eastAsia="標楷體" w:hAnsi="標楷體" w:cstheme="minorHAnsi" w:hint="eastAsia"/>
          <w:color w:val="000000" w:themeColor="text1"/>
        </w:rPr>
        <w:t>、</w:t>
      </w:r>
      <w:r w:rsidR="009B03F4" w:rsidRPr="00495D44">
        <w:rPr>
          <w:rFonts w:ascii="標楷體" w:eastAsia="標楷體" w:hAnsi="標楷體" w:cstheme="minorHAnsi" w:hint="eastAsia"/>
          <w:color w:val="000000" w:themeColor="text1"/>
        </w:rPr>
        <w:t>職掌、進修等</w:t>
      </w:r>
      <w:r w:rsidR="000C5033" w:rsidRPr="00495D44">
        <w:rPr>
          <w:rFonts w:ascii="標楷體" w:eastAsia="標楷體" w:hAnsi="標楷體" w:cstheme="minorHAnsi" w:hint="eastAsia"/>
          <w:color w:val="000000" w:themeColor="text1"/>
        </w:rPr>
        <w:t>相關</w:t>
      </w:r>
      <w:r w:rsidR="00213C98" w:rsidRPr="00495D44">
        <w:rPr>
          <w:rFonts w:ascii="標楷體" w:eastAsia="標楷體" w:hAnsi="標楷體" w:cstheme="minorHAnsi" w:hint="eastAsia"/>
          <w:color w:val="000000" w:themeColor="text1"/>
        </w:rPr>
        <w:t>規定</w:t>
      </w:r>
      <w:r w:rsidR="00213C98" w:rsidRPr="00495D44">
        <w:rPr>
          <w:rFonts w:ascii="標楷體" w:eastAsia="標楷體" w:hAnsi="標楷體" w:hint="eastAsia"/>
          <w:color w:val="000000" w:themeColor="text1"/>
        </w:rPr>
        <w:t>。</w:t>
      </w:r>
    </w:p>
    <w:p w:rsidR="00163276" w:rsidRPr="00163276" w:rsidRDefault="00F21CB6" w:rsidP="00163276">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rFonts w:ascii="標楷體" w:eastAsia="標楷體" w:hAnsi="標楷體"/>
          <w:color w:val="000000" w:themeColor="text1"/>
        </w:rPr>
      </w:pPr>
      <w:r w:rsidRPr="00495D44">
        <w:rPr>
          <w:rFonts w:ascii="標楷體" w:eastAsia="標楷體" w:hAnsi="標楷體" w:hint="eastAsia"/>
          <w:color w:val="000000" w:themeColor="text1"/>
        </w:rPr>
        <w:t>罰則(第</w:t>
      </w:r>
      <w:r w:rsidR="00DE04E4" w:rsidRPr="00495D44">
        <w:rPr>
          <w:rFonts w:ascii="標楷體" w:eastAsia="標楷體" w:hAnsi="標楷體" w:hint="eastAsia"/>
          <w:color w:val="000000" w:themeColor="text1"/>
        </w:rPr>
        <w:t>二十六</w:t>
      </w:r>
      <w:r w:rsidRPr="00495D44">
        <w:rPr>
          <w:rFonts w:ascii="標楷體" w:eastAsia="標楷體" w:hAnsi="標楷體" w:hint="eastAsia"/>
          <w:color w:val="000000" w:themeColor="text1"/>
        </w:rPr>
        <w:t>~</w:t>
      </w:r>
      <w:r w:rsidR="0022321D" w:rsidRPr="00495D44">
        <w:rPr>
          <w:rFonts w:ascii="標楷體" w:eastAsia="標楷體" w:hAnsi="標楷體" w:hint="eastAsia"/>
          <w:color w:val="000000" w:themeColor="text1"/>
        </w:rPr>
        <w:t>二十九</w:t>
      </w:r>
      <w:r w:rsidRPr="00495D44">
        <w:rPr>
          <w:rFonts w:ascii="標楷體" w:eastAsia="標楷體" w:hAnsi="標楷體" w:hint="eastAsia"/>
          <w:color w:val="000000" w:themeColor="text1"/>
        </w:rPr>
        <w:t>條)：配合藍圖具體措施(二十四)76，</w:t>
      </w:r>
      <w:r w:rsidR="00FC6E9B" w:rsidRPr="00D77837">
        <w:rPr>
          <w:rFonts w:ascii="標楷體" w:eastAsia="標楷體" w:hAnsi="標楷體" w:cstheme="minorHAnsi" w:hint="eastAsia"/>
          <w:color w:val="000000" w:themeColor="text1"/>
        </w:rPr>
        <w:t>參照</w:t>
      </w:r>
      <w:r w:rsidR="0052066E" w:rsidRPr="00D77837">
        <w:rPr>
          <w:rFonts w:ascii="標楷體" w:eastAsia="標楷體" w:hAnsi="標楷體" w:cstheme="minorHAnsi" w:hint="eastAsia"/>
          <w:color w:val="000000" w:themeColor="text1"/>
        </w:rPr>
        <w:t>美國、</w:t>
      </w:r>
      <w:r w:rsidR="00FC6E9B" w:rsidRPr="00D77837">
        <w:rPr>
          <w:rFonts w:ascii="標楷體" w:eastAsia="標楷體" w:hAnsi="標楷體" w:cstheme="minorHAnsi" w:hint="eastAsia"/>
          <w:color w:val="000000" w:themeColor="text1"/>
        </w:rPr>
        <w:t>香港和新加坡交易所之規定，</w:t>
      </w:r>
      <w:r w:rsidR="009B03F4" w:rsidRPr="00D77837">
        <w:rPr>
          <w:rFonts w:ascii="標楷體" w:eastAsia="標楷體" w:hAnsi="標楷體" w:hint="eastAsia"/>
          <w:color w:val="000000" w:themeColor="text1"/>
        </w:rPr>
        <w:t>就</w:t>
      </w:r>
      <w:r w:rsidRPr="00D77837">
        <w:rPr>
          <w:rFonts w:ascii="標楷體" w:eastAsia="標楷體" w:hAnsi="標楷體" w:hint="eastAsia"/>
          <w:color w:val="000000" w:themeColor="text1"/>
        </w:rPr>
        <w:t>違反本要點</w:t>
      </w:r>
      <w:r w:rsidR="009B03F4" w:rsidRPr="00D77837">
        <w:rPr>
          <w:rFonts w:ascii="標楷體" w:eastAsia="標楷體" w:hAnsi="標楷體" w:hint="eastAsia"/>
          <w:color w:val="000000" w:themeColor="text1"/>
        </w:rPr>
        <w:t>者明定</w:t>
      </w:r>
      <w:r w:rsidRPr="00D77837">
        <w:rPr>
          <w:rFonts w:ascii="標楷體" w:eastAsia="標楷體" w:hAnsi="標楷體" w:hint="eastAsia"/>
          <w:color w:val="000000" w:themeColor="text1"/>
        </w:rPr>
        <w:t>多元化</w:t>
      </w:r>
      <w:r w:rsidR="009B03F4" w:rsidRPr="00D77837">
        <w:rPr>
          <w:rFonts w:ascii="標楷體" w:eastAsia="標楷體" w:hAnsi="標楷體" w:hint="eastAsia"/>
          <w:color w:val="000000" w:themeColor="text1"/>
        </w:rPr>
        <w:t>之</w:t>
      </w:r>
      <w:r w:rsidRPr="00D77837">
        <w:rPr>
          <w:rFonts w:ascii="標楷體" w:eastAsia="標楷體" w:hAnsi="標楷體" w:hint="eastAsia"/>
          <w:color w:val="000000" w:themeColor="text1"/>
        </w:rPr>
        <w:t>處置措施</w:t>
      </w:r>
      <w:r w:rsidR="00163276" w:rsidRPr="00D77837">
        <w:rPr>
          <w:rFonts w:eastAsia="標楷體" w:cstheme="minorHAnsi" w:hint="eastAsia"/>
          <w:color w:val="000000" w:themeColor="text1"/>
        </w:rPr>
        <w:t>，包括處以違約金、發函促請公司限期改善、變更交易方法、停止買賣或終止上市等</w:t>
      </w:r>
      <w:r w:rsidR="00FC6E9B" w:rsidRPr="00D77837">
        <w:rPr>
          <w:rFonts w:eastAsia="標楷體" w:cstheme="minorHAnsi" w:hint="eastAsia"/>
          <w:color w:val="000000" w:themeColor="text1"/>
        </w:rPr>
        <w:t>，</w:t>
      </w:r>
      <w:r w:rsidRPr="00495D44">
        <w:rPr>
          <w:rFonts w:ascii="標楷體" w:eastAsia="標楷體" w:hAnsi="標楷體" w:hint="eastAsia"/>
          <w:color w:val="000000" w:themeColor="text1"/>
        </w:rPr>
        <w:t>上市公司違規情形及本公司處置措施，</w:t>
      </w:r>
      <w:r w:rsidR="009B03F4" w:rsidRPr="00495D44">
        <w:rPr>
          <w:rFonts w:ascii="標楷體" w:eastAsia="標楷體" w:hAnsi="標楷體" w:hint="eastAsia"/>
          <w:color w:val="000000" w:themeColor="text1"/>
        </w:rPr>
        <w:t>併予公開揭示</w:t>
      </w:r>
      <w:r w:rsidRPr="00495D44">
        <w:rPr>
          <w:rFonts w:ascii="標楷體" w:eastAsia="標楷體" w:hAnsi="標楷體" w:hint="eastAsia"/>
          <w:color w:val="000000" w:themeColor="text1"/>
        </w:rPr>
        <w:t>，以強化遵循。</w:t>
      </w:r>
    </w:p>
    <w:p w:rsidR="005A6AFB" w:rsidRPr="00495D44" w:rsidRDefault="00F21CB6" w:rsidP="009B03F4">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0"/>
        <w:rPr>
          <w:rFonts w:ascii="標楷體" w:eastAsia="標楷體" w:hAnsi="標楷體"/>
          <w:color w:val="000000" w:themeColor="text1"/>
        </w:rPr>
      </w:pPr>
      <w:r w:rsidRPr="00495D44">
        <w:rPr>
          <w:rFonts w:ascii="標楷體" w:eastAsia="標楷體" w:hAnsi="標楷體" w:hint="eastAsia"/>
          <w:color w:val="000000" w:themeColor="text1"/>
        </w:rPr>
        <w:t>附則(第</w:t>
      </w:r>
      <w:r w:rsidR="0022321D" w:rsidRPr="00495D44">
        <w:rPr>
          <w:rFonts w:ascii="標楷體" w:eastAsia="標楷體" w:hAnsi="標楷體" w:hint="eastAsia"/>
          <w:color w:val="000000" w:themeColor="text1"/>
        </w:rPr>
        <w:t>三十</w:t>
      </w:r>
      <w:r w:rsidRPr="00495D44">
        <w:rPr>
          <w:rFonts w:ascii="標楷體" w:eastAsia="標楷體" w:hAnsi="標楷體" w:hint="eastAsia"/>
          <w:color w:val="000000" w:themeColor="text1"/>
        </w:rPr>
        <w:t>條)：本要點</w:t>
      </w:r>
      <w:r w:rsidR="00A63A8C">
        <w:rPr>
          <w:rFonts w:ascii="標楷體" w:eastAsia="標楷體" w:hAnsi="標楷體" w:hint="eastAsia"/>
          <w:color w:val="000000" w:themeColor="text1"/>
        </w:rPr>
        <w:t>報經主管機關核備後公告</w:t>
      </w:r>
      <w:r w:rsidRPr="00495D44">
        <w:rPr>
          <w:rFonts w:ascii="標楷體" w:eastAsia="標楷體" w:hAnsi="標楷體" w:hint="eastAsia"/>
          <w:color w:val="000000" w:themeColor="text1"/>
        </w:rPr>
        <w:t>施行。</w:t>
      </w:r>
    </w:p>
    <w:sectPr w:rsidR="005A6AFB" w:rsidRPr="00495D44" w:rsidSect="004A73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21" w:rsidRDefault="004A0E21" w:rsidP="00E85481">
      <w:r>
        <w:separator/>
      </w:r>
    </w:p>
  </w:endnote>
  <w:endnote w:type="continuationSeparator" w:id="0">
    <w:p w:rsidR="004A0E21" w:rsidRDefault="004A0E21" w:rsidP="00E8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21" w:rsidRDefault="004A0E21" w:rsidP="00E85481">
      <w:r>
        <w:separator/>
      </w:r>
    </w:p>
  </w:footnote>
  <w:footnote w:type="continuationSeparator" w:id="0">
    <w:p w:rsidR="004A0E21" w:rsidRDefault="004A0E21" w:rsidP="00E8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82A"/>
    <w:multiLevelType w:val="hybridMultilevel"/>
    <w:tmpl w:val="08EA7854"/>
    <w:lvl w:ilvl="0" w:tplc="A3B2699A">
      <w:start w:val="1"/>
      <w:numFmt w:val="bullet"/>
      <w:lvlText w:val="•"/>
      <w:lvlJc w:val="left"/>
      <w:pPr>
        <w:tabs>
          <w:tab w:val="num" w:pos="720"/>
        </w:tabs>
        <w:ind w:left="720" w:hanging="360"/>
      </w:pPr>
      <w:rPr>
        <w:rFonts w:ascii="新細明體" w:hAnsi="新細明體" w:hint="default"/>
      </w:rPr>
    </w:lvl>
    <w:lvl w:ilvl="1" w:tplc="C5C82698" w:tentative="1">
      <w:start w:val="1"/>
      <w:numFmt w:val="bullet"/>
      <w:lvlText w:val="•"/>
      <w:lvlJc w:val="left"/>
      <w:pPr>
        <w:tabs>
          <w:tab w:val="num" w:pos="1440"/>
        </w:tabs>
        <w:ind w:left="1440" w:hanging="360"/>
      </w:pPr>
      <w:rPr>
        <w:rFonts w:ascii="新細明體" w:hAnsi="新細明體" w:hint="default"/>
      </w:rPr>
    </w:lvl>
    <w:lvl w:ilvl="2" w:tplc="1BD40F32" w:tentative="1">
      <w:start w:val="1"/>
      <w:numFmt w:val="bullet"/>
      <w:lvlText w:val="•"/>
      <w:lvlJc w:val="left"/>
      <w:pPr>
        <w:tabs>
          <w:tab w:val="num" w:pos="2160"/>
        </w:tabs>
        <w:ind w:left="2160" w:hanging="360"/>
      </w:pPr>
      <w:rPr>
        <w:rFonts w:ascii="新細明體" w:hAnsi="新細明體" w:hint="default"/>
      </w:rPr>
    </w:lvl>
    <w:lvl w:ilvl="3" w:tplc="34DA1FF2" w:tentative="1">
      <w:start w:val="1"/>
      <w:numFmt w:val="bullet"/>
      <w:lvlText w:val="•"/>
      <w:lvlJc w:val="left"/>
      <w:pPr>
        <w:tabs>
          <w:tab w:val="num" w:pos="2880"/>
        </w:tabs>
        <w:ind w:left="2880" w:hanging="360"/>
      </w:pPr>
      <w:rPr>
        <w:rFonts w:ascii="新細明體" w:hAnsi="新細明體" w:hint="default"/>
      </w:rPr>
    </w:lvl>
    <w:lvl w:ilvl="4" w:tplc="D564F0B2" w:tentative="1">
      <w:start w:val="1"/>
      <w:numFmt w:val="bullet"/>
      <w:lvlText w:val="•"/>
      <w:lvlJc w:val="left"/>
      <w:pPr>
        <w:tabs>
          <w:tab w:val="num" w:pos="3600"/>
        </w:tabs>
        <w:ind w:left="3600" w:hanging="360"/>
      </w:pPr>
      <w:rPr>
        <w:rFonts w:ascii="新細明體" w:hAnsi="新細明體" w:hint="default"/>
      </w:rPr>
    </w:lvl>
    <w:lvl w:ilvl="5" w:tplc="7EE21D38" w:tentative="1">
      <w:start w:val="1"/>
      <w:numFmt w:val="bullet"/>
      <w:lvlText w:val="•"/>
      <w:lvlJc w:val="left"/>
      <w:pPr>
        <w:tabs>
          <w:tab w:val="num" w:pos="4320"/>
        </w:tabs>
        <w:ind w:left="4320" w:hanging="360"/>
      </w:pPr>
      <w:rPr>
        <w:rFonts w:ascii="新細明體" w:hAnsi="新細明體" w:hint="default"/>
      </w:rPr>
    </w:lvl>
    <w:lvl w:ilvl="6" w:tplc="614E6736" w:tentative="1">
      <w:start w:val="1"/>
      <w:numFmt w:val="bullet"/>
      <w:lvlText w:val="•"/>
      <w:lvlJc w:val="left"/>
      <w:pPr>
        <w:tabs>
          <w:tab w:val="num" w:pos="5040"/>
        </w:tabs>
        <w:ind w:left="5040" w:hanging="360"/>
      </w:pPr>
      <w:rPr>
        <w:rFonts w:ascii="新細明體" w:hAnsi="新細明體" w:hint="default"/>
      </w:rPr>
    </w:lvl>
    <w:lvl w:ilvl="7" w:tplc="E18C6F38" w:tentative="1">
      <w:start w:val="1"/>
      <w:numFmt w:val="bullet"/>
      <w:lvlText w:val="•"/>
      <w:lvlJc w:val="left"/>
      <w:pPr>
        <w:tabs>
          <w:tab w:val="num" w:pos="5760"/>
        </w:tabs>
        <w:ind w:left="5760" w:hanging="360"/>
      </w:pPr>
      <w:rPr>
        <w:rFonts w:ascii="新細明體" w:hAnsi="新細明體" w:hint="default"/>
      </w:rPr>
    </w:lvl>
    <w:lvl w:ilvl="8" w:tplc="4F8875C8"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CFB364A"/>
    <w:multiLevelType w:val="hybridMultilevel"/>
    <w:tmpl w:val="F924836E"/>
    <w:lvl w:ilvl="0" w:tplc="AE7433D2">
      <w:start w:val="1"/>
      <w:numFmt w:val="bullet"/>
      <w:lvlText w:val="•"/>
      <w:lvlJc w:val="left"/>
      <w:pPr>
        <w:tabs>
          <w:tab w:val="num" w:pos="720"/>
        </w:tabs>
        <w:ind w:left="720" w:hanging="360"/>
      </w:pPr>
      <w:rPr>
        <w:rFonts w:ascii="新細明體" w:hAnsi="新細明體" w:hint="default"/>
      </w:rPr>
    </w:lvl>
    <w:lvl w:ilvl="1" w:tplc="510CCD66" w:tentative="1">
      <w:start w:val="1"/>
      <w:numFmt w:val="bullet"/>
      <w:lvlText w:val="•"/>
      <w:lvlJc w:val="left"/>
      <w:pPr>
        <w:tabs>
          <w:tab w:val="num" w:pos="1440"/>
        </w:tabs>
        <w:ind w:left="1440" w:hanging="360"/>
      </w:pPr>
      <w:rPr>
        <w:rFonts w:ascii="新細明體" w:hAnsi="新細明體" w:hint="default"/>
      </w:rPr>
    </w:lvl>
    <w:lvl w:ilvl="2" w:tplc="563A4BD6" w:tentative="1">
      <w:start w:val="1"/>
      <w:numFmt w:val="bullet"/>
      <w:lvlText w:val="•"/>
      <w:lvlJc w:val="left"/>
      <w:pPr>
        <w:tabs>
          <w:tab w:val="num" w:pos="2160"/>
        </w:tabs>
        <w:ind w:left="2160" w:hanging="360"/>
      </w:pPr>
      <w:rPr>
        <w:rFonts w:ascii="新細明體" w:hAnsi="新細明體" w:hint="default"/>
      </w:rPr>
    </w:lvl>
    <w:lvl w:ilvl="3" w:tplc="AFC46AC6" w:tentative="1">
      <w:start w:val="1"/>
      <w:numFmt w:val="bullet"/>
      <w:lvlText w:val="•"/>
      <w:lvlJc w:val="left"/>
      <w:pPr>
        <w:tabs>
          <w:tab w:val="num" w:pos="2880"/>
        </w:tabs>
        <w:ind w:left="2880" w:hanging="360"/>
      </w:pPr>
      <w:rPr>
        <w:rFonts w:ascii="新細明體" w:hAnsi="新細明體" w:hint="default"/>
      </w:rPr>
    </w:lvl>
    <w:lvl w:ilvl="4" w:tplc="9260D6EC" w:tentative="1">
      <w:start w:val="1"/>
      <w:numFmt w:val="bullet"/>
      <w:lvlText w:val="•"/>
      <w:lvlJc w:val="left"/>
      <w:pPr>
        <w:tabs>
          <w:tab w:val="num" w:pos="3600"/>
        </w:tabs>
        <w:ind w:left="3600" w:hanging="360"/>
      </w:pPr>
      <w:rPr>
        <w:rFonts w:ascii="新細明體" w:hAnsi="新細明體" w:hint="default"/>
      </w:rPr>
    </w:lvl>
    <w:lvl w:ilvl="5" w:tplc="92483BC2" w:tentative="1">
      <w:start w:val="1"/>
      <w:numFmt w:val="bullet"/>
      <w:lvlText w:val="•"/>
      <w:lvlJc w:val="left"/>
      <w:pPr>
        <w:tabs>
          <w:tab w:val="num" w:pos="4320"/>
        </w:tabs>
        <w:ind w:left="4320" w:hanging="360"/>
      </w:pPr>
      <w:rPr>
        <w:rFonts w:ascii="新細明體" w:hAnsi="新細明體" w:hint="default"/>
      </w:rPr>
    </w:lvl>
    <w:lvl w:ilvl="6" w:tplc="DF06714C" w:tentative="1">
      <w:start w:val="1"/>
      <w:numFmt w:val="bullet"/>
      <w:lvlText w:val="•"/>
      <w:lvlJc w:val="left"/>
      <w:pPr>
        <w:tabs>
          <w:tab w:val="num" w:pos="5040"/>
        </w:tabs>
        <w:ind w:left="5040" w:hanging="360"/>
      </w:pPr>
      <w:rPr>
        <w:rFonts w:ascii="新細明體" w:hAnsi="新細明體" w:hint="default"/>
      </w:rPr>
    </w:lvl>
    <w:lvl w:ilvl="7" w:tplc="FA842E58" w:tentative="1">
      <w:start w:val="1"/>
      <w:numFmt w:val="bullet"/>
      <w:lvlText w:val="•"/>
      <w:lvlJc w:val="left"/>
      <w:pPr>
        <w:tabs>
          <w:tab w:val="num" w:pos="5760"/>
        </w:tabs>
        <w:ind w:left="5760" w:hanging="360"/>
      </w:pPr>
      <w:rPr>
        <w:rFonts w:ascii="新細明體" w:hAnsi="新細明體" w:hint="default"/>
      </w:rPr>
    </w:lvl>
    <w:lvl w:ilvl="8" w:tplc="2E7C9724"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0D2E4A9A"/>
    <w:multiLevelType w:val="hybridMultilevel"/>
    <w:tmpl w:val="3E4C4F06"/>
    <w:lvl w:ilvl="0" w:tplc="06AE89A4">
      <w:start w:val="1"/>
      <w:numFmt w:val="taiwaneseCountingThousand"/>
      <w:lvlText w:val="%1、"/>
      <w:lvlJc w:val="left"/>
      <w:pPr>
        <w:ind w:left="763" w:hanging="480"/>
      </w:pPr>
      <w:rPr>
        <w:rFonts w:ascii="標楷體" w:eastAsia="標楷體" w:hAnsi="標楷體"/>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463A6296"/>
    <w:multiLevelType w:val="hybridMultilevel"/>
    <w:tmpl w:val="B25C1ED2"/>
    <w:lvl w:ilvl="0" w:tplc="E8025216">
      <w:start w:val="1"/>
      <w:numFmt w:val="bullet"/>
      <w:lvlText w:val="•"/>
      <w:lvlJc w:val="left"/>
      <w:pPr>
        <w:tabs>
          <w:tab w:val="num" w:pos="720"/>
        </w:tabs>
        <w:ind w:left="720" w:hanging="360"/>
      </w:pPr>
      <w:rPr>
        <w:rFonts w:ascii="新細明體" w:hAnsi="新細明體" w:hint="default"/>
      </w:rPr>
    </w:lvl>
    <w:lvl w:ilvl="1" w:tplc="71DC5FF2" w:tentative="1">
      <w:start w:val="1"/>
      <w:numFmt w:val="bullet"/>
      <w:lvlText w:val="•"/>
      <w:lvlJc w:val="left"/>
      <w:pPr>
        <w:tabs>
          <w:tab w:val="num" w:pos="1440"/>
        </w:tabs>
        <w:ind w:left="1440" w:hanging="360"/>
      </w:pPr>
      <w:rPr>
        <w:rFonts w:ascii="新細明體" w:hAnsi="新細明體" w:hint="default"/>
      </w:rPr>
    </w:lvl>
    <w:lvl w:ilvl="2" w:tplc="62584576" w:tentative="1">
      <w:start w:val="1"/>
      <w:numFmt w:val="bullet"/>
      <w:lvlText w:val="•"/>
      <w:lvlJc w:val="left"/>
      <w:pPr>
        <w:tabs>
          <w:tab w:val="num" w:pos="2160"/>
        </w:tabs>
        <w:ind w:left="2160" w:hanging="360"/>
      </w:pPr>
      <w:rPr>
        <w:rFonts w:ascii="新細明體" w:hAnsi="新細明體" w:hint="default"/>
      </w:rPr>
    </w:lvl>
    <w:lvl w:ilvl="3" w:tplc="2744BEF2" w:tentative="1">
      <w:start w:val="1"/>
      <w:numFmt w:val="bullet"/>
      <w:lvlText w:val="•"/>
      <w:lvlJc w:val="left"/>
      <w:pPr>
        <w:tabs>
          <w:tab w:val="num" w:pos="2880"/>
        </w:tabs>
        <w:ind w:left="2880" w:hanging="360"/>
      </w:pPr>
      <w:rPr>
        <w:rFonts w:ascii="新細明體" w:hAnsi="新細明體" w:hint="default"/>
      </w:rPr>
    </w:lvl>
    <w:lvl w:ilvl="4" w:tplc="D1DC6F16" w:tentative="1">
      <w:start w:val="1"/>
      <w:numFmt w:val="bullet"/>
      <w:lvlText w:val="•"/>
      <w:lvlJc w:val="left"/>
      <w:pPr>
        <w:tabs>
          <w:tab w:val="num" w:pos="3600"/>
        </w:tabs>
        <w:ind w:left="3600" w:hanging="360"/>
      </w:pPr>
      <w:rPr>
        <w:rFonts w:ascii="新細明體" w:hAnsi="新細明體" w:hint="default"/>
      </w:rPr>
    </w:lvl>
    <w:lvl w:ilvl="5" w:tplc="F738A2F8" w:tentative="1">
      <w:start w:val="1"/>
      <w:numFmt w:val="bullet"/>
      <w:lvlText w:val="•"/>
      <w:lvlJc w:val="left"/>
      <w:pPr>
        <w:tabs>
          <w:tab w:val="num" w:pos="4320"/>
        </w:tabs>
        <w:ind w:left="4320" w:hanging="360"/>
      </w:pPr>
      <w:rPr>
        <w:rFonts w:ascii="新細明體" w:hAnsi="新細明體" w:hint="default"/>
      </w:rPr>
    </w:lvl>
    <w:lvl w:ilvl="6" w:tplc="7188ECC6" w:tentative="1">
      <w:start w:val="1"/>
      <w:numFmt w:val="bullet"/>
      <w:lvlText w:val="•"/>
      <w:lvlJc w:val="left"/>
      <w:pPr>
        <w:tabs>
          <w:tab w:val="num" w:pos="5040"/>
        </w:tabs>
        <w:ind w:left="5040" w:hanging="360"/>
      </w:pPr>
      <w:rPr>
        <w:rFonts w:ascii="新細明體" w:hAnsi="新細明體" w:hint="default"/>
      </w:rPr>
    </w:lvl>
    <w:lvl w:ilvl="7" w:tplc="FEDE155A" w:tentative="1">
      <w:start w:val="1"/>
      <w:numFmt w:val="bullet"/>
      <w:lvlText w:val="•"/>
      <w:lvlJc w:val="left"/>
      <w:pPr>
        <w:tabs>
          <w:tab w:val="num" w:pos="5760"/>
        </w:tabs>
        <w:ind w:left="5760" w:hanging="360"/>
      </w:pPr>
      <w:rPr>
        <w:rFonts w:ascii="新細明體" w:hAnsi="新細明體" w:hint="default"/>
      </w:rPr>
    </w:lvl>
    <w:lvl w:ilvl="8" w:tplc="66D2133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49A0324A"/>
    <w:multiLevelType w:val="hybridMultilevel"/>
    <w:tmpl w:val="0F9E8BCC"/>
    <w:lvl w:ilvl="0" w:tplc="83640E04">
      <w:start w:val="1"/>
      <w:numFmt w:val="bullet"/>
      <w:lvlText w:val="•"/>
      <w:lvlJc w:val="left"/>
      <w:pPr>
        <w:tabs>
          <w:tab w:val="num" w:pos="720"/>
        </w:tabs>
        <w:ind w:left="720" w:hanging="360"/>
      </w:pPr>
      <w:rPr>
        <w:rFonts w:ascii="新細明體" w:hAnsi="新細明體" w:hint="default"/>
      </w:rPr>
    </w:lvl>
    <w:lvl w:ilvl="1" w:tplc="F70AFD3C" w:tentative="1">
      <w:start w:val="1"/>
      <w:numFmt w:val="bullet"/>
      <w:lvlText w:val="•"/>
      <w:lvlJc w:val="left"/>
      <w:pPr>
        <w:tabs>
          <w:tab w:val="num" w:pos="1440"/>
        </w:tabs>
        <w:ind w:left="1440" w:hanging="360"/>
      </w:pPr>
      <w:rPr>
        <w:rFonts w:ascii="新細明體" w:hAnsi="新細明體" w:hint="default"/>
      </w:rPr>
    </w:lvl>
    <w:lvl w:ilvl="2" w:tplc="B08C6372" w:tentative="1">
      <w:start w:val="1"/>
      <w:numFmt w:val="bullet"/>
      <w:lvlText w:val="•"/>
      <w:lvlJc w:val="left"/>
      <w:pPr>
        <w:tabs>
          <w:tab w:val="num" w:pos="2160"/>
        </w:tabs>
        <w:ind w:left="2160" w:hanging="360"/>
      </w:pPr>
      <w:rPr>
        <w:rFonts w:ascii="新細明體" w:hAnsi="新細明體" w:hint="default"/>
      </w:rPr>
    </w:lvl>
    <w:lvl w:ilvl="3" w:tplc="6B54F660" w:tentative="1">
      <w:start w:val="1"/>
      <w:numFmt w:val="bullet"/>
      <w:lvlText w:val="•"/>
      <w:lvlJc w:val="left"/>
      <w:pPr>
        <w:tabs>
          <w:tab w:val="num" w:pos="2880"/>
        </w:tabs>
        <w:ind w:left="2880" w:hanging="360"/>
      </w:pPr>
      <w:rPr>
        <w:rFonts w:ascii="新細明體" w:hAnsi="新細明體" w:hint="default"/>
      </w:rPr>
    </w:lvl>
    <w:lvl w:ilvl="4" w:tplc="66B6EDF4" w:tentative="1">
      <w:start w:val="1"/>
      <w:numFmt w:val="bullet"/>
      <w:lvlText w:val="•"/>
      <w:lvlJc w:val="left"/>
      <w:pPr>
        <w:tabs>
          <w:tab w:val="num" w:pos="3600"/>
        </w:tabs>
        <w:ind w:left="3600" w:hanging="360"/>
      </w:pPr>
      <w:rPr>
        <w:rFonts w:ascii="新細明體" w:hAnsi="新細明體" w:hint="default"/>
      </w:rPr>
    </w:lvl>
    <w:lvl w:ilvl="5" w:tplc="31003B00" w:tentative="1">
      <w:start w:val="1"/>
      <w:numFmt w:val="bullet"/>
      <w:lvlText w:val="•"/>
      <w:lvlJc w:val="left"/>
      <w:pPr>
        <w:tabs>
          <w:tab w:val="num" w:pos="4320"/>
        </w:tabs>
        <w:ind w:left="4320" w:hanging="360"/>
      </w:pPr>
      <w:rPr>
        <w:rFonts w:ascii="新細明體" w:hAnsi="新細明體" w:hint="default"/>
      </w:rPr>
    </w:lvl>
    <w:lvl w:ilvl="6" w:tplc="EA6CB86A" w:tentative="1">
      <w:start w:val="1"/>
      <w:numFmt w:val="bullet"/>
      <w:lvlText w:val="•"/>
      <w:lvlJc w:val="left"/>
      <w:pPr>
        <w:tabs>
          <w:tab w:val="num" w:pos="5040"/>
        </w:tabs>
        <w:ind w:left="5040" w:hanging="360"/>
      </w:pPr>
      <w:rPr>
        <w:rFonts w:ascii="新細明體" w:hAnsi="新細明體" w:hint="default"/>
      </w:rPr>
    </w:lvl>
    <w:lvl w:ilvl="7" w:tplc="4968762E" w:tentative="1">
      <w:start w:val="1"/>
      <w:numFmt w:val="bullet"/>
      <w:lvlText w:val="•"/>
      <w:lvlJc w:val="left"/>
      <w:pPr>
        <w:tabs>
          <w:tab w:val="num" w:pos="5760"/>
        </w:tabs>
        <w:ind w:left="5760" w:hanging="360"/>
      </w:pPr>
      <w:rPr>
        <w:rFonts w:ascii="新細明體" w:hAnsi="新細明體" w:hint="default"/>
      </w:rPr>
    </w:lvl>
    <w:lvl w:ilvl="8" w:tplc="3ADEBACC"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52386C73"/>
    <w:multiLevelType w:val="hybridMultilevel"/>
    <w:tmpl w:val="6EE83DB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D290508"/>
    <w:multiLevelType w:val="hybridMultilevel"/>
    <w:tmpl w:val="699C15B6"/>
    <w:lvl w:ilvl="0" w:tplc="24BA4930">
      <w:start w:val="1"/>
      <w:numFmt w:val="bullet"/>
      <w:lvlText w:val="•"/>
      <w:lvlJc w:val="left"/>
      <w:pPr>
        <w:tabs>
          <w:tab w:val="num" w:pos="720"/>
        </w:tabs>
        <w:ind w:left="720" w:hanging="360"/>
      </w:pPr>
      <w:rPr>
        <w:rFonts w:ascii="新細明體" w:hAnsi="新細明體" w:hint="default"/>
      </w:rPr>
    </w:lvl>
    <w:lvl w:ilvl="1" w:tplc="37227AE8" w:tentative="1">
      <w:start w:val="1"/>
      <w:numFmt w:val="bullet"/>
      <w:lvlText w:val="•"/>
      <w:lvlJc w:val="left"/>
      <w:pPr>
        <w:tabs>
          <w:tab w:val="num" w:pos="1440"/>
        </w:tabs>
        <w:ind w:left="1440" w:hanging="360"/>
      </w:pPr>
      <w:rPr>
        <w:rFonts w:ascii="新細明體" w:hAnsi="新細明體" w:hint="default"/>
      </w:rPr>
    </w:lvl>
    <w:lvl w:ilvl="2" w:tplc="A836ABC4" w:tentative="1">
      <w:start w:val="1"/>
      <w:numFmt w:val="bullet"/>
      <w:lvlText w:val="•"/>
      <w:lvlJc w:val="left"/>
      <w:pPr>
        <w:tabs>
          <w:tab w:val="num" w:pos="2160"/>
        </w:tabs>
        <w:ind w:left="2160" w:hanging="360"/>
      </w:pPr>
      <w:rPr>
        <w:rFonts w:ascii="新細明體" w:hAnsi="新細明體" w:hint="default"/>
      </w:rPr>
    </w:lvl>
    <w:lvl w:ilvl="3" w:tplc="2D6023FC" w:tentative="1">
      <w:start w:val="1"/>
      <w:numFmt w:val="bullet"/>
      <w:lvlText w:val="•"/>
      <w:lvlJc w:val="left"/>
      <w:pPr>
        <w:tabs>
          <w:tab w:val="num" w:pos="2880"/>
        </w:tabs>
        <w:ind w:left="2880" w:hanging="360"/>
      </w:pPr>
      <w:rPr>
        <w:rFonts w:ascii="新細明體" w:hAnsi="新細明體" w:hint="default"/>
      </w:rPr>
    </w:lvl>
    <w:lvl w:ilvl="4" w:tplc="E94A8142" w:tentative="1">
      <w:start w:val="1"/>
      <w:numFmt w:val="bullet"/>
      <w:lvlText w:val="•"/>
      <w:lvlJc w:val="left"/>
      <w:pPr>
        <w:tabs>
          <w:tab w:val="num" w:pos="3600"/>
        </w:tabs>
        <w:ind w:left="3600" w:hanging="360"/>
      </w:pPr>
      <w:rPr>
        <w:rFonts w:ascii="新細明體" w:hAnsi="新細明體" w:hint="default"/>
      </w:rPr>
    </w:lvl>
    <w:lvl w:ilvl="5" w:tplc="2AC41472" w:tentative="1">
      <w:start w:val="1"/>
      <w:numFmt w:val="bullet"/>
      <w:lvlText w:val="•"/>
      <w:lvlJc w:val="left"/>
      <w:pPr>
        <w:tabs>
          <w:tab w:val="num" w:pos="4320"/>
        </w:tabs>
        <w:ind w:left="4320" w:hanging="360"/>
      </w:pPr>
      <w:rPr>
        <w:rFonts w:ascii="新細明體" w:hAnsi="新細明體" w:hint="default"/>
      </w:rPr>
    </w:lvl>
    <w:lvl w:ilvl="6" w:tplc="B9E4EDC8" w:tentative="1">
      <w:start w:val="1"/>
      <w:numFmt w:val="bullet"/>
      <w:lvlText w:val="•"/>
      <w:lvlJc w:val="left"/>
      <w:pPr>
        <w:tabs>
          <w:tab w:val="num" w:pos="5040"/>
        </w:tabs>
        <w:ind w:left="5040" w:hanging="360"/>
      </w:pPr>
      <w:rPr>
        <w:rFonts w:ascii="新細明體" w:hAnsi="新細明體" w:hint="default"/>
      </w:rPr>
    </w:lvl>
    <w:lvl w:ilvl="7" w:tplc="9B382648" w:tentative="1">
      <w:start w:val="1"/>
      <w:numFmt w:val="bullet"/>
      <w:lvlText w:val="•"/>
      <w:lvlJc w:val="left"/>
      <w:pPr>
        <w:tabs>
          <w:tab w:val="num" w:pos="5760"/>
        </w:tabs>
        <w:ind w:left="5760" w:hanging="360"/>
      </w:pPr>
      <w:rPr>
        <w:rFonts w:ascii="新細明體" w:hAnsi="新細明體" w:hint="default"/>
      </w:rPr>
    </w:lvl>
    <w:lvl w:ilvl="8" w:tplc="EFC01E2A" w:tentative="1">
      <w:start w:val="1"/>
      <w:numFmt w:val="bullet"/>
      <w:lvlText w:val="•"/>
      <w:lvlJc w:val="left"/>
      <w:pPr>
        <w:tabs>
          <w:tab w:val="num" w:pos="6480"/>
        </w:tabs>
        <w:ind w:left="6480" w:hanging="360"/>
      </w:pPr>
      <w:rPr>
        <w:rFonts w:ascii="新細明體" w:hAnsi="新細明體"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E5"/>
    <w:rsid w:val="00005591"/>
    <w:rsid w:val="0002717A"/>
    <w:rsid w:val="00032051"/>
    <w:rsid w:val="00041793"/>
    <w:rsid w:val="000440FE"/>
    <w:rsid w:val="00057F06"/>
    <w:rsid w:val="000B64E0"/>
    <w:rsid w:val="000C5033"/>
    <w:rsid w:val="000C51DE"/>
    <w:rsid w:val="000E4B44"/>
    <w:rsid w:val="000F74C2"/>
    <w:rsid w:val="00112698"/>
    <w:rsid w:val="00113540"/>
    <w:rsid w:val="001503C2"/>
    <w:rsid w:val="00157E51"/>
    <w:rsid w:val="00163276"/>
    <w:rsid w:val="001E3D92"/>
    <w:rsid w:val="001E43BF"/>
    <w:rsid w:val="001E539C"/>
    <w:rsid w:val="001E6FD2"/>
    <w:rsid w:val="001F1376"/>
    <w:rsid w:val="00213C98"/>
    <w:rsid w:val="0022158D"/>
    <w:rsid w:val="0022321D"/>
    <w:rsid w:val="00226104"/>
    <w:rsid w:val="0024000D"/>
    <w:rsid w:val="00263AA6"/>
    <w:rsid w:val="00274F21"/>
    <w:rsid w:val="00276B8B"/>
    <w:rsid w:val="00283DFA"/>
    <w:rsid w:val="002912D5"/>
    <w:rsid w:val="002B294B"/>
    <w:rsid w:val="002B3095"/>
    <w:rsid w:val="002B591D"/>
    <w:rsid w:val="002D11F5"/>
    <w:rsid w:val="002E63B8"/>
    <w:rsid w:val="003224F3"/>
    <w:rsid w:val="00325A9D"/>
    <w:rsid w:val="003771BF"/>
    <w:rsid w:val="00380A25"/>
    <w:rsid w:val="00383D92"/>
    <w:rsid w:val="00387D67"/>
    <w:rsid w:val="003C4EE5"/>
    <w:rsid w:val="003D380E"/>
    <w:rsid w:val="003F23F8"/>
    <w:rsid w:val="004007ED"/>
    <w:rsid w:val="0040764A"/>
    <w:rsid w:val="004746AE"/>
    <w:rsid w:val="00482DB4"/>
    <w:rsid w:val="004842E1"/>
    <w:rsid w:val="00495D44"/>
    <w:rsid w:val="004A0E21"/>
    <w:rsid w:val="004A73FB"/>
    <w:rsid w:val="004B66D9"/>
    <w:rsid w:val="004D050C"/>
    <w:rsid w:val="004F1940"/>
    <w:rsid w:val="0052066E"/>
    <w:rsid w:val="00535875"/>
    <w:rsid w:val="00571B48"/>
    <w:rsid w:val="0059593C"/>
    <w:rsid w:val="005A6AFB"/>
    <w:rsid w:val="005B6B5B"/>
    <w:rsid w:val="005C34D1"/>
    <w:rsid w:val="00636B18"/>
    <w:rsid w:val="006405E3"/>
    <w:rsid w:val="00680571"/>
    <w:rsid w:val="00687747"/>
    <w:rsid w:val="006F1FCE"/>
    <w:rsid w:val="006F4714"/>
    <w:rsid w:val="007045F8"/>
    <w:rsid w:val="00714851"/>
    <w:rsid w:val="0072719B"/>
    <w:rsid w:val="00732783"/>
    <w:rsid w:val="007422C9"/>
    <w:rsid w:val="00751A20"/>
    <w:rsid w:val="00756E91"/>
    <w:rsid w:val="007A02F9"/>
    <w:rsid w:val="007F7B61"/>
    <w:rsid w:val="00832BD3"/>
    <w:rsid w:val="00850B1A"/>
    <w:rsid w:val="00895AA7"/>
    <w:rsid w:val="00896BAD"/>
    <w:rsid w:val="008C08EB"/>
    <w:rsid w:val="008C6958"/>
    <w:rsid w:val="008D5E09"/>
    <w:rsid w:val="008F100A"/>
    <w:rsid w:val="00905C34"/>
    <w:rsid w:val="0091434A"/>
    <w:rsid w:val="00917A84"/>
    <w:rsid w:val="009429A6"/>
    <w:rsid w:val="00947EE4"/>
    <w:rsid w:val="0095564F"/>
    <w:rsid w:val="0096247A"/>
    <w:rsid w:val="00976F2A"/>
    <w:rsid w:val="009A0BBE"/>
    <w:rsid w:val="009A4AF2"/>
    <w:rsid w:val="009B03F4"/>
    <w:rsid w:val="009B0B88"/>
    <w:rsid w:val="009B4DDA"/>
    <w:rsid w:val="009D0F6F"/>
    <w:rsid w:val="009E05E8"/>
    <w:rsid w:val="009E4F87"/>
    <w:rsid w:val="009F57BF"/>
    <w:rsid w:val="00A06668"/>
    <w:rsid w:val="00A47219"/>
    <w:rsid w:val="00A5090A"/>
    <w:rsid w:val="00A63A8C"/>
    <w:rsid w:val="00A724BD"/>
    <w:rsid w:val="00A74A0A"/>
    <w:rsid w:val="00A7738F"/>
    <w:rsid w:val="00A90133"/>
    <w:rsid w:val="00A93CD3"/>
    <w:rsid w:val="00AA287E"/>
    <w:rsid w:val="00AA3E7F"/>
    <w:rsid w:val="00AA549A"/>
    <w:rsid w:val="00AB3CCE"/>
    <w:rsid w:val="00AB3F15"/>
    <w:rsid w:val="00AD496F"/>
    <w:rsid w:val="00AD5689"/>
    <w:rsid w:val="00B15FF0"/>
    <w:rsid w:val="00B233A1"/>
    <w:rsid w:val="00B804F2"/>
    <w:rsid w:val="00BA2F4F"/>
    <w:rsid w:val="00BE7A99"/>
    <w:rsid w:val="00BF0D54"/>
    <w:rsid w:val="00C00056"/>
    <w:rsid w:val="00C0762E"/>
    <w:rsid w:val="00C82CD2"/>
    <w:rsid w:val="00C85666"/>
    <w:rsid w:val="00C90616"/>
    <w:rsid w:val="00C961E1"/>
    <w:rsid w:val="00CC4FE2"/>
    <w:rsid w:val="00CE23CA"/>
    <w:rsid w:val="00D01A42"/>
    <w:rsid w:val="00D06565"/>
    <w:rsid w:val="00D1038E"/>
    <w:rsid w:val="00D215C3"/>
    <w:rsid w:val="00D44D14"/>
    <w:rsid w:val="00D57AA4"/>
    <w:rsid w:val="00D66CA6"/>
    <w:rsid w:val="00D77837"/>
    <w:rsid w:val="00D82D0F"/>
    <w:rsid w:val="00DC0105"/>
    <w:rsid w:val="00DC3A18"/>
    <w:rsid w:val="00DD46DE"/>
    <w:rsid w:val="00DE04E4"/>
    <w:rsid w:val="00DE32F0"/>
    <w:rsid w:val="00DF1862"/>
    <w:rsid w:val="00E10952"/>
    <w:rsid w:val="00E17DAA"/>
    <w:rsid w:val="00E42427"/>
    <w:rsid w:val="00E73497"/>
    <w:rsid w:val="00E8213A"/>
    <w:rsid w:val="00E85481"/>
    <w:rsid w:val="00E9379E"/>
    <w:rsid w:val="00EE3699"/>
    <w:rsid w:val="00EE50A0"/>
    <w:rsid w:val="00EF1542"/>
    <w:rsid w:val="00F01F89"/>
    <w:rsid w:val="00F21CB6"/>
    <w:rsid w:val="00F40492"/>
    <w:rsid w:val="00F70E52"/>
    <w:rsid w:val="00F73D69"/>
    <w:rsid w:val="00F744B2"/>
    <w:rsid w:val="00FA7FF0"/>
    <w:rsid w:val="00FB06D4"/>
    <w:rsid w:val="00FB291B"/>
    <w:rsid w:val="00FC6E9B"/>
    <w:rsid w:val="00FE4777"/>
    <w:rsid w:val="00FF7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E6109-9601-456C-A3EF-205766B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113540"/>
    <w:pPr>
      <w:keepNext/>
      <w:adjustRightInd w:val="0"/>
      <w:spacing w:line="720" w:lineRule="atLeast"/>
      <w:jc w:val="both"/>
      <w:textAlignment w:val="baseline"/>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F0"/>
    <w:pPr>
      <w:widowControl/>
      <w:ind w:leftChars="200" w:left="480"/>
    </w:pPr>
    <w:rPr>
      <w:rFonts w:ascii="新細明體" w:eastAsia="新細明體" w:hAnsi="新細明體" w:cs="新細明體"/>
      <w:kern w:val="0"/>
      <w:szCs w:val="24"/>
    </w:rPr>
  </w:style>
  <w:style w:type="character" w:customStyle="1" w:styleId="20">
    <w:name w:val="標題 2 字元"/>
    <w:basedOn w:val="a0"/>
    <w:link w:val="2"/>
    <w:uiPriority w:val="9"/>
    <w:semiHidden/>
    <w:rsid w:val="00113540"/>
    <w:rPr>
      <w:rFonts w:asciiTheme="majorHAnsi" w:eastAsiaTheme="majorEastAsia" w:hAnsiTheme="majorHAnsi" w:cstheme="majorBidi"/>
      <w:b/>
      <w:bCs/>
      <w:kern w:val="0"/>
      <w:sz w:val="48"/>
      <w:szCs w:val="48"/>
    </w:rPr>
  </w:style>
  <w:style w:type="paragraph" w:styleId="a4">
    <w:name w:val="Balloon Text"/>
    <w:basedOn w:val="a"/>
    <w:link w:val="a5"/>
    <w:uiPriority w:val="99"/>
    <w:semiHidden/>
    <w:unhideWhenUsed/>
    <w:rsid w:val="002912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12D5"/>
    <w:rPr>
      <w:rFonts w:asciiTheme="majorHAnsi" w:eastAsiaTheme="majorEastAsia" w:hAnsiTheme="majorHAnsi" w:cstheme="majorBidi"/>
      <w:sz w:val="18"/>
      <w:szCs w:val="18"/>
    </w:rPr>
  </w:style>
  <w:style w:type="paragraph" w:styleId="a6">
    <w:name w:val="header"/>
    <w:basedOn w:val="a"/>
    <w:link w:val="a7"/>
    <w:uiPriority w:val="99"/>
    <w:unhideWhenUsed/>
    <w:rsid w:val="00E85481"/>
    <w:pPr>
      <w:tabs>
        <w:tab w:val="center" w:pos="4153"/>
        <w:tab w:val="right" w:pos="8306"/>
      </w:tabs>
      <w:snapToGrid w:val="0"/>
    </w:pPr>
    <w:rPr>
      <w:sz w:val="20"/>
      <w:szCs w:val="20"/>
    </w:rPr>
  </w:style>
  <w:style w:type="character" w:customStyle="1" w:styleId="a7">
    <w:name w:val="頁首 字元"/>
    <w:basedOn w:val="a0"/>
    <w:link w:val="a6"/>
    <w:uiPriority w:val="99"/>
    <w:rsid w:val="00E85481"/>
    <w:rPr>
      <w:sz w:val="20"/>
      <w:szCs w:val="20"/>
    </w:rPr>
  </w:style>
  <w:style w:type="paragraph" w:styleId="a8">
    <w:name w:val="footer"/>
    <w:basedOn w:val="a"/>
    <w:link w:val="a9"/>
    <w:uiPriority w:val="99"/>
    <w:unhideWhenUsed/>
    <w:rsid w:val="00E85481"/>
    <w:pPr>
      <w:tabs>
        <w:tab w:val="center" w:pos="4153"/>
        <w:tab w:val="right" w:pos="8306"/>
      </w:tabs>
      <w:snapToGrid w:val="0"/>
    </w:pPr>
    <w:rPr>
      <w:sz w:val="20"/>
      <w:szCs w:val="20"/>
    </w:rPr>
  </w:style>
  <w:style w:type="character" w:customStyle="1" w:styleId="a9">
    <w:name w:val="頁尾 字元"/>
    <w:basedOn w:val="a0"/>
    <w:link w:val="a8"/>
    <w:uiPriority w:val="99"/>
    <w:rsid w:val="00E854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977">
      <w:bodyDiv w:val="1"/>
      <w:marLeft w:val="0"/>
      <w:marRight w:val="0"/>
      <w:marTop w:val="0"/>
      <w:marBottom w:val="0"/>
      <w:divBdr>
        <w:top w:val="none" w:sz="0" w:space="0" w:color="auto"/>
        <w:left w:val="none" w:sz="0" w:space="0" w:color="auto"/>
        <w:bottom w:val="none" w:sz="0" w:space="0" w:color="auto"/>
        <w:right w:val="none" w:sz="0" w:space="0" w:color="auto"/>
      </w:divBdr>
      <w:divsChild>
        <w:div w:id="220752560">
          <w:marLeft w:val="547"/>
          <w:marRight w:val="0"/>
          <w:marTop w:val="0"/>
          <w:marBottom w:val="0"/>
          <w:divBdr>
            <w:top w:val="none" w:sz="0" w:space="0" w:color="auto"/>
            <w:left w:val="none" w:sz="0" w:space="0" w:color="auto"/>
            <w:bottom w:val="none" w:sz="0" w:space="0" w:color="auto"/>
            <w:right w:val="none" w:sz="0" w:space="0" w:color="auto"/>
          </w:divBdr>
        </w:div>
      </w:divsChild>
    </w:div>
    <w:div w:id="780881440">
      <w:bodyDiv w:val="1"/>
      <w:marLeft w:val="0"/>
      <w:marRight w:val="0"/>
      <w:marTop w:val="0"/>
      <w:marBottom w:val="0"/>
      <w:divBdr>
        <w:top w:val="none" w:sz="0" w:space="0" w:color="auto"/>
        <w:left w:val="none" w:sz="0" w:space="0" w:color="auto"/>
        <w:bottom w:val="none" w:sz="0" w:space="0" w:color="auto"/>
        <w:right w:val="none" w:sz="0" w:space="0" w:color="auto"/>
      </w:divBdr>
      <w:divsChild>
        <w:div w:id="881748700">
          <w:marLeft w:val="547"/>
          <w:marRight w:val="0"/>
          <w:marTop w:val="0"/>
          <w:marBottom w:val="0"/>
          <w:divBdr>
            <w:top w:val="none" w:sz="0" w:space="0" w:color="auto"/>
            <w:left w:val="none" w:sz="0" w:space="0" w:color="auto"/>
            <w:bottom w:val="none" w:sz="0" w:space="0" w:color="auto"/>
            <w:right w:val="none" w:sz="0" w:space="0" w:color="auto"/>
          </w:divBdr>
        </w:div>
      </w:divsChild>
    </w:div>
    <w:div w:id="789783674">
      <w:bodyDiv w:val="1"/>
      <w:marLeft w:val="0"/>
      <w:marRight w:val="0"/>
      <w:marTop w:val="0"/>
      <w:marBottom w:val="0"/>
      <w:divBdr>
        <w:top w:val="none" w:sz="0" w:space="0" w:color="auto"/>
        <w:left w:val="none" w:sz="0" w:space="0" w:color="auto"/>
        <w:bottom w:val="none" w:sz="0" w:space="0" w:color="auto"/>
        <w:right w:val="none" w:sz="0" w:space="0" w:color="auto"/>
      </w:divBdr>
      <w:divsChild>
        <w:div w:id="493306365">
          <w:marLeft w:val="547"/>
          <w:marRight w:val="0"/>
          <w:marTop w:val="0"/>
          <w:marBottom w:val="0"/>
          <w:divBdr>
            <w:top w:val="none" w:sz="0" w:space="0" w:color="auto"/>
            <w:left w:val="none" w:sz="0" w:space="0" w:color="auto"/>
            <w:bottom w:val="none" w:sz="0" w:space="0" w:color="auto"/>
            <w:right w:val="none" w:sz="0" w:space="0" w:color="auto"/>
          </w:divBdr>
        </w:div>
      </w:divsChild>
    </w:div>
    <w:div w:id="793716788">
      <w:bodyDiv w:val="1"/>
      <w:marLeft w:val="0"/>
      <w:marRight w:val="0"/>
      <w:marTop w:val="0"/>
      <w:marBottom w:val="0"/>
      <w:divBdr>
        <w:top w:val="none" w:sz="0" w:space="0" w:color="auto"/>
        <w:left w:val="none" w:sz="0" w:space="0" w:color="auto"/>
        <w:bottom w:val="none" w:sz="0" w:space="0" w:color="auto"/>
        <w:right w:val="none" w:sz="0" w:space="0" w:color="auto"/>
      </w:divBdr>
    </w:div>
    <w:div w:id="1294871608">
      <w:bodyDiv w:val="1"/>
      <w:marLeft w:val="0"/>
      <w:marRight w:val="0"/>
      <w:marTop w:val="0"/>
      <w:marBottom w:val="0"/>
      <w:divBdr>
        <w:top w:val="none" w:sz="0" w:space="0" w:color="auto"/>
        <w:left w:val="none" w:sz="0" w:space="0" w:color="auto"/>
        <w:bottom w:val="none" w:sz="0" w:space="0" w:color="auto"/>
        <w:right w:val="none" w:sz="0" w:space="0" w:color="auto"/>
      </w:divBdr>
      <w:divsChild>
        <w:div w:id="2128621450">
          <w:marLeft w:val="547"/>
          <w:marRight w:val="0"/>
          <w:marTop w:val="0"/>
          <w:marBottom w:val="0"/>
          <w:divBdr>
            <w:top w:val="none" w:sz="0" w:space="0" w:color="auto"/>
            <w:left w:val="none" w:sz="0" w:space="0" w:color="auto"/>
            <w:bottom w:val="none" w:sz="0" w:space="0" w:color="auto"/>
            <w:right w:val="none" w:sz="0" w:space="0" w:color="auto"/>
          </w:divBdr>
        </w:div>
      </w:divsChild>
    </w:div>
    <w:div w:id="15724711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640">
          <w:marLeft w:val="547"/>
          <w:marRight w:val="0"/>
          <w:marTop w:val="0"/>
          <w:marBottom w:val="0"/>
          <w:divBdr>
            <w:top w:val="none" w:sz="0" w:space="0" w:color="auto"/>
            <w:left w:val="none" w:sz="0" w:space="0" w:color="auto"/>
            <w:bottom w:val="none" w:sz="0" w:space="0" w:color="auto"/>
            <w:right w:val="none" w:sz="0" w:space="0" w:color="auto"/>
          </w:divBdr>
        </w:div>
      </w:divsChild>
    </w:div>
    <w:div w:id="20299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1186</Characters>
  <Application>Microsoft Office Word</Application>
  <DocSecurity>0</DocSecurity>
  <Lines>9</Lines>
  <Paragraphs>2</Paragraphs>
  <ScaleCrop>false</ScaleCrop>
  <Company>TWSE 臺灣證券交易所</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宋佩璇</dc:creator>
  <cp:keywords/>
  <dc:description/>
  <cp:lastModifiedBy>陳櫻樺</cp:lastModifiedBy>
  <cp:revision>5</cp:revision>
  <dcterms:created xsi:type="dcterms:W3CDTF">2018-12-26T06:55:00Z</dcterms:created>
  <dcterms:modified xsi:type="dcterms:W3CDTF">2018-12-26T07:22:00Z</dcterms:modified>
</cp:coreProperties>
</file>