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74" w:rsidRDefault="00AE235F" w:rsidP="0046058C">
      <w:pPr>
        <w:ind w:leftChars="-177" w:left="123" w:hangingChars="152" w:hanging="548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A23E8A">
        <w:rPr>
          <w:rFonts w:ascii="標楷體" w:eastAsia="標楷體" w:hAnsi="標楷體" w:hint="eastAsia"/>
          <w:b/>
          <w:sz w:val="36"/>
        </w:rPr>
        <w:t>證券商受託辦理定期定額買賣有價證券作業辦法</w:t>
      </w:r>
    </w:p>
    <w:p w:rsidR="00AE235F" w:rsidRPr="00A23E8A" w:rsidRDefault="00052092" w:rsidP="0046058C">
      <w:pPr>
        <w:ind w:leftChars="-177" w:left="123" w:hangingChars="152" w:hanging="548"/>
        <w:jc w:val="center"/>
        <w:rPr>
          <w:rFonts w:ascii="標楷體" w:eastAsia="標楷體" w:hAnsi="標楷體"/>
          <w:b/>
          <w:sz w:val="36"/>
        </w:rPr>
      </w:pPr>
      <w:r w:rsidRPr="00A23E8A">
        <w:rPr>
          <w:rFonts w:ascii="標楷體" w:eastAsia="標楷體" w:hAnsi="標楷體" w:hint="eastAsia"/>
          <w:b/>
          <w:sz w:val="36"/>
        </w:rPr>
        <w:t>第六條</w:t>
      </w:r>
      <w:r w:rsidR="00B71CFD" w:rsidRPr="00A23E8A">
        <w:rPr>
          <w:rFonts w:ascii="標楷體" w:eastAsia="標楷體" w:hAnsi="標楷體" w:hint="eastAsia"/>
          <w:b/>
          <w:sz w:val="36"/>
        </w:rPr>
        <w:t>及第九條</w:t>
      </w:r>
      <w:r w:rsidR="00AE235F" w:rsidRPr="00A23E8A">
        <w:rPr>
          <w:rFonts w:ascii="標楷體" w:eastAsia="標楷體" w:hAnsi="標楷體" w:hint="eastAsia"/>
          <w:b/>
          <w:sz w:val="36"/>
        </w:rPr>
        <w:t>修正</w:t>
      </w:r>
      <w:r w:rsidR="0046058C" w:rsidRPr="00A23E8A">
        <w:rPr>
          <w:rFonts w:ascii="標楷體" w:eastAsia="標楷體" w:hAnsi="標楷體" w:hint="eastAsia"/>
          <w:b/>
          <w:sz w:val="36"/>
        </w:rPr>
        <w:t>條文</w:t>
      </w:r>
      <w:r w:rsidR="003564A3" w:rsidRPr="00A23E8A">
        <w:rPr>
          <w:rFonts w:ascii="標楷體" w:eastAsia="標楷體" w:hAnsi="標楷體" w:hint="eastAsia"/>
          <w:b/>
          <w:sz w:val="36"/>
        </w:rPr>
        <w:t>對照表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828"/>
        <w:gridCol w:w="3827"/>
        <w:gridCol w:w="2835"/>
      </w:tblGrid>
      <w:tr w:rsidR="00AE235F" w:rsidRPr="000865F7" w:rsidTr="00E45316">
        <w:tc>
          <w:tcPr>
            <w:tcW w:w="3828" w:type="dxa"/>
          </w:tcPr>
          <w:p w:rsidR="00AE235F" w:rsidRPr="000865F7" w:rsidRDefault="00AE235F" w:rsidP="009A54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條文</w:t>
            </w:r>
          </w:p>
        </w:tc>
        <w:tc>
          <w:tcPr>
            <w:tcW w:w="3827" w:type="dxa"/>
          </w:tcPr>
          <w:p w:rsidR="00AE235F" w:rsidRPr="000865F7" w:rsidRDefault="00AE235F" w:rsidP="009A54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現行</w:t>
            </w: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條文</w:t>
            </w:r>
          </w:p>
        </w:tc>
        <w:tc>
          <w:tcPr>
            <w:tcW w:w="2835" w:type="dxa"/>
          </w:tcPr>
          <w:p w:rsidR="00AE235F" w:rsidRDefault="00D64A06" w:rsidP="009A54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D745B7" w:rsidRPr="00C161B6" w:rsidTr="00E45316">
        <w:trPr>
          <w:trHeight w:val="1270"/>
        </w:trPr>
        <w:tc>
          <w:tcPr>
            <w:tcW w:w="3828" w:type="dxa"/>
          </w:tcPr>
          <w:p w:rsidR="00D745B7" w:rsidRDefault="00D745B7" w:rsidP="00D745B7">
            <w:pPr>
              <w:spacing w:line="44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第六條</w:t>
            </w:r>
          </w:p>
          <w:p w:rsidR="00D745B7" w:rsidRPr="000865F7" w:rsidRDefault="00D745B7" w:rsidP="00D745B7">
            <w:pPr>
              <w:spacing w:line="44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證券商辦理定期定額業務應與客戶訂定契約，契約應記載下列事項：</w:t>
            </w:r>
          </w:p>
          <w:p w:rsidR="00D745B7" w:rsidRPr="000865F7" w:rsidRDefault="00D745B7" w:rsidP="00D745B7">
            <w:pPr>
              <w:spacing w:line="440" w:lineRule="exact"/>
              <w:ind w:leftChars="21" w:left="89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一、投資標的。</w:t>
            </w:r>
          </w:p>
          <w:p w:rsidR="00D745B7" w:rsidRPr="000865F7" w:rsidRDefault="00D745B7" w:rsidP="00D745B7">
            <w:pPr>
              <w:spacing w:line="440" w:lineRule="exact"/>
              <w:ind w:leftChars="21" w:left="61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二、證券商依第三條規定之辦理方式。</w:t>
            </w:r>
          </w:p>
          <w:p w:rsidR="00D745B7" w:rsidRPr="000865F7" w:rsidRDefault="00D745B7" w:rsidP="00D745B7">
            <w:pPr>
              <w:spacing w:line="440" w:lineRule="exact"/>
              <w:ind w:leftChars="21" w:left="61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三、扣款日期、扣款方式及扣款金額之計算。</w:t>
            </w:r>
          </w:p>
          <w:p w:rsidR="00D745B7" w:rsidRPr="000865F7" w:rsidRDefault="00D745B7" w:rsidP="00D745B7">
            <w:pPr>
              <w:spacing w:line="440" w:lineRule="exact"/>
              <w:ind w:leftChars="21" w:left="89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四、客戶應負擔之費用。</w:t>
            </w:r>
          </w:p>
          <w:p w:rsidR="00D745B7" w:rsidRPr="000865F7" w:rsidRDefault="00D745B7" w:rsidP="00D745B7">
            <w:pPr>
              <w:spacing w:line="440" w:lineRule="exact"/>
              <w:ind w:leftChars="21" w:left="61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五、證券商買進不足額之處理方式。</w:t>
            </w:r>
          </w:p>
          <w:p w:rsidR="00D745B7" w:rsidRPr="000865F7" w:rsidRDefault="00D745B7" w:rsidP="00D745B7">
            <w:pPr>
              <w:spacing w:line="440" w:lineRule="exact"/>
              <w:ind w:leftChars="21" w:left="61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六、契約之生效日期、契約變更與終止之處理方式。</w:t>
            </w:r>
          </w:p>
          <w:p w:rsidR="00D745B7" w:rsidRPr="000865F7" w:rsidRDefault="00D745B7" w:rsidP="00D745B7">
            <w:pPr>
              <w:spacing w:line="440" w:lineRule="exact"/>
              <w:ind w:leftChars="21" w:left="89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七、爭議事項之處理。</w:t>
            </w:r>
          </w:p>
          <w:p w:rsidR="00D745B7" w:rsidRDefault="00D745B7" w:rsidP="00D745B7">
            <w:pPr>
              <w:spacing w:line="44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證券商以經紀業務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辦理定期定額業務者，其契約範本由券商公會訂定；以財富管理業務方式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者，相關約定事項由證券商自行訂定。</w:t>
            </w:r>
          </w:p>
          <w:p w:rsidR="00B71CFD" w:rsidRDefault="00C103CB" w:rsidP="00B71CFD">
            <w:pPr>
              <w:spacing w:line="440" w:lineRule="exact"/>
              <w:ind w:firstLineChars="200" w:firstLine="560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F224A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證券商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之</w:t>
            </w:r>
            <w:r w:rsidR="00110145" w:rsidRPr="0011014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客戶為</w:t>
            </w:r>
            <w:r w:rsidR="00F224A5" w:rsidRPr="00F224A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證券投資信託事業</w:t>
            </w:r>
            <w:r w:rsidR="00110145" w:rsidRPr="0011014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者</w:t>
            </w:r>
            <w:r w:rsidR="0011014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，</w:t>
            </w:r>
            <w:r w:rsidR="00957C0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得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自行</w:t>
            </w:r>
            <w:r w:rsidR="0011014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訂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定</w:t>
            </w:r>
            <w:r w:rsidR="00110145" w:rsidRPr="0011014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契約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，</w:t>
            </w:r>
            <w:r w:rsidR="0011014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相關</w:t>
            </w:r>
            <w:r w:rsidR="00F224A5" w:rsidRPr="00F224A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約定事項不受第一項</w:t>
            </w:r>
            <w:r w:rsidR="0011014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契約應記載事項及第二項契約範本內容關於定期定額</w:t>
            </w:r>
            <w:r w:rsidR="00F224A5" w:rsidRPr="00F224A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之限制。</w:t>
            </w:r>
          </w:p>
          <w:p w:rsidR="00294511" w:rsidRDefault="003A4816" w:rsidP="003A4816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第九條</w:t>
            </w:r>
          </w:p>
          <w:p w:rsidR="00294511" w:rsidRPr="00B831FD" w:rsidRDefault="00294511" w:rsidP="003A481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656FDC">
              <w:rPr>
                <w:rFonts w:ascii="標楷體" w:eastAsia="標楷體" w:hAnsi="標楷體" w:cs="細明體" w:hint="eastAsia"/>
                <w:kern w:val="0"/>
                <w:sz w:val="28"/>
                <w:szCs w:val="24"/>
              </w:rPr>
              <w:lastRenderedPageBreak/>
              <w:t>證</w:t>
            </w: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券商辦理定期定額業務，得於其總公司開立調節專戶，調節以定期定額綜合交易帳戶買進成交之有價證券數量。</w:t>
            </w:r>
          </w:p>
          <w:p w:rsidR="00294511" w:rsidRPr="00B831FD" w:rsidRDefault="00294511" w:rsidP="003A481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證券商不得以前項調節專戶申報買進有價證券，僅得以定期定額綜合交易帳戶成交後申報分配買進有價證券。</w:t>
            </w:r>
          </w:p>
          <w:p w:rsidR="00294511" w:rsidRPr="00B831FD" w:rsidRDefault="00294511" w:rsidP="003A481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證券商以定期定額綜合交易帳戶買進成交後，於分配同種類有價證券至調節專戶之數量僅得為零股，超逾數量應於成交日後次二營業日前以調節專戶進行轉賣。</w:t>
            </w:r>
          </w:p>
          <w:p w:rsidR="00294511" w:rsidRPr="00B831FD" w:rsidRDefault="00294511" w:rsidP="003A481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證券商同時以經紀業務及財富管理業務方式辦理定期定額業務者，得分別開立調節專戶。</w:t>
            </w:r>
          </w:p>
          <w:p w:rsidR="00951913" w:rsidRDefault="00957C04" w:rsidP="003A481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B831FD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u w:val="single"/>
              </w:rPr>
              <w:t>證券商</w:t>
            </w:r>
            <w:r w:rsidR="00CB7677" w:rsidRPr="0022350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依第六條第三項</w:t>
            </w:r>
            <w:r w:rsidR="00C103CB" w:rsidRPr="0022350B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u w:val="single"/>
              </w:rPr>
              <w:t>與</w:t>
            </w:r>
            <w:r w:rsidR="00C103CB" w:rsidRPr="00F224A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證券投資信託事業</w:t>
            </w:r>
            <w:r w:rsidR="00BA33BD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簽</w:t>
            </w:r>
            <w:r w:rsidR="002D079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訂</w:t>
            </w:r>
            <w:r w:rsidR="00951913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契約</w:t>
            </w:r>
            <w:r w:rsidR="00CB767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者</w:t>
            </w:r>
            <w:r w:rsidR="00951913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，於</w:t>
            </w:r>
            <w:r w:rsidR="00BA33BD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受</w:t>
            </w:r>
            <w:r w:rsidRPr="0011014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託買賣</w:t>
            </w:r>
            <w:r w:rsidR="00BA33BD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客戶</w:t>
            </w:r>
            <w:r w:rsidR="00CB767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自行</w:t>
            </w:r>
            <w:r w:rsidRPr="0011014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發行之指數股票型基金</w:t>
            </w:r>
            <w:r w:rsidRPr="008704D6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受益憑證時，</w:t>
            </w:r>
            <w:r w:rsidR="00CB7677" w:rsidRPr="008704D6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其得</w:t>
            </w:r>
            <w:r w:rsidR="00951913" w:rsidRPr="008704D6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調節</w:t>
            </w:r>
            <w:r w:rsidR="00CB7677" w:rsidRPr="008704D6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該有</w:t>
            </w:r>
            <w:r w:rsidR="00CB767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價證券</w:t>
            </w:r>
            <w:r w:rsidR="00951913" w:rsidRPr="0011014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買進</w:t>
            </w:r>
            <w:r w:rsidRPr="0011014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成交數量至整數交易單位</w:t>
            </w:r>
            <w:r w:rsidR="00BA33BD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，不受定額之限制</w:t>
            </w:r>
            <w:r w:rsidR="00951913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。</w:t>
            </w:r>
          </w:p>
          <w:p w:rsidR="00294511" w:rsidRPr="00294511" w:rsidRDefault="00294511" w:rsidP="003A481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本國證券商總公司調節專戶之證券買賣帳號為</w:t>
            </w:r>
            <w:r w:rsidR="00B71CF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9899XX-</w:t>
            </w: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檢查碼；外國證</w:t>
            </w:r>
            <w:r w:rsidRPr="00B831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券商</w:t>
            </w:r>
            <w:r w:rsidRPr="00B831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在臺分公司調節專戶之證券買賣帳號為</w:t>
            </w:r>
            <w:r w:rsidR="00B71CF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99899X-</w:t>
            </w:r>
            <w:r w:rsidRPr="00B831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檢查碼。</w:t>
            </w:r>
          </w:p>
        </w:tc>
        <w:tc>
          <w:tcPr>
            <w:tcW w:w="3827" w:type="dxa"/>
          </w:tcPr>
          <w:p w:rsidR="00A50715" w:rsidRDefault="00A50715" w:rsidP="00A50715">
            <w:pPr>
              <w:spacing w:line="44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第六條</w:t>
            </w:r>
          </w:p>
          <w:p w:rsidR="00A50715" w:rsidRPr="000865F7" w:rsidRDefault="00A50715" w:rsidP="00A50715">
            <w:pPr>
              <w:spacing w:line="44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證券商辦理定期定額業務應與客戶訂定契約，契約應記載下列事項：</w:t>
            </w:r>
          </w:p>
          <w:p w:rsidR="00A50715" w:rsidRPr="000865F7" w:rsidRDefault="00A50715" w:rsidP="00A50715">
            <w:pPr>
              <w:spacing w:line="440" w:lineRule="exact"/>
              <w:ind w:leftChars="21" w:left="89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一、投資標的。</w:t>
            </w:r>
          </w:p>
          <w:p w:rsidR="00A50715" w:rsidRPr="000865F7" w:rsidRDefault="00A50715" w:rsidP="00A50715">
            <w:pPr>
              <w:spacing w:line="440" w:lineRule="exact"/>
              <w:ind w:leftChars="21" w:left="61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二、證券商依第三條規定之辦理方式。</w:t>
            </w:r>
          </w:p>
          <w:p w:rsidR="00A50715" w:rsidRPr="000865F7" w:rsidRDefault="00A50715" w:rsidP="00A50715">
            <w:pPr>
              <w:spacing w:line="440" w:lineRule="exact"/>
              <w:ind w:leftChars="21" w:left="61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三、扣款日期、扣款方式及扣款金額之計算。</w:t>
            </w:r>
          </w:p>
          <w:p w:rsidR="00A50715" w:rsidRPr="000865F7" w:rsidRDefault="00A50715" w:rsidP="00A50715">
            <w:pPr>
              <w:spacing w:line="440" w:lineRule="exact"/>
              <w:ind w:leftChars="21" w:left="89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四、客戶應負擔之費用。</w:t>
            </w:r>
          </w:p>
          <w:p w:rsidR="00A50715" w:rsidRPr="000865F7" w:rsidRDefault="00A50715" w:rsidP="00A50715">
            <w:pPr>
              <w:spacing w:line="440" w:lineRule="exact"/>
              <w:ind w:leftChars="21" w:left="61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五、證券商買進不足額之處理方式。</w:t>
            </w:r>
          </w:p>
          <w:p w:rsidR="00A50715" w:rsidRPr="000865F7" w:rsidRDefault="00A50715" w:rsidP="00A50715">
            <w:pPr>
              <w:spacing w:line="440" w:lineRule="exact"/>
              <w:ind w:leftChars="21" w:left="61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六、契約之生效日期、契約變更與終止之處理方式。</w:t>
            </w:r>
          </w:p>
          <w:p w:rsidR="00A50715" w:rsidRPr="000865F7" w:rsidRDefault="00A50715" w:rsidP="00A50715">
            <w:pPr>
              <w:spacing w:line="440" w:lineRule="exact"/>
              <w:ind w:leftChars="21" w:left="89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七、爭議事項之處理。</w:t>
            </w:r>
          </w:p>
          <w:p w:rsidR="00D745B7" w:rsidRDefault="00A50715" w:rsidP="00D379FC">
            <w:pPr>
              <w:spacing w:line="44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證券商以經紀業務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辦理定期定額業務者，其契約範本由券商公會訂定；以財富管理業務方式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者，相關約定事項由證券商自行訂定。</w:t>
            </w:r>
          </w:p>
          <w:p w:rsidR="00656FDC" w:rsidRDefault="00656FDC" w:rsidP="00D379FC">
            <w:pPr>
              <w:spacing w:line="44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656FDC" w:rsidRDefault="00656FDC" w:rsidP="00D379FC">
            <w:pPr>
              <w:spacing w:line="44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656FDC" w:rsidRDefault="00656FDC" w:rsidP="00D379FC">
            <w:pPr>
              <w:spacing w:line="44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656FDC" w:rsidRDefault="00656FDC" w:rsidP="00D379FC">
            <w:pPr>
              <w:spacing w:line="44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656FDC" w:rsidRDefault="00656FDC" w:rsidP="00D379FC">
            <w:pPr>
              <w:spacing w:line="44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B71CFD" w:rsidRDefault="00B71CFD" w:rsidP="00B71CF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56FDC" w:rsidRDefault="00656FDC" w:rsidP="003A48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第九條</w:t>
            </w:r>
          </w:p>
          <w:p w:rsidR="00656FDC" w:rsidRPr="00B831FD" w:rsidRDefault="00656FDC" w:rsidP="003A481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656FDC">
              <w:rPr>
                <w:rFonts w:ascii="標楷體" w:eastAsia="標楷體" w:hAnsi="標楷體" w:cs="細明體" w:hint="eastAsia"/>
                <w:kern w:val="0"/>
                <w:sz w:val="28"/>
                <w:szCs w:val="24"/>
              </w:rPr>
              <w:lastRenderedPageBreak/>
              <w:t>證</w:t>
            </w: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券商辦理定期定額業務，得於其總公司開立調節專戶，調節以定期定額綜合交易帳戶買進成交之有價證券數量。</w:t>
            </w:r>
          </w:p>
          <w:p w:rsidR="00656FDC" w:rsidRPr="00B831FD" w:rsidRDefault="00656FDC" w:rsidP="003A481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證券商不得以前項調節專戶申報買進有價證券，僅得以定期定額綜合交易帳戶成交後申報分配買進有價證券。</w:t>
            </w:r>
          </w:p>
          <w:p w:rsidR="00656FDC" w:rsidRPr="00B831FD" w:rsidRDefault="00656FDC" w:rsidP="003A481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證券商以定期定額綜合交易帳戶買進成交後，於分配同種類有價證券至調節專戶之數量僅得為零股，超逾數量應於成交日後次二營業日前以調節專戶進行轉賣。</w:t>
            </w:r>
          </w:p>
          <w:p w:rsidR="00656FDC" w:rsidRPr="00B831FD" w:rsidRDefault="00656FDC" w:rsidP="003A481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證券商同時以經紀業務及財富管理業務方式辦理定期定額業務者，得分別開立調節專戶。</w:t>
            </w:r>
          </w:p>
          <w:p w:rsidR="00656FDC" w:rsidRDefault="00656FDC" w:rsidP="003A481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</w:p>
          <w:p w:rsidR="003A4816" w:rsidRDefault="003A4816" w:rsidP="003A481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</w:p>
          <w:p w:rsidR="003A4816" w:rsidRDefault="003A4816" w:rsidP="003A481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</w:p>
          <w:p w:rsidR="003A4816" w:rsidRDefault="003A4816" w:rsidP="003A481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</w:p>
          <w:p w:rsidR="003A4816" w:rsidRDefault="003A4816" w:rsidP="003A481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</w:p>
          <w:p w:rsidR="003A4816" w:rsidRDefault="003A4816" w:rsidP="003A481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</w:p>
          <w:p w:rsidR="003A4816" w:rsidRDefault="003A4816" w:rsidP="00E4531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</w:p>
          <w:p w:rsidR="00656FDC" w:rsidRPr="000865F7" w:rsidRDefault="00656FDC" w:rsidP="00656FDC">
            <w:pPr>
              <w:spacing w:line="44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本國證券商總公司調節專戶之證券買賣帳號為</w:t>
            </w:r>
            <w:r w:rsidR="00B71CF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9899XX-</w:t>
            </w: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檢查碼；外國證</w:t>
            </w:r>
            <w:r w:rsidRPr="00B831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券商在臺分公司調節專戶之證券</w:t>
            </w:r>
            <w:r w:rsidRPr="00B831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買賣帳號為</w:t>
            </w:r>
            <w:r w:rsidRPr="00B831F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9989</w:t>
            </w:r>
            <w:r w:rsidR="00B71CF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9X-</w:t>
            </w:r>
            <w:r w:rsidRPr="00B831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檢查碼。</w:t>
            </w:r>
          </w:p>
        </w:tc>
        <w:tc>
          <w:tcPr>
            <w:tcW w:w="2835" w:type="dxa"/>
          </w:tcPr>
          <w:p w:rsidR="00D745B7" w:rsidRDefault="00BD5133" w:rsidP="0002277B">
            <w:pPr>
              <w:spacing w:line="4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一、</w:t>
            </w:r>
            <w:r w:rsidR="00B831FD">
              <w:rPr>
                <w:rFonts w:ascii="標楷體" w:eastAsia="標楷體" w:hAnsi="標楷體" w:hint="eastAsia"/>
                <w:sz w:val="28"/>
                <w:szCs w:val="28"/>
              </w:rPr>
              <w:t>參照</w:t>
            </w:r>
            <w:r w:rsidR="00EA1C3D">
              <w:rPr>
                <w:rFonts w:ascii="標楷體" w:eastAsia="標楷體" w:hAnsi="標楷體" w:hint="eastAsia"/>
                <w:sz w:val="28"/>
                <w:szCs w:val="28"/>
              </w:rPr>
              <w:t>金融監督管理委員會106年</w:t>
            </w:r>
            <w:r w:rsidR="0046694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EA1C3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6694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EA1C3D">
              <w:rPr>
                <w:rFonts w:ascii="標楷體" w:eastAsia="標楷體" w:hAnsi="標楷體" w:hint="eastAsia"/>
                <w:sz w:val="28"/>
                <w:szCs w:val="28"/>
              </w:rPr>
              <w:t>日金管證投</w:t>
            </w:r>
            <w:r w:rsidR="00904D09">
              <w:rPr>
                <w:rFonts w:ascii="標楷體" w:eastAsia="標楷體" w:hAnsi="標楷體" w:hint="eastAsia"/>
                <w:sz w:val="28"/>
                <w:szCs w:val="28"/>
              </w:rPr>
              <w:t>字第10600</w:t>
            </w:r>
            <w:r w:rsidR="0046694C">
              <w:rPr>
                <w:rFonts w:ascii="標楷體" w:eastAsia="標楷體" w:hAnsi="標楷體"/>
                <w:sz w:val="28"/>
                <w:szCs w:val="28"/>
              </w:rPr>
              <w:t>48788</w:t>
            </w:r>
            <w:r w:rsidR="00904D09">
              <w:rPr>
                <w:rFonts w:ascii="標楷體" w:eastAsia="標楷體" w:hAnsi="標楷體" w:hint="eastAsia"/>
                <w:sz w:val="28"/>
                <w:szCs w:val="28"/>
              </w:rPr>
              <w:t>號令</w:t>
            </w:r>
            <w:r w:rsidR="00B831FD">
              <w:rPr>
                <w:rFonts w:ascii="標楷體" w:eastAsia="標楷體" w:hAnsi="標楷體" w:hint="eastAsia"/>
                <w:sz w:val="28"/>
                <w:szCs w:val="28"/>
              </w:rPr>
              <w:t>意旨</w:t>
            </w:r>
            <w:r w:rsidR="00904D0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04D09" w:rsidRPr="00904D09">
              <w:rPr>
                <w:rFonts w:ascii="標楷體" w:eastAsia="標楷體" w:hAnsi="標楷體" w:hint="eastAsia"/>
                <w:sz w:val="28"/>
                <w:szCs w:val="28"/>
              </w:rPr>
              <w:t>證券投資信託事業</w:t>
            </w:r>
            <w:r w:rsidR="00904D09">
              <w:rPr>
                <w:rFonts w:ascii="標楷體" w:eastAsia="標楷體" w:hAnsi="標楷體" w:hint="eastAsia"/>
                <w:sz w:val="28"/>
                <w:szCs w:val="28"/>
              </w:rPr>
              <w:t>得以其自有資金購買其發行之</w:t>
            </w:r>
            <w:r w:rsidR="0002277B"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 w:rsidR="00904D09">
              <w:rPr>
                <w:rFonts w:ascii="標楷體" w:eastAsia="標楷體" w:hAnsi="標楷體" w:hint="eastAsia"/>
                <w:sz w:val="28"/>
                <w:szCs w:val="28"/>
              </w:rPr>
              <w:t>ETF作為</w:t>
            </w:r>
            <w:r w:rsidR="005809FC">
              <w:rPr>
                <w:rFonts w:ascii="標楷體" w:eastAsia="標楷體" w:hAnsi="標楷體" w:hint="eastAsia"/>
                <w:sz w:val="28"/>
                <w:szCs w:val="28"/>
              </w:rPr>
              <w:t>證券商辦理定期定額業務之零股調節。</w:t>
            </w:r>
          </w:p>
          <w:p w:rsidR="00FB32B9" w:rsidRDefault="00FB32B9" w:rsidP="0002277B">
            <w:pPr>
              <w:spacing w:line="4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二、前揭</w:t>
            </w:r>
            <w:r w:rsidR="00BB00A0">
              <w:rPr>
                <w:rFonts w:ascii="標楷體" w:eastAsia="標楷體" w:hAnsi="標楷體" w:hint="eastAsia"/>
                <w:sz w:val="28"/>
                <w:szCs w:val="28"/>
              </w:rPr>
              <w:t>零股調節</w:t>
            </w:r>
            <w:r w:rsidR="00F224A5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="00BB00A0" w:rsidRPr="00904D09">
              <w:rPr>
                <w:rFonts w:ascii="標楷體" w:eastAsia="標楷體" w:hAnsi="標楷體" w:hint="eastAsia"/>
                <w:sz w:val="28"/>
                <w:szCs w:val="28"/>
              </w:rPr>
              <w:t>證券投資信託事業</w:t>
            </w:r>
            <w:r w:rsidR="00667F0C">
              <w:rPr>
                <w:rFonts w:ascii="標楷體" w:eastAsia="標楷體" w:hAnsi="標楷體" w:hint="eastAsia"/>
                <w:sz w:val="28"/>
                <w:szCs w:val="28"/>
              </w:rPr>
              <w:t>與證券商訂定契約，惟</w:t>
            </w:r>
            <w:r w:rsidR="00667F0C" w:rsidRPr="00904D09">
              <w:rPr>
                <w:rFonts w:ascii="標楷體" w:eastAsia="標楷體" w:hAnsi="標楷體" w:hint="eastAsia"/>
                <w:sz w:val="28"/>
                <w:szCs w:val="28"/>
              </w:rPr>
              <w:t>證券投資信託事業</w:t>
            </w:r>
            <w:r w:rsidR="00667F0C">
              <w:rPr>
                <w:rFonts w:ascii="標楷體" w:eastAsia="標楷體" w:hAnsi="標楷體" w:hint="eastAsia"/>
                <w:sz w:val="28"/>
                <w:szCs w:val="28"/>
              </w:rPr>
              <w:t>每次購買</w:t>
            </w:r>
            <w:r w:rsidR="00C31B25" w:rsidRPr="00B71CFD">
              <w:rPr>
                <w:rFonts w:ascii="標楷體" w:eastAsia="標楷體" w:hAnsi="標楷體" w:hint="eastAsia"/>
                <w:sz w:val="28"/>
                <w:szCs w:val="28"/>
              </w:rPr>
              <w:t>指數股票型基金受益憑證</w:t>
            </w:r>
            <w:r w:rsidR="0002277B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667F0C">
              <w:rPr>
                <w:rFonts w:ascii="標楷體" w:eastAsia="標楷體" w:hAnsi="標楷體" w:hint="eastAsia"/>
                <w:sz w:val="28"/>
                <w:szCs w:val="28"/>
              </w:rPr>
              <w:t>數量依證券商</w:t>
            </w:r>
            <w:r w:rsidR="004C063D">
              <w:rPr>
                <w:rFonts w:ascii="標楷體" w:eastAsia="標楷體" w:hAnsi="標楷體" w:hint="eastAsia"/>
                <w:sz w:val="28"/>
              </w:rPr>
              <w:t>受託辦理</w:t>
            </w:r>
            <w:r w:rsidR="00667F0C">
              <w:rPr>
                <w:rFonts w:ascii="標楷體" w:eastAsia="標楷體" w:hAnsi="標楷體" w:hint="eastAsia"/>
                <w:sz w:val="28"/>
                <w:szCs w:val="28"/>
              </w:rPr>
              <w:t>定期定額業務買進數量而異，契約之扣款金額</w:t>
            </w:r>
            <w:r w:rsidR="0002277B">
              <w:rPr>
                <w:rFonts w:ascii="標楷體" w:eastAsia="標楷體" w:hAnsi="標楷體" w:hint="eastAsia"/>
                <w:sz w:val="28"/>
                <w:szCs w:val="28"/>
              </w:rPr>
              <w:t>或購買股數非一固定數額，爰增修</w:t>
            </w:r>
            <w:r w:rsidR="00C161B6">
              <w:rPr>
                <w:rFonts w:ascii="標楷體" w:eastAsia="標楷體" w:hAnsi="標楷體" w:hint="eastAsia"/>
                <w:sz w:val="28"/>
                <w:szCs w:val="28"/>
              </w:rPr>
              <w:t>第六條</w:t>
            </w:r>
            <w:r w:rsidR="0002277B">
              <w:rPr>
                <w:rFonts w:ascii="標楷體" w:eastAsia="標楷體" w:hAnsi="標楷體" w:hint="eastAsia"/>
                <w:sz w:val="28"/>
                <w:szCs w:val="28"/>
              </w:rPr>
              <w:t>第三項</w:t>
            </w:r>
            <w:r w:rsidR="00C161B6">
              <w:rPr>
                <w:rFonts w:ascii="標楷體" w:eastAsia="標楷體" w:hAnsi="標楷體" w:hint="eastAsia"/>
                <w:sz w:val="28"/>
                <w:szCs w:val="28"/>
              </w:rPr>
              <w:t>及第九條</w:t>
            </w:r>
            <w:r w:rsidR="00B70E84">
              <w:rPr>
                <w:rFonts w:ascii="標楷體" w:eastAsia="標楷體" w:hAnsi="標楷體" w:hint="eastAsia"/>
                <w:sz w:val="28"/>
                <w:szCs w:val="28"/>
              </w:rPr>
              <w:t>第五項</w:t>
            </w:r>
            <w:r w:rsidR="0002277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9A54C8" w:rsidRPr="00AE235F" w:rsidRDefault="009A54C8"/>
    <w:sectPr w:rsidR="009A54C8" w:rsidRPr="00AE235F" w:rsidSect="00B71CFD">
      <w:pgSz w:w="11906" w:h="16838"/>
      <w:pgMar w:top="709" w:right="113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6C" w:rsidRDefault="006C476C" w:rsidP="00D745B7">
      <w:r>
        <w:separator/>
      </w:r>
    </w:p>
  </w:endnote>
  <w:endnote w:type="continuationSeparator" w:id="0">
    <w:p w:rsidR="006C476C" w:rsidRDefault="006C476C" w:rsidP="00D7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6C" w:rsidRDefault="006C476C" w:rsidP="00D745B7">
      <w:r>
        <w:separator/>
      </w:r>
    </w:p>
  </w:footnote>
  <w:footnote w:type="continuationSeparator" w:id="0">
    <w:p w:rsidR="006C476C" w:rsidRDefault="006C476C" w:rsidP="00D74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5F"/>
    <w:rsid w:val="0002277B"/>
    <w:rsid w:val="00052092"/>
    <w:rsid w:val="00097A09"/>
    <w:rsid w:val="000A6B4A"/>
    <w:rsid w:val="00110145"/>
    <w:rsid w:val="001516B8"/>
    <w:rsid w:val="001E098F"/>
    <w:rsid w:val="00215201"/>
    <w:rsid w:val="00294511"/>
    <w:rsid w:val="002D0795"/>
    <w:rsid w:val="003564A3"/>
    <w:rsid w:val="003577D9"/>
    <w:rsid w:val="003A4816"/>
    <w:rsid w:val="003D3FDF"/>
    <w:rsid w:val="0044543F"/>
    <w:rsid w:val="00447AA1"/>
    <w:rsid w:val="004574FF"/>
    <w:rsid w:val="0046058C"/>
    <w:rsid w:val="0046694C"/>
    <w:rsid w:val="004B70DE"/>
    <w:rsid w:val="004C063D"/>
    <w:rsid w:val="004C7D17"/>
    <w:rsid w:val="0056613E"/>
    <w:rsid w:val="005809FC"/>
    <w:rsid w:val="00586CA8"/>
    <w:rsid w:val="00656FDC"/>
    <w:rsid w:val="00662E27"/>
    <w:rsid w:val="00667F0C"/>
    <w:rsid w:val="006B2D28"/>
    <w:rsid w:val="006C2AE4"/>
    <w:rsid w:val="006C476C"/>
    <w:rsid w:val="006C6D57"/>
    <w:rsid w:val="0074237A"/>
    <w:rsid w:val="00782CC4"/>
    <w:rsid w:val="00793574"/>
    <w:rsid w:val="007B6C54"/>
    <w:rsid w:val="007C2530"/>
    <w:rsid w:val="008704D6"/>
    <w:rsid w:val="00883684"/>
    <w:rsid w:val="00904D09"/>
    <w:rsid w:val="00911F84"/>
    <w:rsid w:val="0093792D"/>
    <w:rsid w:val="00951913"/>
    <w:rsid w:val="00957C04"/>
    <w:rsid w:val="009A54C8"/>
    <w:rsid w:val="00A07410"/>
    <w:rsid w:val="00A23E8A"/>
    <w:rsid w:val="00A50715"/>
    <w:rsid w:val="00A74C41"/>
    <w:rsid w:val="00AD3350"/>
    <w:rsid w:val="00AD3B76"/>
    <w:rsid w:val="00AE235F"/>
    <w:rsid w:val="00B01224"/>
    <w:rsid w:val="00B10225"/>
    <w:rsid w:val="00B70E84"/>
    <w:rsid w:val="00B71CFD"/>
    <w:rsid w:val="00B831FD"/>
    <w:rsid w:val="00BA33BD"/>
    <w:rsid w:val="00BB00A0"/>
    <w:rsid w:val="00BD5133"/>
    <w:rsid w:val="00BE01B8"/>
    <w:rsid w:val="00BE0625"/>
    <w:rsid w:val="00BF0CF4"/>
    <w:rsid w:val="00C103CB"/>
    <w:rsid w:val="00C161B6"/>
    <w:rsid w:val="00C31B25"/>
    <w:rsid w:val="00C916B4"/>
    <w:rsid w:val="00CA39E7"/>
    <w:rsid w:val="00CB7677"/>
    <w:rsid w:val="00CD3A78"/>
    <w:rsid w:val="00D379FC"/>
    <w:rsid w:val="00D64A06"/>
    <w:rsid w:val="00D745B7"/>
    <w:rsid w:val="00D95A75"/>
    <w:rsid w:val="00DB7E15"/>
    <w:rsid w:val="00DC0861"/>
    <w:rsid w:val="00E2797D"/>
    <w:rsid w:val="00E45316"/>
    <w:rsid w:val="00E53ABA"/>
    <w:rsid w:val="00EA1C3D"/>
    <w:rsid w:val="00ED4378"/>
    <w:rsid w:val="00F01146"/>
    <w:rsid w:val="00F224A5"/>
    <w:rsid w:val="00F7527A"/>
    <w:rsid w:val="00FB32B9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B755AD-183B-4FF8-AEC4-CC214965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4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4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45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7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70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1182</Characters>
  <Application>Microsoft Office Word</Application>
  <DocSecurity>0</DocSecurity>
  <Lines>9</Lines>
  <Paragraphs>2</Paragraphs>
  <ScaleCrop>false</ScaleCrop>
  <Company>TWSE 臺灣證券交易所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劉貞佑</dc:creator>
  <cp:keywords/>
  <dc:description/>
  <cp:lastModifiedBy>郭梅芬</cp:lastModifiedBy>
  <cp:revision>2</cp:revision>
  <cp:lastPrinted>2018-05-17T03:01:00Z</cp:lastPrinted>
  <dcterms:created xsi:type="dcterms:W3CDTF">2018-08-06T09:57:00Z</dcterms:created>
  <dcterms:modified xsi:type="dcterms:W3CDTF">2018-08-06T09:57:00Z</dcterms:modified>
</cp:coreProperties>
</file>