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FC" w:rsidRDefault="006C4086" w:rsidP="00FE0330">
      <w:pPr>
        <w:spacing w:line="440" w:lineRule="exact"/>
        <w:jc w:val="center"/>
        <w:rPr>
          <w:rFonts w:ascii="標楷體" w:eastAsia="標楷體"/>
          <w:sz w:val="32"/>
        </w:rPr>
      </w:pPr>
      <w:r w:rsidRPr="005115C0">
        <w:rPr>
          <w:rFonts w:ascii="標楷體" w:eastAsia="標楷體" w:hint="eastAsia"/>
          <w:sz w:val="32"/>
        </w:rPr>
        <w:t>臺灣證券交易所股份有限公司</w:t>
      </w:r>
      <w:r w:rsidR="003A1398">
        <w:rPr>
          <w:rFonts w:eastAsia="標楷體" w:hint="eastAsia"/>
          <w:sz w:val="32"/>
        </w:rPr>
        <w:t>營業細則</w:t>
      </w:r>
      <w:r w:rsidR="004042E5" w:rsidRPr="005115C0">
        <w:rPr>
          <w:rFonts w:ascii="標楷體" w:eastAsia="標楷體" w:hint="eastAsia"/>
          <w:sz w:val="32"/>
        </w:rPr>
        <w:t>第</w:t>
      </w:r>
      <w:r w:rsidR="00A360E5">
        <w:rPr>
          <w:rFonts w:ascii="標楷體" w:eastAsia="標楷體" w:hint="eastAsia"/>
          <w:sz w:val="32"/>
        </w:rPr>
        <w:t>五十九</w:t>
      </w:r>
      <w:r w:rsidR="004042E5" w:rsidRPr="005115C0">
        <w:rPr>
          <w:rFonts w:ascii="標楷體" w:eastAsia="標楷體" w:hint="eastAsia"/>
          <w:sz w:val="32"/>
        </w:rPr>
        <w:t>條</w:t>
      </w:r>
      <w:r w:rsidR="00CB49D1">
        <w:rPr>
          <w:rFonts w:ascii="標楷體" w:eastAsia="標楷體" w:hint="eastAsia"/>
          <w:sz w:val="32"/>
        </w:rPr>
        <w:t>修正</w:t>
      </w:r>
      <w:bookmarkStart w:id="0" w:name="_GoBack"/>
      <w:bookmarkEnd w:id="0"/>
    </w:p>
    <w:p w:rsidR="004042E5" w:rsidRPr="005115C0" w:rsidRDefault="0033604F" w:rsidP="00FE0330">
      <w:pPr>
        <w:spacing w:line="440" w:lineRule="exact"/>
        <w:jc w:val="center"/>
        <w:rPr>
          <w:rFonts w:ascii="標楷體" w:eastAsia="標楷體"/>
          <w:sz w:val="32"/>
        </w:rPr>
      </w:pPr>
      <w:r>
        <w:rPr>
          <w:rFonts w:ascii="標楷體" w:eastAsia="標楷體" w:hint="eastAsia"/>
          <w:sz w:val="32"/>
        </w:rPr>
        <w:t>條文</w:t>
      </w:r>
      <w:r w:rsidR="00F0014B">
        <w:rPr>
          <w:rFonts w:ascii="標楷體" w:eastAsia="標楷體" w:hint="eastAsia"/>
          <w:sz w:val="32"/>
        </w:rPr>
        <w:t>對照表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1"/>
        <w:gridCol w:w="3260"/>
        <w:gridCol w:w="3118"/>
      </w:tblGrid>
      <w:tr w:rsidR="004042E5" w:rsidRPr="005115C0" w:rsidTr="005E4923">
        <w:tc>
          <w:tcPr>
            <w:tcW w:w="3261" w:type="dxa"/>
          </w:tcPr>
          <w:p w:rsidR="004042E5" w:rsidRPr="005115C0" w:rsidRDefault="004042E5">
            <w:pPr>
              <w:jc w:val="center"/>
              <w:rPr>
                <w:rFonts w:ascii="標楷體" w:eastAsia="標楷體"/>
                <w:sz w:val="28"/>
              </w:rPr>
            </w:pPr>
            <w:r w:rsidRPr="005115C0">
              <w:rPr>
                <w:rFonts w:ascii="標楷體" w:eastAsia="標楷體" w:hint="eastAsia"/>
                <w:sz w:val="28"/>
              </w:rPr>
              <w:t>修  正  條  文</w:t>
            </w:r>
          </w:p>
        </w:tc>
        <w:tc>
          <w:tcPr>
            <w:tcW w:w="3260" w:type="dxa"/>
          </w:tcPr>
          <w:p w:rsidR="004042E5" w:rsidRPr="005115C0" w:rsidRDefault="004042E5">
            <w:pPr>
              <w:jc w:val="center"/>
              <w:rPr>
                <w:rFonts w:ascii="標楷體" w:eastAsia="標楷體"/>
                <w:sz w:val="28"/>
              </w:rPr>
            </w:pPr>
            <w:r w:rsidRPr="005115C0">
              <w:rPr>
                <w:rFonts w:ascii="標楷體" w:eastAsia="標楷體" w:hint="eastAsia"/>
                <w:sz w:val="28"/>
              </w:rPr>
              <w:t>現  行  條  文</w:t>
            </w:r>
          </w:p>
        </w:tc>
        <w:tc>
          <w:tcPr>
            <w:tcW w:w="3118" w:type="dxa"/>
          </w:tcPr>
          <w:p w:rsidR="004042E5" w:rsidRPr="005115C0" w:rsidRDefault="004042E5">
            <w:pPr>
              <w:jc w:val="center"/>
              <w:rPr>
                <w:rFonts w:ascii="標楷體" w:eastAsia="標楷體"/>
                <w:sz w:val="28"/>
              </w:rPr>
            </w:pPr>
            <w:r w:rsidRPr="005115C0">
              <w:rPr>
                <w:rFonts w:ascii="標楷體" w:eastAsia="標楷體" w:hint="eastAsia"/>
                <w:sz w:val="28"/>
              </w:rPr>
              <w:t>說      明</w:t>
            </w:r>
          </w:p>
        </w:tc>
      </w:tr>
      <w:tr w:rsidR="00B9402E" w:rsidRPr="000D7F08" w:rsidTr="005E4923">
        <w:tc>
          <w:tcPr>
            <w:tcW w:w="3261" w:type="dxa"/>
          </w:tcPr>
          <w:p w:rsidR="002D6C1D" w:rsidRPr="000D7F08" w:rsidRDefault="002D6C1D" w:rsidP="00E94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8"/>
              </w:rPr>
            </w:pPr>
            <w:r w:rsidRPr="000D7F08">
              <w:rPr>
                <w:rFonts w:ascii="標楷體" w:eastAsia="標楷體" w:hAnsi="標楷體" w:cs="細明體" w:hint="eastAsia"/>
                <w:kern w:val="0"/>
                <w:szCs w:val="28"/>
              </w:rPr>
              <w:t>第</w:t>
            </w:r>
            <w:r w:rsidR="00A360E5" w:rsidRPr="000D7F08">
              <w:rPr>
                <w:rFonts w:ascii="標楷體" w:eastAsia="標楷體" w:hAnsi="標楷體" w:cs="細明體" w:hint="eastAsia"/>
                <w:kern w:val="0"/>
                <w:szCs w:val="28"/>
              </w:rPr>
              <w:t>五十九</w:t>
            </w:r>
            <w:r w:rsidRPr="000D7F08">
              <w:rPr>
                <w:rFonts w:ascii="標楷體" w:eastAsia="標楷體" w:hAnsi="標楷體" w:cs="細明體" w:hint="eastAsia"/>
                <w:kern w:val="0"/>
                <w:szCs w:val="28"/>
              </w:rPr>
              <w:t>條</w:t>
            </w:r>
          </w:p>
          <w:p w:rsidR="00B4080A" w:rsidRPr="00B4080A" w:rsidRDefault="00B4080A" w:rsidP="00B40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8"/>
              </w:rPr>
            </w:pPr>
            <w:r>
              <w:rPr>
                <w:rFonts w:ascii="標楷體" w:eastAsia="標楷體" w:hAnsi="標楷體" w:hint="eastAsia"/>
                <w:szCs w:val="28"/>
              </w:rPr>
              <w:t xml:space="preserve">    </w:t>
            </w:r>
            <w:r w:rsidRPr="00B4080A">
              <w:rPr>
                <w:rFonts w:ascii="標楷體" w:eastAsia="標楷體" w:hAnsi="標楷體" w:hint="eastAsia"/>
                <w:szCs w:val="28"/>
              </w:rPr>
              <w:t>初次上市之有價證券競價買賣，除另有規定，按上市前之公開銷售價格為計算升降幅度之參考基準。初次上市之有價證券已於櫃檯買賣，以終止櫃</w:t>
            </w:r>
          </w:p>
          <w:p w:rsidR="00B4080A" w:rsidRDefault="00B4080A" w:rsidP="00B4080A">
            <w:pPr>
              <w:pStyle w:val="HTML"/>
              <w:rPr>
                <w:rFonts w:ascii="標楷體" w:eastAsia="標楷體" w:hAnsi="標楷體"/>
                <w:szCs w:val="28"/>
              </w:rPr>
            </w:pPr>
            <w:r w:rsidRPr="00B4080A">
              <w:rPr>
                <w:rFonts w:ascii="標楷體" w:eastAsia="標楷體" w:hAnsi="標楷體" w:hint="eastAsia"/>
                <w:szCs w:val="28"/>
              </w:rPr>
              <w:t>檯買賣之最後交易日收盤價格為計算升降幅度之參考基準。</w:t>
            </w:r>
          </w:p>
          <w:p w:rsidR="00A360E5" w:rsidRPr="000D7F08" w:rsidRDefault="00834A70" w:rsidP="00B4080A">
            <w:pPr>
              <w:pStyle w:val="HTML"/>
              <w:rPr>
                <w:rFonts w:ascii="標楷體" w:eastAsia="標楷體" w:hAnsi="標楷體"/>
                <w:color w:val="auto"/>
                <w:szCs w:val="28"/>
              </w:rPr>
            </w:pPr>
            <w:r w:rsidRPr="000D7F08">
              <w:rPr>
                <w:rFonts w:ascii="標楷體" w:eastAsia="標楷體" w:hAnsi="標楷體" w:hint="eastAsia"/>
                <w:color w:val="auto"/>
                <w:szCs w:val="28"/>
              </w:rPr>
              <w:t xml:space="preserve">    </w:t>
            </w:r>
            <w:r w:rsidR="00A360E5" w:rsidRPr="000D7F08">
              <w:rPr>
                <w:rFonts w:ascii="標楷體" w:eastAsia="標楷體" w:hAnsi="標楷體" w:hint="eastAsia"/>
                <w:color w:val="auto"/>
                <w:szCs w:val="28"/>
              </w:rPr>
              <w:t>股份有限公司</w:t>
            </w:r>
            <w:r w:rsidR="00BD7978" w:rsidRPr="000D7F08">
              <w:rPr>
                <w:rFonts w:ascii="標楷體" w:eastAsia="標楷體" w:hAnsi="標楷體" w:hint="eastAsia"/>
                <w:color w:val="FF0000"/>
                <w:szCs w:val="28"/>
                <w:u w:val="single"/>
              </w:rPr>
              <w:t>或外國公司</w:t>
            </w:r>
            <w:r w:rsidR="007F72CC" w:rsidRPr="000D7F08">
              <w:rPr>
                <w:rFonts w:ascii="標楷體" w:eastAsia="標楷體" w:hAnsi="標楷體" w:hint="eastAsia"/>
                <w:color w:val="auto"/>
                <w:szCs w:val="28"/>
              </w:rPr>
              <w:t>依第四章之一</w:t>
            </w:r>
            <w:r w:rsidR="00A360E5" w:rsidRPr="000D7F08">
              <w:rPr>
                <w:rFonts w:ascii="標楷體" w:eastAsia="標楷體" w:hAnsi="標楷體" w:hint="eastAsia"/>
                <w:color w:val="auto"/>
                <w:szCs w:val="28"/>
              </w:rPr>
              <w:t>規定轉換股份予</w:t>
            </w:r>
            <w:r w:rsidR="00BD7978" w:rsidRPr="000D7F08">
              <w:rPr>
                <w:rFonts w:ascii="標楷體" w:eastAsia="標楷體" w:hAnsi="標楷體" w:hint="eastAsia"/>
                <w:color w:val="FF0000"/>
                <w:szCs w:val="28"/>
                <w:u w:val="single"/>
              </w:rPr>
              <w:t>他</w:t>
            </w:r>
            <w:r w:rsidR="00A360E5" w:rsidRPr="000D7F08">
              <w:rPr>
                <w:rFonts w:ascii="標楷體" w:eastAsia="標楷體" w:hAnsi="標楷體" w:hint="eastAsia"/>
                <w:color w:val="auto"/>
                <w:szCs w:val="28"/>
              </w:rPr>
              <w:t>新設或已上市、第一上市既存公司者，</w:t>
            </w:r>
            <w:r w:rsidR="007F72CC" w:rsidRPr="000D7F08">
              <w:rPr>
                <w:rFonts w:ascii="標楷體" w:eastAsia="標楷體" w:hAnsi="標楷體" w:hint="eastAsia"/>
                <w:color w:val="FF0000"/>
                <w:szCs w:val="28"/>
                <w:u w:val="single"/>
              </w:rPr>
              <w:t>該</w:t>
            </w:r>
            <w:r w:rsidR="00A360E5" w:rsidRPr="000D7F08">
              <w:rPr>
                <w:rFonts w:ascii="標楷體" w:eastAsia="標楷體" w:hAnsi="標楷體" w:hint="eastAsia"/>
                <w:color w:val="auto"/>
                <w:szCs w:val="28"/>
              </w:rPr>
              <w:t>新設公司初次上市之普通股，以預計所轉換普通股占新設公司預計發行普通股比例最高之上市</w:t>
            </w:r>
            <w:r w:rsidR="00BD7978" w:rsidRPr="000D7F08">
              <w:rPr>
                <w:rFonts w:ascii="標楷體" w:eastAsia="標楷體" w:hAnsi="標楷體" w:hint="eastAsia"/>
                <w:color w:val="FF0000"/>
                <w:szCs w:val="28"/>
                <w:u w:val="single"/>
              </w:rPr>
              <w:t>(櫃)</w:t>
            </w:r>
            <w:r w:rsidR="00A360E5" w:rsidRPr="000D7F08">
              <w:rPr>
                <w:rFonts w:ascii="標楷體" w:eastAsia="標楷體" w:hAnsi="標楷體" w:hint="eastAsia"/>
                <w:color w:val="auto"/>
                <w:szCs w:val="28"/>
              </w:rPr>
              <w:t>公司</w:t>
            </w:r>
            <w:r w:rsidR="00A360E5" w:rsidRPr="000D7F08">
              <w:rPr>
                <w:rFonts w:ascii="標楷體" w:eastAsia="標楷體" w:hAnsi="標楷體" w:hint="eastAsia"/>
                <w:color w:val="FF0000"/>
                <w:szCs w:val="28"/>
                <w:u w:val="single"/>
              </w:rPr>
              <w:t>或</w:t>
            </w:r>
            <w:r w:rsidR="00BD7978" w:rsidRPr="000D7F08">
              <w:rPr>
                <w:rFonts w:ascii="標楷體" w:eastAsia="標楷體" w:hAnsi="標楷體" w:hint="eastAsia"/>
                <w:color w:val="FF0000"/>
                <w:szCs w:val="28"/>
                <w:u w:val="single"/>
              </w:rPr>
              <w:t>第一上市(</w:t>
            </w:r>
            <w:r w:rsidR="00A360E5" w:rsidRPr="000D7F08">
              <w:rPr>
                <w:rFonts w:ascii="標楷體" w:eastAsia="標楷體" w:hAnsi="標楷體" w:hint="eastAsia"/>
                <w:color w:val="FF0000"/>
                <w:szCs w:val="28"/>
                <w:u w:val="single"/>
              </w:rPr>
              <w:t>櫃</w:t>
            </w:r>
            <w:r w:rsidR="00BD7978" w:rsidRPr="000D7F08">
              <w:rPr>
                <w:rFonts w:ascii="標楷體" w:eastAsia="標楷體" w:hAnsi="標楷體" w:hint="eastAsia"/>
                <w:color w:val="FF0000"/>
                <w:szCs w:val="28"/>
                <w:u w:val="single"/>
              </w:rPr>
              <w:t>)</w:t>
            </w:r>
            <w:r w:rsidR="00A360E5" w:rsidRPr="000D7F08">
              <w:rPr>
                <w:rFonts w:ascii="標楷體" w:eastAsia="標楷體" w:hAnsi="標楷體" w:hint="eastAsia"/>
                <w:color w:val="FF0000"/>
                <w:szCs w:val="28"/>
                <w:u w:val="single"/>
              </w:rPr>
              <w:t>公司</w:t>
            </w:r>
            <w:r w:rsidR="00A360E5" w:rsidRPr="000D7F08">
              <w:rPr>
                <w:rFonts w:ascii="標楷體" w:eastAsia="標楷體" w:hAnsi="標楷體" w:hint="eastAsia"/>
                <w:color w:val="auto"/>
                <w:szCs w:val="28"/>
              </w:rPr>
              <w:t>普通股最後交易日收盤價格，乘以換發一股新股所需股份算得之價格，為計算升降幅度之參考基準</w:t>
            </w:r>
            <w:r w:rsidR="00BD7978" w:rsidRPr="000D7F08">
              <w:rPr>
                <w:rFonts w:ascii="標楷體" w:eastAsia="標楷體" w:hAnsi="標楷體" w:hint="eastAsia"/>
                <w:color w:val="FF0000"/>
                <w:szCs w:val="28"/>
                <w:u w:val="single"/>
              </w:rPr>
              <w:t>；</w:t>
            </w:r>
            <w:r w:rsidR="007F72CC" w:rsidRPr="000D7F08">
              <w:rPr>
                <w:rFonts w:ascii="標楷體" w:eastAsia="標楷體" w:hAnsi="標楷體" w:hint="eastAsia"/>
                <w:color w:val="auto"/>
                <w:szCs w:val="28"/>
              </w:rPr>
              <w:t>新設或已上市、第一上市既存公司</w:t>
            </w:r>
            <w:r w:rsidR="007318AE" w:rsidRPr="000D7F08">
              <w:rPr>
                <w:rFonts w:ascii="標楷體" w:eastAsia="標楷體" w:hAnsi="標楷體" w:hint="eastAsia"/>
                <w:color w:val="auto"/>
                <w:szCs w:val="28"/>
              </w:rPr>
              <w:t>上市普通股以外之有價證券，則以預計轉換為該有價證券所占比例最高之上市有價證券或櫃檯買賣有價證券最後交易日收盤價格，乘以換發一股（或一交易單位）之新有價證券所需股份（或交易單位）算得之價格為計算升降幅度之參考基準。</w:t>
            </w:r>
          </w:p>
          <w:p w:rsidR="00B4080A" w:rsidRDefault="00B4080A" w:rsidP="00B40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8"/>
              </w:rPr>
            </w:pPr>
            <w:r>
              <w:rPr>
                <w:rFonts w:ascii="標楷體" w:eastAsia="標楷體" w:hAnsi="標楷體" w:cs="細明體" w:hint="eastAsia"/>
                <w:kern w:val="0"/>
                <w:szCs w:val="28"/>
              </w:rPr>
              <w:t xml:space="preserve">    </w:t>
            </w:r>
            <w:r w:rsidRPr="00B4080A">
              <w:rPr>
                <w:rFonts w:ascii="標楷體" w:eastAsia="標楷體" w:hAnsi="標楷體" w:cs="細明體" w:hint="eastAsia"/>
                <w:kern w:val="0"/>
                <w:szCs w:val="28"/>
              </w:rPr>
              <w:t>前項計算各基準所使用之上市有價證券如無最後交易日收盤價格，則以第五十八條之三第二項第二款之原則所決定價格替代。第一、二項計算各基準所使用之櫃檯買賣有價證券如無最後交易日收盤</w:t>
            </w:r>
            <w:r w:rsidRPr="00B4080A">
              <w:rPr>
                <w:rFonts w:ascii="標楷體" w:eastAsia="標楷體" w:hAnsi="標楷體" w:cs="細明體" w:hint="eastAsia"/>
                <w:kern w:val="0"/>
                <w:szCs w:val="28"/>
              </w:rPr>
              <w:lastRenderedPageBreak/>
              <w:t>價格，則以財團法人中華民國證券櫃</w:t>
            </w:r>
          </w:p>
          <w:p w:rsidR="00B4080A" w:rsidRDefault="00B4080A" w:rsidP="00B40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8"/>
              </w:rPr>
            </w:pPr>
            <w:r w:rsidRPr="00B4080A">
              <w:rPr>
                <w:rFonts w:ascii="標楷體" w:eastAsia="標楷體" w:hAnsi="標楷體" w:cs="細明體" w:hint="eastAsia"/>
                <w:kern w:val="0"/>
                <w:szCs w:val="28"/>
              </w:rPr>
              <w:t>檯買賣中心證券商營業處所買</w:t>
            </w:r>
          </w:p>
          <w:p w:rsidR="00B4080A" w:rsidRPr="00B4080A" w:rsidRDefault="00B4080A" w:rsidP="00B40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8"/>
              </w:rPr>
            </w:pPr>
            <w:r w:rsidRPr="00B4080A">
              <w:rPr>
                <w:rFonts w:ascii="標楷體" w:eastAsia="標楷體" w:hAnsi="標楷體" w:cs="細明體" w:hint="eastAsia"/>
                <w:kern w:val="0"/>
                <w:szCs w:val="28"/>
              </w:rPr>
              <w:t>賣有價證券業務規則等所訂之</w:t>
            </w:r>
          </w:p>
          <w:p w:rsidR="00B4080A" w:rsidRPr="00B4080A" w:rsidRDefault="00B4080A" w:rsidP="00B40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8"/>
              </w:rPr>
            </w:pPr>
            <w:r w:rsidRPr="00B4080A">
              <w:rPr>
                <w:rFonts w:ascii="標楷體" w:eastAsia="標楷體" w:hAnsi="標楷體" w:cs="細明體" w:hint="eastAsia"/>
                <w:kern w:val="0"/>
                <w:szCs w:val="28"/>
              </w:rPr>
              <w:t>次日開始交易基準價替代。</w:t>
            </w:r>
          </w:p>
          <w:p w:rsidR="008A6BB5" w:rsidRPr="000D7F08" w:rsidRDefault="00B4080A" w:rsidP="00B40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8"/>
              </w:rPr>
            </w:pPr>
            <w:r>
              <w:rPr>
                <w:rFonts w:ascii="標楷體" w:eastAsia="標楷體" w:hAnsi="標楷體" w:cs="細明體" w:hint="eastAsia"/>
                <w:kern w:val="0"/>
                <w:szCs w:val="28"/>
              </w:rPr>
              <w:t xml:space="preserve">    </w:t>
            </w:r>
            <w:r w:rsidRPr="00B4080A">
              <w:rPr>
                <w:rFonts w:ascii="標楷體" w:eastAsia="標楷體" w:hAnsi="標楷體" w:cs="細明體" w:hint="eastAsia"/>
                <w:kern w:val="0"/>
                <w:szCs w:val="28"/>
              </w:rPr>
              <w:t>增資股、新股權利證書及股款繳納憑證首日上市升降幅度之計算，按舊股前一日收盤價格減除權利差額為計算之基準，但權利差額無法確定時，按舊股前一日收盤價格為計算之基準。遇舊股無前一日收盤價格，則以第五十八條之三第二項第二款之原則所決定價格替代。</w:t>
            </w:r>
          </w:p>
          <w:p w:rsidR="00B9402E" w:rsidRPr="000D7F08" w:rsidRDefault="00834A70" w:rsidP="00834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D7F08">
              <w:rPr>
                <w:rFonts w:ascii="標楷體" w:eastAsia="標楷體" w:hAnsi="標楷體" w:cs="細明體" w:hint="eastAsia"/>
                <w:kern w:val="0"/>
                <w:szCs w:val="28"/>
              </w:rPr>
              <w:t xml:space="preserve"> </w:t>
            </w:r>
          </w:p>
        </w:tc>
        <w:tc>
          <w:tcPr>
            <w:tcW w:w="3260" w:type="dxa"/>
          </w:tcPr>
          <w:p w:rsidR="007318AE" w:rsidRPr="000D7F08" w:rsidRDefault="00A360E5" w:rsidP="00A360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8"/>
              </w:rPr>
            </w:pPr>
            <w:r w:rsidRPr="000D7F08">
              <w:rPr>
                <w:rFonts w:ascii="標楷體" w:eastAsia="標楷體" w:hAnsi="標楷體" w:cs="細明體" w:hint="eastAsia"/>
                <w:kern w:val="0"/>
                <w:szCs w:val="28"/>
              </w:rPr>
              <w:lastRenderedPageBreak/>
              <w:t>第五十九</w:t>
            </w:r>
            <w:r w:rsidR="00834A70" w:rsidRPr="000D7F08">
              <w:rPr>
                <w:rFonts w:ascii="標楷體" w:eastAsia="標楷體" w:hAnsi="標楷體" w:cs="細明體" w:hint="eastAsia"/>
                <w:kern w:val="0"/>
                <w:szCs w:val="28"/>
              </w:rPr>
              <w:t>條</w:t>
            </w:r>
            <w:r w:rsidR="00834A70" w:rsidRPr="000D7F08">
              <w:rPr>
                <w:rFonts w:ascii="標楷體" w:eastAsia="標楷體" w:hAnsi="標楷體" w:hint="eastAsia"/>
                <w:szCs w:val="28"/>
              </w:rPr>
              <w:t xml:space="preserve"> </w:t>
            </w:r>
          </w:p>
          <w:p w:rsidR="00B4080A" w:rsidRPr="00B4080A" w:rsidRDefault="00B4080A" w:rsidP="00B40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8"/>
              </w:rPr>
            </w:pPr>
            <w:r>
              <w:rPr>
                <w:rFonts w:ascii="標楷體" w:eastAsia="標楷體" w:hAnsi="標楷體" w:hint="eastAsia"/>
                <w:szCs w:val="28"/>
              </w:rPr>
              <w:t xml:space="preserve">    </w:t>
            </w:r>
            <w:r w:rsidRPr="00B4080A">
              <w:rPr>
                <w:rFonts w:ascii="標楷體" w:eastAsia="標楷體" w:hAnsi="標楷體" w:hint="eastAsia"/>
                <w:szCs w:val="28"/>
              </w:rPr>
              <w:t>初次上市之有價證券競價買賣，除另有規定，按上市前之公開銷售價格為計算升降幅度之參考基準。初次上市之有價證券已於櫃檯買賣，以終止櫃</w:t>
            </w:r>
          </w:p>
          <w:p w:rsidR="00A360E5" w:rsidRPr="000D7F08" w:rsidRDefault="00B4080A" w:rsidP="00B40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8"/>
              </w:rPr>
            </w:pPr>
            <w:r w:rsidRPr="00B4080A">
              <w:rPr>
                <w:rFonts w:ascii="標楷體" w:eastAsia="標楷體" w:hAnsi="標楷體" w:hint="eastAsia"/>
                <w:szCs w:val="28"/>
              </w:rPr>
              <w:t>檯買賣之最後交易日收盤價格為計算升降幅度之參考基準。</w:t>
            </w:r>
          </w:p>
          <w:p w:rsidR="00A360E5" w:rsidRPr="000D7F08" w:rsidRDefault="00A360E5" w:rsidP="007318AE">
            <w:pPr>
              <w:pStyle w:val="HTML"/>
              <w:rPr>
                <w:rFonts w:ascii="標楷體" w:eastAsia="標楷體" w:hAnsi="標楷體"/>
                <w:szCs w:val="28"/>
              </w:rPr>
            </w:pPr>
            <w:r w:rsidRPr="000D7F08">
              <w:rPr>
                <w:rFonts w:ascii="標楷體" w:eastAsia="標楷體" w:hAnsi="標楷體" w:hint="eastAsia"/>
                <w:color w:val="auto"/>
                <w:szCs w:val="28"/>
              </w:rPr>
              <w:t xml:space="preserve">    股份有限公司依第四章之一</w:t>
            </w:r>
            <w:r w:rsidRPr="007F0C06">
              <w:rPr>
                <w:rFonts w:ascii="標楷體" w:eastAsia="標楷體" w:hAnsi="標楷體" w:hint="eastAsia"/>
                <w:color w:val="FF0000"/>
                <w:szCs w:val="28"/>
                <w:u w:val="single"/>
              </w:rPr>
              <w:t>各條</w:t>
            </w:r>
            <w:r w:rsidRPr="000D7F08">
              <w:rPr>
                <w:rFonts w:ascii="標楷體" w:eastAsia="標楷體" w:hAnsi="標楷體" w:hint="eastAsia"/>
                <w:color w:val="auto"/>
                <w:szCs w:val="28"/>
              </w:rPr>
              <w:t>規定轉換股份予新設或已上市、第一上市既存公司者，其新設公司初次上市之普通股，以預計所轉換普通股占新設公司預計發行普通股比例最高之上市公司普通股最後交易日收盤價格，乘以換發一股新股所需股份算得之價格，為計算升降幅度之參考基準。</w:t>
            </w:r>
            <w:r w:rsidR="007318AE" w:rsidRPr="000D7F08">
              <w:rPr>
                <w:rFonts w:ascii="標楷體" w:eastAsia="標楷體" w:hAnsi="標楷體" w:hint="eastAsia"/>
                <w:color w:val="auto"/>
                <w:szCs w:val="28"/>
              </w:rPr>
              <w:t>新設或已上市、第一上市既存公司</w:t>
            </w:r>
            <w:r w:rsidR="007318AE" w:rsidRPr="007F0C06">
              <w:rPr>
                <w:rFonts w:ascii="標楷體" w:eastAsia="標楷體" w:hAnsi="標楷體" w:hint="eastAsia"/>
                <w:color w:val="FF0000"/>
                <w:szCs w:val="28"/>
                <w:u w:val="single"/>
              </w:rPr>
              <w:t>初次</w:t>
            </w:r>
            <w:r w:rsidR="007318AE" w:rsidRPr="000D7F08">
              <w:rPr>
                <w:rFonts w:ascii="標楷體" w:eastAsia="標楷體" w:hAnsi="標楷體" w:hint="eastAsia"/>
                <w:color w:val="auto"/>
                <w:szCs w:val="28"/>
              </w:rPr>
              <w:t>上市普通股以外之有價證券，則以預計轉換為該有價證券所占比例最高之上市有價證券或櫃檯買賣有價證券最後交易日收盤價格，乘以換發一股（或一交易單位）之新有價證券所需股份（或交易單位）算得之價格為計算升降幅度之參考基準。</w:t>
            </w:r>
          </w:p>
          <w:p w:rsidR="00E22AAE" w:rsidRDefault="00B4080A" w:rsidP="00B40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8"/>
              </w:rPr>
            </w:pPr>
            <w:r>
              <w:rPr>
                <w:rFonts w:ascii="標楷體" w:eastAsia="標楷體" w:hAnsi="標楷體" w:cs="細明體" w:hint="eastAsia"/>
                <w:kern w:val="0"/>
                <w:szCs w:val="28"/>
              </w:rPr>
              <w:t xml:space="preserve">    </w:t>
            </w:r>
          </w:p>
          <w:p w:rsidR="00E22AAE" w:rsidRDefault="00B4080A" w:rsidP="00E22A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kern w:val="0"/>
                <w:szCs w:val="28"/>
              </w:rPr>
            </w:pPr>
            <w:r w:rsidRPr="00B4080A">
              <w:rPr>
                <w:rFonts w:ascii="標楷體" w:eastAsia="標楷體" w:hAnsi="標楷體" w:cs="細明體" w:hint="eastAsia"/>
                <w:kern w:val="0"/>
                <w:szCs w:val="28"/>
              </w:rPr>
              <w:t>前項計算各基準所使用之上市有價證券如無最後交易日收盤價格，則以第五十八條之三第二項第二款之原則所決定價格替代。第一、二項計算各基準所使用之櫃檯買賣有價證券如無最後交易日收盤</w:t>
            </w:r>
            <w:r w:rsidRPr="00B4080A">
              <w:rPr>
                <w:rFonts w:ascii="標楷體" w:eastAsia="標楷體" w:hAnsi="標楷體" w:cs="細明體" w:hint="eastAsia"/>
                <w:kern w:val="0"/>
                <w:szCs w:val="28"/>
              </w:rPr>
              <w:lastRenderedPageBreak/>
              <w:t>價格，則以財團法人中華民國證券櫃</w:t>
            </w:r>
            <w:r w:rsidR="00E22AAE" w:rsidRPr="00B4080A">
              <w:rPr>
                <w:rFonts w:ascii="標楷體" w:eastAsia="標楷體" w:hAnsi="標楷體" w:cs="細明體" w:hint="eastAsia"/>
                <w:kern w:val="0"/>
                <w:szCs w:val="28"/>
              </w:rPr>
              <w:t>檯買賣中心證券商營業處所買</w:t>
            </w:r>
          </w:p>
          <w:p w:rsidR="00B4080A" w:rsidRPr="00B4080A" w:rsidRDefault="00B4080A" w:rsidP="00E22A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8"/>
              </w:rPr>
            </w:pPr>
            <w:r w:rsidRPr="00B4080A">
              <w:rPr>
                <w:rFonts w:ascii="標楷體" w:eastAsia="標楷體" w:hAnsi="標楷體" w:cs="細明體" w:hint="eastAsia"/>
                <w:kern w:val="0"/>
                <w:szCs w:val="28"/>
              </w:rPr>
              <w:t>賣有價證券業務規則等所訂之</w:t>
            </w:r>
          </w:p>
          <w:p w:rsidR="00B4080A" w:rsidRPr="00B4080A" w:rsidRDefault="00B4080A" w:rsidP="00B40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8"/>
              </w:rPr>
            </w:pPr>
            <w:r w:rsidRPr="00B4080A">
              <w:rPr>
                <w:rFonts w:ascii="標楷體" w:eastAsia="標楷體" w:hAnsi="標楷體" w:cs="細明體" w:hint="eastAsia"/>
                <w:kern w:val="0"/>
                <w:szCs w:val="28"/>
              </w:rPr>
              <w:t>次日開始交易基準價替代。</w:t>
            </w:r>
          </w:p>
          <w:p w:rsidR="00B4080A" w:rsidRPr="000D7F08" w:rsidRDefault="00B4080A" w:rsidP="00B408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8"/>
              </w:rPr>
            </w:pPr>
            <w:r>
              <w:rPr>
                <w:rFonts w:ascii="標楷體" w:eastAsia="標楷體" w:hAnsi="標楷體" w:cs="細明體" w:hint="eastAsia"/>
                <w:kern w:val="0"/>
                <w:szCs w:val="28"/>
              </w:rPr>
              <w:t xml:space="preserve">    </w:t>
            </w:r>
            <w:r w:rsidRPr="00B4080A">
              <w:rPr>
                <w:rFonts w:ascii="標楷體" w:eastAsia="標楷體" w:hAnsi="標楷體" w:cs="細明體" w:hint="eastAsia"/>
                <w:kern w:val="0"/>
                <w:szCs w:val="28"/>
              </w:rPr>
              <w:t>增資股、新股權利證書及股款繳納憑證首日上市升降幅度之計算，按舊股前一日收盤價格減除權利差額為計算之基準，但權利差額無法確定時，按舊股前一日收盤價格為計算之基準。遇舊股無前一日收盤價格，則以第五十八條之三第二項第二款之原則所決定價格替代。</w:t>
            </w:r>
          </w:p>
          <w:p w:rsidR="00F0014B" w:rsidRPr="00B4080A" w:rsidRDefault="00F0014B" w:rsidP="00E94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8"/>
              </w:rPr>
            </w:pPr>
          </w:p>
          <w:p w:rsidR="009A1E14" w:rsidRPr="000D7F08" w:rsidRDefault="009A1E14" w:rsidP="00E94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8"/>
              </w:rPr>
            </w:pPr>
          </w:p>
          <w:p w:rsidR="00834A70" w:rsidRPr="000D7F08" w:rsidRDefault="00834A70" w:rsidP="00834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3" w:hangingChars="243" w:hanging="583"/>
              <w:jc w:val="both"/>
              <w:rPr>
                <w:rFonts w:ascii="標楷體" w:eastAsia="標楷體" w:hAnsi="標楷體"/>
                <w:szCs w:val="28"/>
              </w:rPr>
            </w:pPr>
          </w:p>
          <w:p w:rsidR="009A1E14" w:rsidRPr="000D7F08" w:rsidRDefault="009A1E14" w:rsidP="009A1E14">
            <w:pPr>
              <w:ind w:leftChars="-1" w:left="284" w:hangingChars="119" w:hanging="286"/>
              <w:jc w:val="both"/>
              <w:rPr>
                <w:rFonts w:ascii="標楷體" w:eastAsia="標楷體" w:hAnsi="標楷體"/>
                <w:szCs w:val="28"/>
              </w:rPr>
            </w:pPr>
          </w:p>
        </w:tc>
        <w:tc>
          <w:tcPr>
            <w:tcW w:w="3118" w:type="dxa"/>
          </w:tcPr>
          <w:p w:rsidR="00B4080A" w:rsidRPr="00B4080A" w:rsidRDefault="00B4080A" w:rsidP="001743B3">
            <w:pPr>
              <w:ind w:leftChars="21" w:left="400" w:hangingChars="146" w:hanging="350"/>
              <w:jc w:val="both"/>
              <w:rPr>
                <w:rFonts w:ascii="標楷體" w:eastAsia="標楷體" w:hAnsi="標楷體"/>
                <w:szCs w:val="28"/>
              </w:rPr>
            </w:pPr>
            <w:r w:rsidRPr="00B4080A">
              <w:rPr>
                <w:rFonts w:ascii="標楷體" w:eastAsia="標楷體" w:hAnsi="標楷體" w:hint="eastAsia"/>
                <w:szCs w:val="28"/>
              </w:rPr>
              <w:lastRenderedPageBreak/>
              <w:t>一、</w:t>
            </w:r>
            <w:r w:rsidR="00BE0A6E" w:rsidRPr="00BE0A6E">
              <w:rPr>
                <w:rFonts w:ascii="標楷體" w:eastAsia="標楷體" w:hAnsi="標楷體" w:hint="eastAsia"/>
                <w:szCs w:val="28"/>
              </w:rPr>
              <w:t>為股份有限公司轉換股份予新設公司，該新設公司初次上市普通股，有預計轉換普通股占新設公司預計發行普通股比例最高之公司為上櫃公司之情事，爰增修第二項前段規定，得以比例最高之上櫃公司普通股最後交易日收盤價為計算新設公司上市掛牌參考價之基準；另依第四章之一規定加入外國公司及第一上市(櫃)公司，並酌修文字。</w:t>
            </w:r>
          </w:p>
          <w:p w:rsidR="00AD7525" w:rsidRPr="00B4080A" w:rsidRDefault="00B4080A" w:rsidP="001743B3">
            <w:pPr>
              <w:ind w:leftChars="-10" w:left="401" w:hangingChars="177" w:hanging="425"/>
              <w:jc w:val="both"/>
              <w:rPr>
                <w:rFonts w:ascii="標楷體" w:eastAsia="標楷體" w:hAnsi="標楷體"/>
                <w:szCs w:val="28"/>
              </w:rPr>
            </w:pPr>
            <w:r w:rsidRPr="00B4080A">
              <w:rPr>
                <w:rFonts w:ascii="標楷體" w:eastAsia="標楷體" w:hAnsi="標楷體" w:hint="eastAsia"/>
                <w:szCs w:val="28"/>
              </w:rPr>
              <w:t>二、另為符合實際情況，修正第二項後段文字</w:t>
            </w:r>
            <w:r w:rsidR="004B027E">
              <w:rPr>
                <w:rFonts w:ascii="標楷體" w:eastAsia="標楷體" w:hAnsi="標楷體" w:hint="eastAsia"/>
                <w:szCs w:val="28"/>
              </w:rPr>
              <w:t>。</w:t>
            </w:r>
          </w:p>
        </w:tc>
      </w:tr>
    </w:tbl>
    <w:p w:rsidR="004042E5" w:rsidRPr="005115C0" w:rsidRDefault="004042E5"/>
    <w:sectPr w:rsidR="004042E5" w:rsidRPr="005115C0" w:rsidSect="00CA02E5">
      <w:footerReference w:type="even" r:id="rId8"/>
      <w:footerReference w:type="default" r:id="rId9"/>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D73" w:rsidRDefault="00CD6D73">
      <w:r>
        <w:separator/>
      </w:r>
    </w:p>
  </w:endnote>
  <w:endnote w:type="continuationSeparator" w:id="0">
    <w:p w:rsidR="00CD6D73" w:rsidRDefault="00CD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E5" w:rsidRDefault="00C724BF">
    <w:pPr>
      <w:pStyle w:val="a5"/>
      <w:framePr w:wrap="around" w:vAnchor="text" w:hAnchor="margin" w:xAlign="center" w:y="1"/>
      <w:rPr>
        <w:rStyle w:val="a6"/>
      </w:rPr>
    </w:pPr>
    <w:r>
      <w:rPr>
        <w:rStyle w:val="a6"/>
      </w:rPr>
      <w:fldChar w:fldCharType="begin"/>
    </w:r>
    <w:r w:rsidR="004042E5">
      <w:rPr>
        <w:rStyle w:val="a6"/>
      </w:rPr>
      <w:instrText xml:space="preserve">PAGE  </w:instrText>
    </w:r>
    <w:r>
      <w:rPr>
        <w:rStyle w:val="a6"/>
      </w:rPr>
      <w:fldChar w:fldCharType="end"/>
    </w:r>
  </w:p>
  <w:p w:rsidR="004042E5" w:rsidRDefault="004042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E5" w:rsidRDefault="00C724BF">
    <w:pPr>
      <w:pStyle w:val="a5"/>
      <w:framePr w:wrap="around" w:vAnchor="text" w:hAnchor="margin" w:xAlign="center" w:y="1"/>
      <w:rPr>
        <w:rStyle w:val="a6"/>
      </w:rPr>
    </w:pPr>
    <w:r>
      <w:rPr>
        <w:rStyle w:val="a6"/>
      </w:rPr>
      <w:fldChar w:fldCharType="begin"/>
    </w:r>
    <w:r w:rsidR="004042E5">
      <w:rPr>
        <w:rStyle w:val="a6"/>
      </w:rPr>
      <w:instrText xml:space="preserve">PAGE  </w:instrText>
    </w:r>
    <w:r>
      <w:rPr>
        <w:rStyle w:val="a6"/>
      </w:rPr>
      <w:fldChar w:fldCharType="separate"/>
    </w:r>
    <w:r w:rsidR="00DC3BCB">
      <w:rPr>
        <w:rStyle w:val="a6"/>
        <w:noProof/>
      </w:rPr>
      <w:t>2</w:t>
    </w:r>
    <w:r>
      <w:rPr>
        <w:rStyle w:val="a6"/>
      </w:rPr>
      <w:fldChar w:fldCharType="end"/>
    </w:r>
  </w:p>
  <w:p w:rsidR="004042E5" w:rsidRDefault="004042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D73" w:rsidRDefault="00CD6D73">
      <w:r>
        <w:separator/>
      </w:r>
    </w:p>
  </w:footnote>
  <w:footnote w:type="continuationSeparator" w:id="0">
    <w:p w:rsidR="00CD6D73" w:rsidRDefault="00CD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908"/>
    <w:multiLevelType w:val="hybridMultilevel"/>
    <w:tmpl w:val="C44C1D52"/>
    <w:lvl w:ilvl="0" w:tplc="6922D3FA">
      <w:start w:val="1"/>
      <w:numFmt w:val="taiwaneseCountingThousand"/>
      <w:lvlText w:val="%1、"/>
      <w:lvlJc w:val="left"/>
      <w:pPr>
        <w:tabs>
          <w:tab w:val="num" w:pos="721"/>
        </w:tabs>
        <w:ind w:left="721" w:hanging="720"/>
      </w:pPr>
      <w:rPr>
        <w:rFonts w:hint="eastAsia"/>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1" w15:restartNumberingAfterBreak="0">
    <w:nsid w:val="0D5F2ED7"/>
    <w:multiLevelType w:val="hybridMultilevel"/>
    <w:tmpl w:val="E3EED2A2"/>
    <w:lvl w:ilvl="0" w:tplc="DBC4874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D951CB6"/>
    <w:multiLevelType w:val="hybridMultilevel"/>
    <w:tmpl w:val="41B063FA"/>
    <w:lvl w:ilvl="0" w:tplc="976CB9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9A3A7A"/>
    <w:multiLevelType w:val="hybridMultilevel"/>
    <w:tmpl w:val="34169212"/>
    <w:lvl w:ilvl="0" w:tplc="96E694B4">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F28264D"/>
    <w:multiLevelType w:val="hybridMultilevel"/>
    <w:tmpl w:val="41A6E5A4"/>
    <w:lvl w:ilvl="0" w:tplc="BB9E56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53662E"/>
    <w:multiLevelType w:val="hybridMultilevel"/>
    <w:tmpl w:val="6344836C"/>
    <w:lvl w:ilvl="0" w:tplc="96E694B4">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4B8621A6"/>
    <w:multiLevelType w:val="hybridMultilevel"/>
    <w:tmpl w:val="6344836C"/>
    <w:lvl w:ilvl="0" w:tplc="96E694B4">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510E39A5"/>
    <w:multiLevelType w:val="hybridMultilevel"/>
    <w:tmpl w:val="BFFA694C"/>
    <w:lvl w:ilvl="0" w:tplc="DD9419F2">
      <w:start w:val="1"/>
      <w:numFmt w:val="decimal"/>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8" w15:restartNumberingAfterBreak="0">
    <w:nsid w:val="615F4442"/>
    <w:multiLevelType w:val="hybridMultilevel"/>
    <w:tmpl w:val="6158F02C"/>
    <w:lvl w:ilvl="0" w:tplc="1FFC7CE8">
      <w:start w:val="1"/>
      <w:numFmt w:val="decimal"/>
      <w:lvlText w:val="%1."/>
      <w:lvlJc w:val="left"/>
      <w:pPr>
        <w:ind w:left="435" w:hanging="43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8C34AE5"/>
    <w:multiLevelType w:val="hybridMultilevel"/>
    <w:tmpl w:val="D6342B5E"/>
    <w:lvl w:ilvl="0" w:tplc="96E694B4">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6"/>
  </w:num>
  <w:num w:numId="4">
    <w:abstractNumId w:val="9"/>
  </w:num>
  <w:num w:numId="5">
    <w:abstractNumId w:val="3"/>
  </w:num>
  <w:num w:numId="6">
    <w:abstractNumId w:val="5"/>
  </w:num>
  <w:num w:numId="7">
    <w:abstractNumId w:val="8"/>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81"/>
    <w:rsid w:val="0002175F"/>
    <w:rsid w:val="0004337B"/>
    <w:rsid w:val="000446BE"/>
    <w:rsid w:val="000816D6"/>
    <w:rsid w:val="000A4AE3"/>
    <w:rsid w:val="000B4168"/>
    <w:rsid w:val="000C05B1"/>
    <w:rsid w:val="000D08AF"/>
    <w:rsid w:val="000D62E5"/>
    <w:rsid w:val="000D7F08"/>
    <w:rsid w:val="000F2AF1"/>
    <w:rsid w:val="0010068A"/>
    <w:rsid w:val="00154299"/>
    <w:rsid w:val="001578EE"/>
    <w:rsid w:val="001743B3"/>
    <w:rsid w:val="001A317B"/>
    <w:rsid w:val="001B7730"/>
    <w:rsid w:val="001D2825"/>
    <w:rsid w:val="001D6904"/>
    <w:rsid w:val="001F3F4B"/>
    <w:rsid w:val="001F600E"/>
    <w:rsid w:val="0020018A"/>
    <w:rsid w:val="00205779"/>
    <w:rsid w:val="002138A3"/>
    <w:rsid w:val="002376AC"/>
    <w:rsid w:val="0024178A"/>
    <w:rsid w:val="002516C8"/>
    <w:rsid w:val="00252B03"/>
    <w:rsid w:val="00260431"/>
    <w:rsid w:val="00267C93"/>
    <w:rsid w:val="002A462B"/>
    <w:rsid w:val="002C2C73"/>
    <w:rsid w:val="002D6C1D"/>
    <w:rsid w:val="002E1449"/>
    <w:rsid w:val="002E6431"/>
    <w:rsid w:val="003275F1"/>
    <w:rsid w:val="00335356"/>
    <w:rsid w:val="0033604F"/>
    <w:rsid w:val="0033705D"/>
    <w:rsid w:val="003468E0"/>
    <w:rsid w:val="00356C4F"/>
    <w:rsid w:val="00376E67"/>
    <w:rsid w:val="00380C4E"/>
    <w:rsid w:val="00386A04"/>
    <w:rsid w:val="00393E5B"/>
    <w:rsid w:val="003946C3"/>
    <w:rsid w:val="003A1398"/>
    <w:rsid w:val="003D088B"/>
    <w:rsid w:val="003E311A"/>
    <w:rsid w:val="003E4964"/>
    <w:rsid w:val="003F54D6"/>
    <w:rsid w:val="004042E5"/>
    <w:rsid w:val="004136D9"/>
    <w:rsid w:val="004318A4"/>
    <w:rsid w:val="00437260"/>
    <w:rsid w:val="00444A52"/>
    <w:rsid w:val="00450CA8"/>
    <w:rsid w:val="004757B4"/>
    <w:rsid w:val="0048593F"/>
    <w:rsid w:val="00493675"/>
    <w:rsid w:val="00493BA3"/>
    <w:rsid w:val="004962CF"/>
    <w:rsid w:val="00497E8F"/>
    <w:rsid w:val="004A0200"/>
    <w:rsid w:val="004A386A"/>
    <w:rsid w:val="004A785F"/>
    <w:rsid w:val="004B027E"/>
    <w:rsid w:val="004B40DE"/>
    <w:rsid w:val="004B6A19"/>
    <w:rsid w:val="004D6325"/>
    <w:rsid w:val="004E1540"/>
    <w:rsid w:val="005107B4"/>
    <w:rsid w:val="005115C0"/>
    <w:rsid w:val="005340AF"/>
    <w:rsid w:val="00540408"/>
    <w:rsid w:val="005510D9"/>
    <w:rsid w:val="005755AD"/>
    <w:rsid w:val="005823CD"/>
    <w:rsid w:val="00594DF0"/>
    <w:rsid w:val="005C593D"/>
    <w:rsid w:val="005C63CD"/>
    <w:rsid w:val="005D7CC3"/>
    <w:rsid w:val="005E4923"/>
    <w:rsid w:val="005F3BC5"/>
    <w:rsid w:val="005F68AB"/>
    <w:rsid w:val="00625718"/>
    <w:rsid w:val="00627342"/>
    <w:rsid w:val="00642467"/>
    <w:rsid w:val="0064449C"/>
    <w:rsid w:val="00647959"/>
    <w:rsid w:val="00661744"/>
    <w:rsid w:val="0066645C"/>
    <w:rsid w:val="00680A74"/>
    <w:rsid w:val="006C4086"/>
    <w:rsid w:val="006C58AD"/>
    <w:rsid w:val="006C7ACA"/>
    <w:rsid w:val="006D0004"/>
    <w:rsid w:val="006E033E"/>
    <w:rsid w:val="00704D8C"/>
    <w:rsid w:val="0071626F"/>
    <w:rsid w:val="00723A74"/>
    <w:rsid w:val="007318AE"/>
    <w:rsid w:val="0074433E"/>
    <w:rsid w:val="00752008"/>
    <w:rsid w:val="007872C1"/>
    <w:rsid w:val="0079271E"/>
    <w:rsid w:val="007B0FB2"/>
    <w:rsid w:val="007B2B78"/>
    <w:rsid w:val="007B4B8E"/>
    <w:rsid w:val="007B4B9A"/>
    <w:rsid w:val="007C04EF"/>
    <w:rsid w:val="007D727A"/>
    <w:rsid w:val="007F0C06"/>
    <w:rsid w:val="007F45BB"/>
    <w:rsid w:val="007F72CC"/>
    <w:rsid w:val="00800ABF"/>
    <w:rsid w:val="00800B21"/>
    <w:rsid w:val="00810987"/>
    <w:rsid w:val="00812597"/>
    <w:rsid w:val="008142CB"/>
    <w:rsid w:val="008224B4"/>
    <w:rsid w:val="00823FD3"/>
    <w:rsid w:val="008321FA"/>
    <w:rsid w:val="00834A70"/>
    <w:rsid w:val="00836FBA"/>
    <w:rsid w:val="0084689C"/>
    <w:rsid w:val="00854B1A"/>
    <w:rsid w:val="00854CE7"/>
    <w:rsid w:val="008570AE"/>
    <w:rsid w:val="00864B34"/>
    <w:rsid w:val="00865C80"/>
    <w:rsid w:val="00884358"/>
    <w:rsid w:val="008A6BB5"/>
    <w:rsid w:val="008C69D4"/>
    <w:rsid w:val="00902D4C"/>
    <w:rsid w:val="00904DCD"/>
    <w:rsid w:val="00916E05"/>
    <w:rsid w:val="00940E05"/>
    <w:rsid w:val="00943D95"/>
    <w:rsid w:val="009566F6"/>
    <w:rsid w:val="00962747"/>
    <w:rsid w:val="0097320B"/>
    <w:rsid w:val="009738FB"/>
    <w:rsid w:val="00991FA1"/>
    <w:rsid w:val="00996E4A"/>
    <w:rsid w:val="009A1E14"/>
    <w:rsid w:val="009B7827"/>
    <w:rsid w:val="009D38B3"/>
    <w:rsid w:val="009F44C1"/>
    <w:rsid w:val="009F6440"/>
    <w:rsid w:val="00A011A1"/>
    <w:rsid w:val="00A06079"/>
    <w:rsid w:val="00A2395B"/>
    <w:rsid w:val="00A351E1"/>
    <w:rsid w:val="00A360E5"/>
    <w:rsid w:val="00A36FF9"/>
    <w:rsid w:val="00A520EE"/>
    <w:rsid w:val="00A52223"/>
    <w:rsid w:val="00A55C49"/>
    <w:rsid w:val="00A7091A"/>
    <w:rsid w:val="00A74AB5"/>
    <w:rsid w:val="00A86D6C"/>
    <w:rsid w:val="00AA385C"/>
    <w:rsid w:val="00AD2645"/>
    <w:rsid w:val="00AD7525"/>
    <w:rsid w:val="00AF3381"/>
    <w:rsid w:val="00B00038"/>
    <w:rsid w:val="00B264EA"/>
    <w:rsid w:val="00B4080A"/>
    <w:rsid w:val="00B511E8"/>
    <w:rsid w:val="00B621EE"/>
    <w:rsid w:val="00B631FB"/>
    <w:rsid w:val="00B66275"/>
    <w:rsid w:val="00B82653"/>
    <w:rsid w:val="00B84A84"/>
    <w:rsid w:val="00B9402E"/>
    <w:rsid w:val="00BA46C7"/>
    <w:rsid w:val="00BB1FED"/>
    <w:rsid w:val="00BD7978"/>
    <w:rsid w:val="00BE0A6E"/>
    <w:rsid w:val="00BF4F9E"/>
    <w:rsid w:val="00C0224D"/>
    <w:rsid w:val="00C113EE"/>
    <w:rsid w:val="00C2141B"/>
    <w:rsid w:val="00C33FC6"/>
    <w:rsid w:val="00C51400"/>
    <w:rsid w:val="00C56359"/>
    <w:rsid w:val="00C7211A"/>
    <w:rsid w:val="00C724BF"/>
    <w:rsid w:val="00CA02E5"/>
    <w:rsid w:val="00CA7569"/>
    <w:rsid w:val="00CB49D1"/>
    <w:rsid w:val="00CD2798"/>
    <w:rsid w:val="00CD6D73"/>
    <w:rsid w:val="00CE0758"/>
    <w:rsid w:val="00CE408F"/>
    <w:rsid w:val="00CE7627"/>
    <w:rsid w:val="00CF10FF"/>
    <w:rsid w:val="00CF2238"/>
    <w:rsid w:val="00D06331"/>
    <w:rsid w:val="00D21B8B"/>
    <w:rsid w:val="00D6506F"/>
    <w:rsid w:val="00D725F2"/>
    <w:rsid w:val="00D87F0A"/>
    <w:rsid w:val="00DA1E00"/>
    <w:rsid w:val="00DB5EBA"/>
    <w:rsid w:val="00DC3BCB"/>
    <w:rsid w:val="00DD30FE"/>
    <w:rsid w:val="00E22AAE"/>
    <w:rsid w:val="00E24E05"/>
    <w:rsid w:val="00E71155"/>
    <w:rsid w:val="00E729CD"/>
    <w:rsid w:val="00E72B02"/>
    <w:rsid w:val="00E9483E"/>
    <w:rsid w:val="00E94D9C"/>
    <w:rsid w:val="00EA5724"/>
    <w:rsid w:val="00EA7E6A"/>
    <w:rsid w:val="00EB454A"/>
    <w:rsid w:val="00EF3FFB"/>
    <w:rsid w:val="00EF5D67"/>
    <w:rsid w:val="00F0014B"/>
    <w:rsid w:val="00F10165"/>
    <w:rsid w:val="00F25014"/>
    <w:rsid w:val="00F51E91"/>
    <w:rsid w:val="00F524D1"/>
    <w:rsid w:val="00F75440"/>
    <w:rsid w:val="00F76142"/>
    <w:rsid w:val="00F877A8"/>
    <w:rsid w:val="00FB655D"/>
    <w:rsid w:val="00FB69FC"/>
    <w:rsid w:val="00FC238C"/>
    <w:rsid w:val="00FD4B67"/>
    <w:rsid w:val="00FE0330"/>
    <w:rsid w:val="00FE1B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325127"/>
  <w15:docId w15:val="{682B67D9-6AC2-427E-99CE-E62E6DAB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2E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CA02E5"/>
    <w:pPr>
      <w:ind w:left="600" w:hanging="600"/>
    </w:pPr>
    <w:rPr>
      <w:rFonts w:ascii="標楷體" w:eastAsia="標楷體"/>
      <w:sz w:val="28"/>
    </w:rPr>
  </w:style>
  <w:style w:type="paragraph" w:styleId="a3">
    <w:name w:val="Plain Text"/>
    <w:basedOn w:val="a"/>
    <w:semiHidden/>
    <w:rsid w:val="00CA02E5"/>
    <w:rPr>
      <w:rFonts w:ascii="細明體" w:eastAsia="細明體" w:hAnsi="Courier New"/>
      <w:sz w:val="28"/>
    </w:rPr>
  </w:style>
  <w:style w:type="paragraph" w:styleId="a4">
    <w:name w:val="Body Text Indent"/>
    <w:basedOn w:val="a"/>
    <w:semiHidden/>
    <w:rsid w:val="00CA02E5"/>
    <w:pPr>
      <w:ind w:left="453" w:firstLineChars="192" w:firstLine="538"/>
    </w:pPr>
    <w:rPr>
      <w:rFonts w:ascii="標楷體" w:eastAsia="標楷體"/>
      <w:sz w:val="28"/>
    </w:rPr>
  </w:style>
  <w:style w:type="paragraph" w:styleId="3">
    <w:name w:val="Body Text Indent 3"/>
    <w:basedOn w:val="a"/>
    <w:semiHidden/>
    <w:rsid w:val="00CA02E5"/>
    <w:pPr>
      <w:ind w:left="538" w:hangingChars="192" w:hanging="538"/>
    </w:pPr>
    <w:rPr>
      <w:rFonts w:ascii="標楷體" w:eastAsia="標楷體"/>
      <w:sz w:val="28"/>
    </w:rPr>
  </w:style>
  <w:style w:type="paragraph" w:styleId="a5">
    <w:name w:val="footer"/>
    <w:basedOn w:val="a"/>
    <w:semiHidden/>
    <w:rsid w:val="00CA02E5"/>
    <w:pPr>
      <w:tabs>
        <w:tab w:val="center" w:pos="4153"/>
        <w:tab w:val="right" w:pos="8306"/>
      </w:tabs>
      <w:snapToGrid w:val="0"/>
    </w:pPr>
    <w:rPr>
      <w:sz w:val="20"/>
    </w:rPr>
  </w:style>
  <w:style w:type="character" w:styleId="a6">
    <w:name w:val="page number"/>
    <w:basedOn w:val="a0"/>
    <w:semiHidden/>
    <w:rsid w:val="00CA02E5"/>
  </w:style>
  <w:style w:type="paragraph" w:styleId="a7">
    <w:name w:val="header"/>
    <w:basedOn w:val="a"/>
    <w:link w:val="a8"/>
    <w:uiPriority w:val="99"/>
    <w:unhideWhenUsed/>
    <w:rsid w:val="00AF3381"/>
    <w:pPr>
      <w:tabs>
        <w:tab w:val="center" w:pos="4153"/>
        <w:tab w:val="right" w:pos="8306"/>
      </w:tabs>
      <w:snapToGrid w:val="0"/>
    </w:pPr>
    <w:rPr>
      <w:sz w:val="20"/>
    </w:rPr>
  </w:style>
  <w:style w:type="character" w:customStyle="1" w:styleId="a8">
    <w:name w:val="頁首 字元"/>
    <w:basedOn w:val="a0"/>
    <w:link w:val="a7"/>
    <w:uiPriority w:val="99"/>
    <w:rsid w:val="00AF3381"/>
    <w:rPr>
      <w:kern w:val="2"/>
    </w:rPr>
  </w:style>
  <w:style w:type="paragraph" w:styleId="HTML">
    <w:name w:val="HTML Preformatted"/>
    <w:basedOn w:val="a"/>
    <w:link w:val="HTML0"/>
    <w:uiPriority w:val="99"/>
    <w:unhideWhenUsed/>
    <w:rsid w:val="003A13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3A1398"/>
    <w:rPr>
      <w:rFonts w:ascii="細明體" w:eastAsia="細明體" w:hAnsi="細明體" w:cs="細明體"/>
      <w:color w:val="333333"/>
      <w:sz w:val="24"/>
      <w:szCs w:val="24"/>
    </w:rPr>
  </w:style>
  <w:style w:type="paragraph" w:styleId="a9">
    <w:name w:val="List Paragraph"/>
    <w:basedOn w:val="a"/>
    <w:uiPriority w:val="34"/>
    <w:qFormat/>
    <w:rsid w:val="00F0014B"/>
    <w:pPr>
      <w:ind w:leftChars="200" w:left="480"/>
    </w:pPr>
  </w:style>
  <w:style w:type="paragraph" w:styleId="aa">
    <w:name w:val="Balloon Text"/>
    <w:basedOn w:val="a"/>
    <w:link w:val="ab"/>
    <w:uiPriority w:val="99"/>
    <w:semiHidden/>
    <w:unhideWhenUsed/>
    <w:rsid w:val="00C7211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7211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72A83-68CF-4088-924F-733DA909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1430</Words>
  <Characters>85</Characters>
  <Application>Microsoft Office Word</Application>
  <DocSecurity>0</DocSecurity>
  <Lines>1</Lines>
  <Paragraphs>3</Paragraphs>
  <ScaleCrop>false</ScaleCrop>
  <Company>user</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本公司「年度考績辦法」部分條文修正草案對照表</dc:title>
  <dc:creator>0606</dc:creator>
  <cp:lastModifiedBy>施敏華</cp:lastModifiedBy>
  <cp:revision>3</cp:revision>
  <cp:lastPrinted>2018-05-30T06:16:00Z</cp:lastPrinted>
  <dcterms:created xsi:type="dcterms:W3CDTF">2018-07-30T06:51:00Z</dcterms:created>
  <dcterms:modified xsi:type="dcterms:W3CDTF">2018-07-30T06:52:00Z</dcterms:modified>
</cp:coreProperties>
</file>