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BF" w:rsidRPr="00FE7716" w:rsidRDefault="00DC0DBF" w:rsidP="00DC0DBF">
      <w:pPr>
        <w:jc w:val="center"/>
        <w:rPr>
          <w:rFonts w:eastAsia="標楷體"/>
          <w:b/>
          <w:sz w:val="32"/>
          <w:szCs w:val="32"/>
        </w:rPr>
      </w:pPr>
      <w:r w:rsidRPr="00FE7716">
        <w:rPr>
          <w:rFonts w:eastAsia="標楷體" w:hint="eastAsia"/>
          <w:b/>
          <w:sz w:val="32"/>
          <w:szCs w:val="32"/>
        </w:rPr>
        <w:t>102</w:t>
      </w:r>
      <w:r w:rsidRPr="00FE7716">
        <w:rPr>
          <w:rFonts w:eastAsia="標楷體" w:hint="eastAsia"/>
          <w:b/>
          <w:sz w:val="32"/>
          <w:szCs w:val="32"/>
        </w:rPr>
        <w:t>年上市公司重大訊息、內部控制及新修訂法規等業務宣導會問題與說明</w:t>
      </w:r>
    </w:p>
    <w:p w:rsidR="00DC0DBF" w:rsidRPr="00FE7716" w:rsidRDefault="00DC0DBF" w:rsidP="00DC0DBF">
      <w:pPr>
        <w:jc w:val="center"/>
        <w:rPr>
          <w:rFonts w:eastAsia="標楷體"/>
          <w:b/>
          <w:sz w:val="32"/>
          <w:szCs w:val="32"/>
          <w:u w:val="single"/>
        </w:rPr>
      </w:pPr>
      <w:r w:rsidRPr="00FE7716">
        <w:rPr>
          <w:rFonts w:eastAsia="標楷體" w:hint="eastAsia"/>
          <w:b/>
          <w:sz w:val="32"/>
          <w:szCs w:val="32"/>
          <w:u w:val="single"/>
        </w:rPr>
        <w:t>免責聲明</w:t>
      </w:r>
    </w:p>
    <w:p w:rsidR="00DC0DBF" w:rsidRPr="00FE7716" w:rsidRDefault="00DC0DBF" w:rsidP="00DC0DBF">
      <w:pPr>
        <w:pStyle w:val="a7"/>
        <w:numPr>
          <w:ilvl w:val="0"/>
          <w:numId w:val="2"/>
        </w:numPr>
        <w:tabs>
          <w:tab w:val="left" w:pos="0"/>
        </w:tabs>
        <w:ind w:leftChars="0"/>
        <w:rPr>
          <w:rFonts w:eastAsia="標楷體"/>
          <w:sz w:val="32"/>
          <w:szCs w:val="32"/>
        </w:rPr>
      </w:pPr>
      <w:r w:rsidRPr="00FE7716">
        <w:rPr>
          <w:rFonts w:eastAsia="標楷體" w:hint="eastAsia"/>
          <w:sz w:val="32"/>
          <w:szCs w:val="32"/>
        </w:rPr>
        <w:t>臺灣證券交易所已採取一切合理措施確保本</w:t>
      </w:r>
      <w:r w:rsidRPr="00FE7716">
        <w:rPr>
          <w:rFonts w:eastAsia="標楷體" w:hint="eastAsia"/>
          <w:sz w:val="32"/>
          <w:szCs w:val="32"/>
        </w:rPr>
        <w:t>(102</w:t>
      </w:r>
      <w:r w:rsidRPr="00FE7716">
        <w:rPr>
          <w:rFonts w:eastAsia="標楷體" w:hint="eastAsia"/>
          <w:sz w:val="32"/>
          <w:szCs w:val="32"/>
        </w:rPr>
        <w:t>年</w:t>
      </w:r>
      <w:r w:rsidRPr="00FE7716">
        <w:rPr>
          <w:rFonts w:eastAsia="標楷體" w:hint="eastAsia"/>
          <w:sz w:val="32"/>
          <w:szCs w:val="32"/>
        </w:rPr>
        <w:t>12</w:t>
      </w:r>
      <w:r w:rsidRPr="00FE7716">
        <w:rPr>
          <w:rFonts w:eastAsia="標楷體" w:hint="eastAsia"/>
          <w:sz w:val="32"/>
          <w:szCs w:val="32"/>
        </w:rPr>
        <w:t>月</w:t>
      </w:r>
      <w:r w:rsidRPr="00FE7716">
        <w:rPr>
          <w:rFonts w:eastAsia="標楷體" w:hint="eastAsia"/>
          <w:sz w:val="32"/>
          <w:szCs w:val="32"/>
        </w:rPr>
        <w:t>2</w:t>
      </w:r>
      <w:r w:rsidRPr="00FE7716">
        <w:rPr>
          <w:rFonts w:eastAsia="標楷體" w:hint="eastAsia"/>
          <w:sz w:val="32"/>
          <w:szCs w:val="32"/>
        </w:rPr>
        <w:t>日、</w:t>
      </w:r>
      <w:r w:rsidRPr="00FE7716">
        <w:rPr>
          <w:rFonts w:eastAsia="標楷體" w:hint="eastAsia"/>
          <w:sz w:val="32"/>
          <w:szCs w:val="32"/>
        </w:rPr>
        <w:t>3</w:t>
      </w:r>
      <w:r w:rsidRPr="00FE7716">
        <w:rPr>
          <w:rFonts w:eastAsia="標楷體" w:hint="eastAsia"/>
          <w:sz w:val="32"/>
          <w:szCs w:val="32"/>
        </w:rPr>
        <w:t>日、</w:t>
      </w:r>
      <w:r w:rsidRPr="00FE7716">
        <w:rPr>
          <w:rFonts w:eastAsia="標楷體" w:hint="eastAsia"/>
          <w:sz w:val="32"/>
          <w:szCs w:val="32"/>
        </w:rPr>
        <w:t>4</w:t>
      </w:r>
      <w:r w:rsidRPr="00FE7716">
        <w:rPr>
          <w:rFonts w:eastAsia="標楷體" w:hint="eastAsia"/>
          <w:sz w:val="32"/>
          <w:szCs w:val="32"/>
        </w:rPr>
        <w:t>日、</w:t>
      </w:r>
      <w:r w:rsidRPr="00FE7716">
        <w:rPr>
          <w:rFonts w:eastAsia="標楷體" w:hint="eastAsia"/>
          <w:sz w:val="32"/>
          <w:szCs w:val="32"/>
        </w:rPr>
        <w:t>9</w:t>
      </w:r>
      <w:r w:rsidRPr="00FE7716">
        <w:rPr>
          <w:rFonts w:eastAsia="標楷體" w:hint="eastAsia"/>
          <w:sz w:val="32"/>
          <w:szCs w:val="32"/>
        </w:rPr>
        <w:t>日、</w:t>
      </w:r>
      <w:r w:rsidRPr="00FE7716">
        <w:rPr>
          <w:rFonts w:eastAsia="標楷體" w:hint="eastAsia"/>
          <w:sz w:val="32"/>
          <w:szCs w:val="32"/>
        </w:rPr>
        <w:t>10</w:t>
      </w:r>
      <w:r w:rsidRPr="00FE7716">
        <w:rPr>
          <w:rFonts w:eastAsia="標楷體" w:hint="eastAsia"/>
          <w:sz w:val="32"/>
          <w:szCs w:val="32"/>
        </w:rPr>
        <w:t>日、</w:t>
      </w:r>
      <w:r w:rsidRPr="00FE7716">
        <w:rPr>
          <w:rFonts w:eastAsia="標楷體" w:hint="eastAsia"/>
          <w:sz w:val="32"/>
          <w:szCs w:val="32"/>
        </w:rPr>
        <w:t>12</w:t>
      </w:r>
      <w:r w:rsidRPr="00FE7716">
        <w:rPr>
          <w:rFonts w:eastAsia="標楷體" w:hint="eastAsia"/>
          <w:sz w:val="32"/>
          <w:szCs w:val="32"/>
        </w:rPr>
        <w:t>日、</w:t>
      </w:r>
      <w:r w:rsidRPr="00FE7716">
        <w:rPr>
          <w:rFonts w:eastAsia="標楷體" w:hint="eastAsia"/>
          <w:sz w:val="32"/>
          <w:szCs w:val="32"/>
        </w:rPr>
        <w:t>13</w:t>
      </w:r>
      <w:r w:rsidRPr="00FE7716">
        <w:rPr>
          <w:rFonts w:eastAsia="標楷體" w:hint="eastAsia"/>
          <w:sz w:val="32"/>
          <w:szCs w:val="32"/>
        </w:rPr>
        <w:t>日、</w:t>
      </w:r>
      <w:r w:rsidRPr="00FE7716">
        <w:rPr>
          <w:rFonts w:eastAsia="標楷體" w:hint="eastAsia"/>
          <w:sz w:val="32"/>
          <w:szCs w:val="32"/>
        </w:rPr>
        <w:t>17</w:t>
      </w:r>
      <w:r w:rsidRPr="00FE7716">
        <w:rPr>
          <w:rFonts w:eastAsia="標楷體" w:hint="eastAsia"/>
          <w:sz w:val="32"/>
          <w:szCs w:val="32"/>
        </w:rPr>
        <w:t>日、</w:t>
      </w:r>
      <w:r w:rsidRPr="00FE7716">
        <w:rPr>
          <w:rFonts w:eastAsia="標楷體" w:hint="eastAsia"/>
          <w:sz w:val="32"/>
          <w:szCs w:val="32"/>
        </w:rPr>
        <w:t>18</w:t>
      </w:r>
      <w:r w:rsidRPr="00FE7716">
        <w:rPr>
          <w:rFonts w:eastAsia="標楷體" w:hint="eastAsia"/>
          <w:sz w:val="32"/>
          <w:szCs w:val="32"/>
        </w:rPr>
        <w:t>日、</w:t>
      </w:r>
      <w:r w:rsidRPr="00FE7716">
        <w:rPr>
          <w:rFonts w:eastAsia="標楷體" w:hint="eastAsia"/>
          <w:sz w:val="32"/>
          <w:szCs w:val="32"/>
        </w:rPr>
        <w:t>23</w:t>
      </w:r>
      <w:r w:rsidRPr="00FE7716">
        <w:rPr>
          <w:rFonts w:eastAsia="標楷體" w:hint="eastAsia"/>
          <w:sz w:val="32"/>
          <w:szCs w:val="32"/>
        </w:rPr>
        <w:t>日及</w:t>
      </w:r>
      <w:r w:rsidRPr="00FE7716">
        <w:rPr>
          <w:rFonts w:eastAsia="標楷體" w:hint="eastAsia"/>
          <w:sz w:val="32"/>
          <w:szCs w:val="32"/>
        </w:rPr>
        <w:t>24</w:t>
      </w:r>
      <w:r w:rsidRPr="00FE7716">
        <w:rPr>
          <w:rFonts w:eastAsia="標楷體" w:hint="eastAsia"/>
          <w:sz w:val="32"/>
          <w:szCs w:val="32"/>
        </w:rPr>
        <w:t>日</w:t>
      </w:r>
      <w:r w:rsidRPr="00FE7716">
        <w:rPr>
          <w:rFonts w:eastAsia="標楷體" w:hint="eastAsia"/>
          <w:sz w:val="32"/>
          <w:szCs w:val="32"/>
        </w:rPr>
        <w:t>)</w:t>
      </w:r>
      <w:r w:rsidRPr="00FE7716">
        <w:rPr>
          <w:rFonts w:eastAsia="標楷體" w:hint="eastAsia"/>
          <w:sz w:val="32"/>
          <w:szCs w:val="32"/>
        </w:rPr>
        <w:t>「</w:t>
      </w:r>
      <w:r w:rsidR="00583108" w:rsidRPr="00FE7716">
        <w:rPr>
          <w:rFonts w:eastAsia="標楷體" w:hint="eastAsia"/>
          <w:sz w:val="32"/>
          <w:szCs w:val="32"/>
        </w:rPr>
        <w:t>上市公司重大訊息、內部控制及新修訂法規等業務</w:t>
      </w:r>
      <w:r w:rsidRPr="00FE7716">
        <w:rPr>
          <w:rFonts w:eastAsia="標楷體" w:hint="eastAsia"/>
          <w:sz w:val="32"/>
          <w:szCs w:val="32"/>
        </w:rPr>
        <w:t>宣導會」議程文件內容資料正正確性和完整性，但不保證該資料絕無疏漏或錯誤。</w:t>
      </w:r>
    </w:p>
    <w:p w:rsidR="00DC0DBF" w:rsidRPr="00FE7716" w:rsidRDefault="00DC0DBF" w:rsidP="00DC0DBF">
      <w:pPr>
        <w:pStyle w:val="a7"/>
        <w:numPr>
          <w:ilvl w:val="0"/>
          <w:numId w:val="2"/>
        </w:numPr>
        <w:tabs>
          <w:tab w:val="left" w:pos="0"/>
        </w:tabs>
        <w:ind w:leftChars="0"/>
        <w:rPr>
          <w:rFonts w:eastAsia="標楷體"/>
          <w:sz w:val="32"/>
          <w:szCs w:val="32"/>
        </w:rPr>
      </w:pPr>
      <w:r w:rsidRPr="00FE7716">
        <w:rPr>
          <w:rFonts w:eastAsia="標楷體" w:hint="eastAsia"/>
          <w:sz w:val="32"/>
          <w:szCs w:val="32"/>
        </w:rPr>
        <w:t>臺灣證券交易所茲聲明對本文件所載資料之疏漏、錯誤或台端因依賴該等資料所導致之任何損失概不負責。</w:t>
      </w:r>
    </w:p>
    <w:p w:rsidR="00DC0DBF" w:rsidRPr="00FE7716" w:rsidRDefault="00DC0DBF" w:rsidP="00DC0DBF">
      <w:pPr>
        <w:pStyle w:val="a7"/>
        <w:numPr>
          <w:ilvl w:val="0"/>
          <w:numId w:val="2"/>
        </w:numPr>
        <w:tabs>
          <w:tab w:val="left" w:pos="0"/>
        </w:tabs>
        <w:ind w:leftChars="0"/>
        <w:rPr>
          <w:rFonts w:eastAsia="標楷體"/>
          <w:sz w:val="32"/>
          <w:szCs w:val="32"/>
        </w:rPr>
      </w:pPr>
      <w:r w:rsidRPr="00FE7716">
        <w:rPr>
          <w:rFonts w:eastAsia="標楷體" w:hint="eastAsia"/>
          <w:sz w:val="32"/>
          <w:szCs w:val="32"/>
        </w:rPr>
        <w:t>本文件內容與臺灣證券交易所及主管機關公布條文</w:t>
      </w:r>
      <w:proofErr w:type="gramStart"/>
      <w:r w:rsidRPr="00FE7716">
        <w:rPr>
          <w:rFonts w:eastAsia="標楷體" w:hint="eastAsia"/>
          <w:sz w:val="32"/>
          <w:szCs w:val="32"/>
        </w:rPr>
        <w:t>有異者</w:t>
      </w:r>
      <w:proofErr w:type="gramEnd"/>
      <w:r w:rsidRPr="00FE7716">
        <w:rPr>
          <w:rFonts w:eastAsia="標楷體" w:hint="eastAsia"/>
          <w:sz w:val="32"/>
          <w:szCs w:val="32"/>
        </w:rPr>
        <w:t>，以公布條文為</w:t>
      </w:r>
      <w:proofErr w:type="gramStart"/>
      <w:r w:rsidRPr="00FE7716">
        <w:rPr>
          <w:rFonts w:eastAsia="標楷體" w:hint="eastAsia"/>
          <w:sz w:val="32"/>
          <w:szCs w:val="32"/>
        </w:rPr>
        <w:t>準</w:t>
      </w:r>
      <w:proofErr w:type="gramEnd"/>
      <w:r w:rsidRPr="00FE7716">
        <w:rPr>
          <w:rFonts w:eastAsia="標楷體" w:hint="eastAsia"/>
          <w:sz w:val="32"/>
          <w:szCs w:val="32"/>
        </w:rPr>
        <w:t>。</w:t>
      </w:r>
    </w:p>
    <w:p w:rsidR="00DC0DBF" w:rsidRPr="00FE7716" w:rsidRDefault="00DC0DBF" w:rsidP="00DC0DBF">
      <w:pPr>
        <w:jc w:val="center"/>
        <w:rPr>
          <w:rFonts w:eastAsia="標楷體"/>
          <w:sz w:val="32"/>
          <w:szCs w:val="32"/>
        </w:rPr>
      </w:pPr>
    </w:p>
    <w:p w:rsidR="00DC0DBF" w:rsidRPr="00FE7716" w:rsidRDefault="00DC0DBF" w:rsidP="00DC0DBF">
      <w:pPr>
        <w:jc w:val="center"/>
        <w:rPr>
          <w:rFonts w:eastAsia="標楷體" w:hAnsi="標楷體"/>
          <w:sz w:val="32"/>
          <w:szCs w:val="32"/>
        </w:rPr>
      </w:pPr>
    </w:p>
    <w:p w:rsidR="00DC0DBF" w:rsidRPr="00FE7716" w:rsidRDefault="00DC0DBF" w:rsidP="00DC0DBF">
      <w:pPr>
        <w:jc w:val="center"/>
        <w:rPr>
          <w:rFonts w:eastAsia="標楷體" w:hAnsi="標楷體"/>
          <w:sz w:val="32"/>
          <w:szCs w:val="32"/>
        </w:rPr>
      </w:pPr>
    </w:p>
    <w:p w:rsidR="00DC0DBF" w:rsidRPr="00FE7716" w:rsidRDefault="00DC0DBF" w:rsidP="00DC0DBF">
      <w:pPr>
        <w:jc w:val="center"/>
        <w:rPr>
          <w:rFonts w:eastAsia="標楷體" w:hAnsi="標楷體"/>
          <w:sz w:val="32"/>
          <w:szCs w:val="32"/>
        </w:rPr>
      </w:pPr>
    </w:p>
    <w:p w:rsidR="00DC0DBF" w:rsidRPr="00FE7716" w:rsidRDefault="00DC0DBF" w:rsidP="00DC0DBF">
      <w:pPr>
        <w:jc w:val="center"/>
        <w:rPr>
          <w:rFonts w:eastAsia="標楷體" w:hAnsi="標楷體"/>
          <w:sz w:val="32"/>
          <w:szCs w:val="32"/>
        </w:rPr>
      </w:pPr>
    </w:p>
    <w:p w:rsidR="00DC0DBF" w:rsidRPr="00FE7716" w:rsidRDefault="00DC0DBF" w:rsidP="00DC0DBF">
      <w:pPr>
        <w:jc w:val="center"/>
        <w:rPr>
          <w:rFonts w:eastAsia="標楷體" w:hAnsi="標楷體"/>
          <w:sz w:val="32"/>
          <w:szCs w:val="32"/>
        </w:rPr>
      </w:pPr>
    </w:p>
    <w:p w:rsidR="00DC0DBF" w:rsidRPr="00FE7716" w:rsidRDefault="00DC0DBF" w:rsidP="00DC0DBF">
      <w:pPr>
        <w:jc w:val="center"/>
        <w:rPr>
          <w:rFonts w:eastAsia="標楷體" w:hAnsi="標楷體"/>
          <w:sz w:val="32"/>
          <w:szCs w:val="32"/>
        </w:rPr>
      </w:pPr>
    </w:p>
    <w:p w:rsidR="00CB4506" w:rsidRPr="00FE7716" w:rsidRDefault="005B7209" w:rsidP="00A43E80">
      <w:pPr>
        <w:pStyle w:val="a7"/>
        <w:numPr>
          <w:ilvl w:val="0"/>
          <w:numId w:val="4"/>
        </w:numPr>
        <w:spacing w:line="560" w:lineRule="exact"/>
        <w:ind w:leftChars="0" w:left="284" w:hanging="284"/>
        <w:jc w:val="both"/>
        <w:rPr>
          <w:rFonts w:ascii="標楷體" w:eastAsia="標楷體" w:hAnsi="標楷體"/>
          <w:sz w:val="32"/>
          <w:szCs w:val="32"/>
        </w:rPr>
      </w:pPr>
      <w:r w:rsidRPr="00FE7716">
        <w:rPr>
          <w:rFonts w:ascii="標楷體" w:eastAsia="標楷體" w:hAnsi="標楷體" w:hint="eastAsia"/>
          <w:sz w:val="32"/>
          <w:szCs w:val="32"/>
        </w:rPr>
        <w:lastRenderedPageBreak/>
        <w:t>若</w:t>
      </w:r>
      <w:proofErr w:type="gramStart"/>
      <w:r w:rsidRPr="00FE7716">
        <w:rPr>
          <w:rFonts w:ascii="標楷體" w:eastAsia="標楷體" w:hAnsi="標楷體" w:hint="eastAsia"/>
          <w:sz w:val="32"/>
          <w:szCs w:val="32"/>
        </w:rPr>
        <w:t>於法說會簡報</w:t>
      </w:r>
      <w:proofErr w:type="gramEnd"/>
      <w:r w:rsidRPr="00FE7716">
        <w:rPr>
          <w:rFonts w:ascii="標楷體" w:eastAsia="標楷體" w:hAnsi="標楷體" w:hint="eastAsia"/>
          <w:sz w:val="32"/>
          <w:szCs w:val="32"/>
        </w:rPr>
        <w:t>檔中提及自結損益資訊，是否需按月（季）於自結損益專區申報相關資訊？</w:t>
      </w:r>
    </w:p>
    <w:p w:rsidR="001F11BA" w:rsidRPr="00FE7716" w:rsidRDefault="005B7209" w:rsidP="00A43E80">
      <w:pPr>
        <w:spacing w:line="560" w:lineRule="exact"/>
        <w:ind w:left="640" w:hangingChars="200" w:hanging="640"/>
        <w:jc w:val="both"/>
        <w:rPr>
          <w:rFonts w:ascii="標楷體" w:eastAsia="標楷體" w:hAnsi="標楷體"/>
          <w:sz w:val="32"/>
          <w:szCs w:val="32"/>
        </w:rPr>
      </w:pPr>
      <w:r w:rsidRPr="00FE7716">
        <w:rPr>
          <w:rFonts w:ascii="標楷體" w:eastAsia="標楷體" w:hAnsi="標楷體"/>
          <w:sz w:val="32"/>
          <w:szCs w:val="32"/>
        </w:rPr>
        <w:t>答：</w:t>
      </w:r>
      <w:r w:rsidRPr="00FE7716">
        <w:rPr>
          <w:rFonts w:ascii="標楷體" w:eastAsia="標楷體" w:hAnsi="標楷體" w:hint="eastAsia"/>
          <w:sz w:val="32"/>
          <w:szCs w:val="32"/>
        </w:rPr>
        <w:t>依本公司「對有價證券上市公司及境外指數股票型基金上市之境外基金機構資訊申報作業辦法」第3條第1項第5款</w:t>
      </w:r>
      <w:r w:rsidR="008D2425" w:rsidRPr="00FE7716">
        <w:rPr>
          <w:rFonts w:ascii="標楷體" w:eastAsia="標楷體" w:hAnsi="標楷體" w:hint="eastAsia"/>
          <w:sz w:val="32"/>
          <w:szCs w:val="32"/>
        </w:rPr>
        <w:t>規定</w:t>
      </w:r>
      <w:r w:rsidRPr="00FE7716">
        <w:rPr>
          <w:rFonts w:ascii="標楷體" w:eastAsia="標楷體" w:hAnsi="標楷體" w:hint="eastAsia"/>
          <w:sz w:val="32"/>
          <w:szCs w:val="32"/>
        </w:rPr>
        <w:t>，自願公開自結損益者，應於公開當日申報相關資訊，並持續公告至當年度結束止。故</w:t>
      </w:r>
      <w:r w:rsidR="007362A4" w:rsidRPr="00FE7716">
        <w:rPr>
          <w:rFonts w:ascii="標楷體" w:eastAsia="標楷體" w:hAnsi="標楷體" w:hint="eastAsia"/>
          <w:sz w:val="32"/>
          <w:szCs w:val="32"/>
        </w:rPr>
        <w:t>上市公司</w:t>
      </w:r>
      <w:r w:rsidRPr="00FE7716">
        <w:rPr>
          <w:rFonts w:ascii="標楷體" w:eastAsia="標楷體" w:hAnsi="標楷體" w:hint="eastAsia"/>
          <w:sz w:val="32"/>
          <w:szCs w:val="32"/>
        </w:rPr>
        <w:t>若</w:t>
      </w:r>
      <w:proofErr w:type="gramStart"/>
      <w:r w:rsidRPr="00FE7716">
        <w:rPr>
          <w:rFonts w:ascii="標楷體" w:eastAsia="標楷體" w:hAnsi="標楷體" w:hint="eastAsia"/>
          <w:sz w:val="32"/>
          <w:szCs w:val="32"/>
        </w:rPr>
        <w:t>於法說會中</w:t>
      </w:r>
      <w:proofErr w:type="gramEnd"/>
      <w:r w:rsidRPr="00FE7716">
        <w:rPr>
          <w:rFonts w:ascii="標楷體" w:eastAsia="標楷體" w:hAnsi="標楷體" w:hint="eastAsia"/>
          <w:sz w:val="32"/>
          <w:szCs w:val="32"/>
        </w:rPr>
        <w:t>提及自結損益資訊，即應同步輸入自結損益專區，且持續按月（季）公告至當年度結束止。</w:t>
      </w:r>
    </w:p>
    <w:p w:rsidR="004B32CE" w:rsidRDefault="004B32CE" w:rsidP="00A43E80">
      <w:pPr>
        <w:spacing w:line="560" w:lineRule="exact"/>
        <w:ind w:left="640" w:hangingChars="200" w:hanging="640"/>
        <w:jc w:val="both"/>
        <w:rPr>
          <w:rFonts w:ascii="標楷體" w:eastAsia="標楷體" w:hAnsi="標楷體"/>
          <w:sz w:val="32"/>
          <w:szCs w:val="32"/>
        </w:rPr>
      </w:pPr>
    </w:p>
    <w:p w:rsidR="00CA6205" w:rsidRDefault="00F65D89" w:rsidP="00BF7B7C">
      <w:pPr>
        <w:pStyle w:val="a7"/>
        <w:numPr>
          <w:ilvl w:val="0"/>
          <w:numId w:val="4"/>
        </w:numPr>
        <w:spacing w:line="560" w:lineRule="exact"/>
        <w:ind w:leftChars="0" w:left="284" w:hanging="284"/>
        <w:jc w:val="both"/>
        <w:rPr>
          <w:rFonts w:ascii="標楷體" w:eastAsia="標楷體" w:hAnsi="標楷體"/>
          <w:sz w:val="32"/>
          <w:szCs w:val="32"/>
        </w:rPr>
      </w:pPr>
      <w:r>
        <w:rPr>
          <w:rFonts w:ascii="標楷體" w:eastAsia="標楷體" w:hAnsi="標楷體" w:hint="eastAsia"/>
          <w:sz w:val="32"/>
          <w:szCs w:val="32"/>
        </w:rPr>
        <w:t>「</w:t>
      </w:r>
      <w:r w:rsidRPr="00952E41">
        <w:rPr>
          <w:rFonts w:ascii="標楷體" w:eastAsia="標楷體" w:hAnsi="標楷體"/>
          <w:sz w:val="32"/>
          <w:szCs w:val="32"/>
        </w:rPr>
        <w:t>臺灣證券交易所股份有限公司對有價證券上市公司重大訊息之查證暨公開處理程序」</w:t>
      </w:r>
      <w:r w:rsidR="00952E41">
        <w:rPr>
          <w:rFonts w:ascii="標楷體" w:eastAsia="標楷體" w:hAnsi="標楷體"/>
          <w:sz w:val="32"/>
          <w:szCs w:val="32"/>
        </w:rPr>
        <w:t>第</w:t>
      </w:r>
      <w:r w:rsidR="00952E41">
        <w:rPr>
          <w:rFonts w:ascii="標楷體" w:eastAsia="標楷體" w:hAnsi="標楷體" w:hint="eastAsia"/>
          <w:sz w:val="32"/>
          <w:szCs w:val="32"/>
        </w:rPr>
        <w:t>9條規定</w:t>
      </w:r>
      <w:r w:rsidR="00CA6205">
        <w:rPr>
          <w:rFonts w:ascii="標楷體" w:eastAsia="標楷體" w:hAnsi="標楷體" w:hint="eastAsia"/>
          <w:sz w:val="32"/>
          <w:szCs w:val="32"/>
        </w:rPr>
        <w:t>之</w:t>
      </w:r>
      <w:proofErr w:type="gramStart"/>
      <w:r w:rsidR="0009276B">
        <w:rPr>
          <w:rFonts w:ascii="標楷體" w:eastAsia="標楷體" w:hAnsi="標楷體" w:hint="eastAsia"/>
          <w:sz w:val="32"/>
          <w:szCs w:val="32"/>
        </w:rPr>
        <w:t>〝</w:t>
      </w:r>
      <w:proofErr w:type="gramEnd"/>
      <w:r w:rsidR="00952E41" w:rsidRPr="00952E41">
        <w:rPr>
          <w:rFonts w:ascii="標楷體" w:eastAsia="標楷體" w:hAnsi="標楷體"/>
          <w:sz w:val="32"/>
          <w:szCs w:val="32"/>
        </w:rPr>
        <w:t>類似廣告宣傳文字之描述</w:t>
      </w:r>
      <w:proofErr w:type="gramStart"/>
      <w:r w:rsidR="0009276B">
        <w:rPr>
          <w:rFonts w:ascii="標楷體" w:eastAsia="標楷體" w:hAnsi="標楷體"/>
          <w:sz w:val="32"/>
          <w:szCs w:val="32"/>
        </w:rPr>
        <w:t>〞</w:t>
      </w:r>
      <w:proofErr w:type="gramEnd"/>
      <w:r w:rsidR="00CA6205">
        <w:rPr>
          <w:rFonts w:ascii="標楷體" w:eastAsia="標楷體" w:hAnsi="標楷體"/>
          <w:sz w:val="32"/>
          <w:szCs w:val="32"/>
        </w:rPr>
        <w:t>界定如何</w:t>
      </w:r>
      <w:r w:rsidR="00CA6205">
        <w:rPr>
          <w:rFonts w:ascii="標楷體" w:eastAsia="標楷體" w:hAnsi="標楷體" w:hint="eastAsia"/>
          <w:sz w:val="32"/>
          <w:szCs w:val="32"/>
        </w:rPr>
        <w:t>?</w:t>
      </w:r>
      <w:r w:rsidR="00B132C6">
        <w:rPr>
          <w:rFonts w:ascii="標楷體" w:eastAsia="標楷體" w:hAnsi="標楷體" w:hint="eastAsia"/>
          <w:sz w:val="32"/>
          <w:szCs w:val="32"/>
        </w:rPr>
        <w:t>另第2條第1項第10款</w:t>
      </w:r>
      <w:r w:rsidR="0009276B">
        <w:rPr>
          <w:rFonts w:ascii="標楷體" w:eastAsia="標楷體" w:hAnsi="標楷體" w:hint="eastAsia"/>
          <w:sz w:val="32"/>
          <w:szCs w:val="32"/>
        </w:rPr>
        <w:t>〝</w:t>
      </w:r>
      <w:r w:rsidR="00B132C6">
        <w:rPr>
          <w:rFonts w:ascii="標楷體" w:eastAsia="標楷體" w:hAnsi="標楷體" w:hint="eastAsia"/>
          <w:sz w:val="32"/>
          <w:szCs w:val="32"/>
        </w:rPr>
        <w:t>業務合作計畫及完成新產品開發</w:t>
      </w:r>
      <w:r w:rsidR="0009276B">
        <w:rPr>
          <w:rFonts w:ascii="標楷體" w:eastAsia="標楷體" w:hAnsi="標楷體" w:hint="eastAsia"/>
          <w:sz w:val="32"/>
          <w:szCs w:val="32"/>
        </w:rPr>
        <w:t>〞</w:t>
      </w:r>
      <w:r w:rsidR="00B132C6">
        <w:rPr>
          <w:rFonts w:ascii="標楷體" w:eastAsia="標楷體" w:hAnsi="標楷體" w:hint="eastAsia"/>
          <w:sz w:val="32"/>
          <w:szCs w:val="32"/>
        </w:rPr>
        <w:t>之重大訊息適用規定</w:t>
      </w:r>
      <w:r w:rsidR="00B622EB">
        <w:rPr>
          <w:rFonts w:ascii="標楷體" w:eastAsia="標楷體" w:hAnsi="標楷體" w:hint="eastAsia"/>
          <w:sz w:val="32"/>
          <w:szCs w:val="32"/>
        </w:rPr>
        <w:t>，</w:t>
      </w:r>
      <w:r w:rsidR="00B132C6">
        <w:rPr>
          <w:rFonts w:ascii="標楷體" w:eastAsia="標楷體" w:hAnsi="標楷體" w:hint="eastAsia"/>
          <w:sz w:val="32"/>
          <w:szCs w:val="32"/>
        </w:rPr>
        <w:t>應由上市公司</w:t>
      </w:r>
      <w:r w:rsidR="00B622EB">
        <w:rPr>
          <w:rFonts w:ascii="標楷體" w:eastAsia="標楷體" w:hAnsi="標楷體" w:hint="eastAsia"/>
          <w:sz w:val="32"/>
          <w:szCs w:val="32"/>
        </w:rPr>
        <w:t>就</w:t>
      </w:r>
      <w:r w:rsidR="00B132C6">
        <w:rPr>
          <w:rFonts w:ascii="標楷體" w:eastAsia="標楷體" w:hAnsi="標楷體" w:hint="eastAsia"/>
          <w:sz w:val="32"/>
          <w:szCs w:val="32"/>
        </w:rPr>
        <w:t>公司</w:t>
      </w:r>
      <w:r w:rsidR="00B622EB">
        <w:rPr>
          <w:rFonts w:ascii="標楷體" w:eastAsia="標楷體" w:hAnsi="標楷體" w:hint="eastAsia"/>
          <w:sz w:val="32"/>
          <w:szCs w:val="32"/>
        </w:rPr>
        <w:t>自</w:t>
      </w:r>
      <w:r w:rsidR="00B132C6">
        <w:rPr>
          <w:rFonts w:ascii="標楷體" w:eastAsia="標楷體" w:hAnsi="標楷體" w:hint="eastAsia"/>
          <w:sz w:val="32"/>
          <w:szCs w:val="32"/>
        </w:rPr>
        <w:t>治之精神判斷</w:t>
      </w:r>
      <w:r w:rsidR="00B622EB">
        <w:rPr>
          <w:rFonts w:ascii="標楷體" w:eastAsia="標楷體" w:hAnsi="標楷體" w:hint="eastAsia"/>
          <w:sz w:val="32"/>
          <w:szCs w:val="32"/>
        </w:rPr>
        <w:t>是否對財務業務有重大影響</w:t>
      </w:r>
      <w:r w:rsidR="00B132C6">
        <w:rPr>
          <w:rFonts w:ascii="標楷體" w:eastAsia="標楷體" w:hAnsi="標楷體" w:hint="eastAsia"/>
          <w:sz w:val="32"/>
          <w:szCs w:val="32"/>
        </w:rPr>
        <w:t>，而不應僅由字面</w:t>
      </w:r>
      <w:r w:rsidR="00B622EB">
        <w:rPr>
          <w:rFonts w:ascii="標楷體" w:eastAsia="標楷體" w:hAnsi="標楷體" w:hint="eastAsia"/>
          <w:sz w:val="32"/>
          <w:szCs w:val="32"/>
        </w:rPr>
        <w:t>逕行認定?</w:t>
      </w:r>
    </w:p>
    <w:p w:rsidR="00BF7B7C" w:rsidRDefault="00CA6205" w:rsidP="00BF7B7C">
      <w:pPr>
        <w:widowControl/>
        <w:spacing w:line="560" w:lineRule="exact"/>
        <w:ind w:left="640" w:hangingChars="200" w:hanging="640"/>
      </w:pPr>
      <w:r w:rsidRPr="00BF7B7C">
        <w:rPr>
          <w:rFonts w:ascii="標楷體" w:eastAsia="標楷體" w:hAnsi="標楷體" w:hint="eastAsia"/>
          <w:sz w:val="32"/>
          <w:szCs w:val="32"/>
        </w:rPr>
        <w:t>答：</w:t>
      </w:r>
      <w:r w:rsidR="00BF7B7C" w:rsidRPr="00BF7B7C">
        <w:rPr>
          <w:rFonts w:ascii="標楷體" w:eastAsia="標楷體" w:hAnsi="標楷體" w:hint="eastAsia"/>
          <w:sz w:val="32"/>
          <w:szCs w:val="32"/>
        </w:rPr>
        <w:t>按處理程序之規範意旨在於強化資訊公開揭露，</w:t>
      </w:r>
      <w:proofErr w:type="gramStart"/>
      <w:r w:rsidR="00BF7B7C" w:rsidRPr="00BF7B7C">
        <w:rPr>
          <w:rFonts w:ascii="標楷體" w:eastAsia="標楷體" w:hAnsi="標楷體" w:hint="eastAsia"/>
          <w:sz w:val="32"/>
          <w:szCs w:val="32"/>
        </w:rPr>
        <w:t>俾</w:t>
      </w:r>
      <w:proofErr w:type="gramEnd"/>
      <w:r w:rsidR="00BF7B7C" w:rsidRPr="00BF7B7C">
        <w:rPr>
          <w:rFonts w:ascii="標楷體" w:eastAsia="標楷體" w:hAnsi="標楷體" w:hint="eastAsia"/>
          <w:sz w:val="32"/>
          <w:szCs w:val="32"/>
        </w:rPr>
        <w:t>以維護股東及投資人權益，進而落實上市公司公司治理。</w:t>
      </w:r>
      <w:r w:rsidR="00463317">
        <w:rPr>
          <w:rFonts w:ascii="標楷體" w:eastAsia="標楷體" w:hAnsi="標楷體" w:hint="eastAsia"/>
          <w:sz w:val="32"/>
          <w:szCs w:val="32"/>
        </w:rPr>
        <w:t>有關</w:t>
      </w:r>
      <w:r w:rsidR="00BF7B7C" w:rsidRPr="00BF7B7C">
        <w:rPr>
          <w:rFonts w:ascii="標楷體" w:eastAsia="標楷體" w:hAnsi="標楷體" w:hint="eastAsia"/>
          <w:sz w:val="32"/>
          <w:szCs w:val="32"/>
        </w:rPr>
        <w:t>是否涉有</w:t>
      </w:r>
      <w:proofErr w:type="gramStart"/>
      <w:r w:rsidR="00BF7B7C">
        <w:rPr>
          <w:rFonts w:ascii="標楷體" w:eastAsia="標楷體" w:hAnsi="標楷體" w:hint="eastAsia"/>
          <w:sz w:val="32"/>
          <w:szCs w:val="32"/>
        </w:rPr>
        <w:t>〝</w:t>
      </w:r>
      <w:proofErr w:type="gramEnd"/>
      <w:r w:rsidR="00BF7B7C" w:rsidRPr="00BF7B7C">
        <w:rPr>
          <w:rFonts w:ascii="標楷體" w:eastAsia="標楷體" w:hAnsi="標楷體" w:hint="eastAsia"/>
          <w:sz w:val="32"/>
          <w:szCs w:val="32"/>
        </w:rPr>
        <w:t>誇耀性或類似廣告宣傳文字之描述</w:t>
      </w:r>
      <w:proofErr w:type="gramStart"/>
      <w:r w:rsidR="00BF7B7C">
        <w:rPr>
          <w:rFonts w:ascii="標楷體" w:eastAsia="標楷體" w:hAnsi="標楷體" w:hint="eastAsia"/>
          <w:sz w:val="32"/>
          <w:szCs w:val="32"/>
        </w:rPr>
        <w:t>〞</w:t>
      </w:r>
      <w:proofErr w:type="gramEnd"/>
      <w:r w:rsidR="00BF7B7C" w:rsidRPr="00BF7B7C">
        <w:rPr>
          <w:rFonts w:ascii="標楷體" w:eastAsia="標楷體" w:hAnsi="標楷體" w:hint="eastAsia"/>
          <w:sz w:val="32"/>
          <w:szCs w:val="32"/>
        </w:rPr>
        <w:t>，須依其具體內容個案判斷，包括行為態樣、使用文字內容、行為人主觀意圖、前後行為間是否有時間上關連性等因素而為綜合性之考量。另就處理程序第</w:t>
      </w:r>
      <w:r w:rsidR="00BF7B7C" w:rsidRPr="00BF7B7C">
        <w:rPr>
          <w:rFonts w:ascii="標楷體" w:eastAsia="標楷體" w:hAnsi="標楷體"/>
          <w:sz w:val="32"/>
          <w:szCs w:val="32"/>
        </w:rPr>
        <w:t>2</w:t>
      </w:r>
      <w:r w:rsidR="00BF7B7C" w:rsidRPr="00BF7B7C">
        <w:rPr>
          <w:rFonts w:ascii="標楷體" w:eastAsia="標楷體" w:hAnsi="標楷體" w:hint="eastAsia"/>
          <w:sz w:val="32"/>
          <w:szCs w:val="32"/>
        </w:rPr>
        <w:t>條第</w:t>
      </w:r>
      <w:r w:rsidR="00BF7B7C" w:rsidRPr="00BF7B7C">
        <w:rPr>
          <w:rFonts w:ascii="標楷體" w:eastAsia="標楷體" w:hAnsi="標楷體"/>
          <w:sz w:val="32"/>
          <w:szCs w:val="32"/>
        </w:rPr>
        <w:t>1</w:t>
      </w:r>
      <w:r w:rsidR="00BF7B7C" w:rsidRPr="00BF7B7C">
        <w:rPr>
          <w:rFonts w:ascii="標楷體" w:eastAsia="標楷體" w:hAnsi="標楷體" w:hint="eastAsia"/>
          <w:sz w:val="32"/>
          <w:szCs w:val="32"/>
        </w:rPr>
        <w:t>項各款之適用，本公司依據上開規範意旨，就各重大訊息是否對財務業務有重大影響，除上市公司自行評估外，亦會</w:t>
      </w:r>
      <w:r w:rsidR="00BF7B7C" w:rsidRPr="00BF7B7C">
        <w:rPr>
          <w:rFonts w:ascii="標楷體" w:eastAsia="標楷體" w:hAnsi="標楷體" w:hint="eastAsia"/>
          <w:sz w:val="32"/>
          <w:szCs w:val="32"/>
        </w:rPr>
        <w:lastRenderedPageBreak/>
        <w:t>自投資人</w:t>
      </w:r>
      <w:r w:rsidR="00463317">
        <w:rPr>
          <w:rFonts w:ascii="標楷體" w:eastAsia="標楷體" w:hAnsi="標楷體" w:hint="eastAsia"/>
          <w:sz w:val="32"/>
          <w:szCs w:val="32"/>
        </w:rPr>
        <w:t>保護</w:t>
      </w:r>
      <w:r w:rsidR="00BF7B7C" w:rsidRPr="00BF7B7C">
        <w:rPr>
          <w:rFonts w:ascii="標楷體" w:eastAsia="標楷體" w:hAnsi="標楷體" w:hint="eastAsia"/>
          <w:sz w:val="32"/>
          <w:szCs w:val="32"/>
        </w:rPr>
        <w:t>、維護資本市場安定之必要</w:t>
      </w:r>
      <w:r w:rsidR="00463317">
        <w:rPr>
          <w:rFonts w:ascii="標楷體" w:eastAsia="標楷體" w:hAnsi="標楷體" w:hint="eastAsia"/>
          <w:sz w:val="32"/>
          <w:szCs w:val="32"/>
        </w:rPr>
        <w:t>性</w:t>
      </w:r>
      <w:r w:rsidR="00BF7B7C" w:rsidRPr="00BF7B7C">
        <w:rPr>
          <w:rFonts w:ascii="標楷體" w:eastAsia="標楷體" w:hAnsi="標楷體" w:hint="eastAsia"/>
          <w:sz w:val="32"/>
          <w:szCs w:val="32"/>
        </w:rPr>
        <w:t>等因素綜合考量判斷之。</w:t>
      </w:r>
    </w:p>
    <w:p w:rsidR="00F65D89" w:rsidRPr="00FE7716" w:rsidRDefault="00F65D89" w:rsidP="00A43E80">
      <w:pPr>
        <w:spacing w:line="560" w:lineRule="exact"/>
        <w:ind w:left="640" w:hangingChars="200" w:hanging="640"/>
        <w:jc w:val="both"/>
        <w:rPr>
          <w:rFonts w:ascii="標楷體" w:eastAsia="標楷體" w:hAnsi="標楷體"/>
          <w:sz w:val="32"/>
          <w:szCs w:val="32"/>
        </w:rPr>
      </w:pPr>
    </w:p>
    <w:p w:rsidR="001F11BA" w:rsidRPr="00FE7716" w:rsidRDefault="005B7209" w:rsidP="00A43E80">
      <w:pPr>
        <w:pStyle w:val="a7"/>
        <w:numPr>
          <w:ilvl w:val="0"/>
          <w:numId w:val="4"/>
        </w:numPr>
        <w:spacing w:line="560" w:lineRule="exact"/>
        <w:ind w:leftChars="0" w:left="284" w:hanging="284"/>
        <w:jc w:val="both"/>
        <w:rPr>
          <w:rFonts w:ascii="標楷體" w:eastAsia="標楷體" w:hAnsi="標楷體"/>
          <w:sz w:val="32"/>
          <w:szCs w:val="32"/>
        </w:rPr>
      </w:pPr>
      <w:r w:rsidRPr="00FE7716">
        <w:rPr>
          <w:rFonts w:ascii="標楷體" w:eastAsia="標楷體" w:hAnsi="標楷體" w:hint="eastAsia"/>
          <w:sz w:val="32"/>
          <w:szCs w:val="32"/>
        </w:rPr>
        <w:t>對子公司現金增資是否屬關係人交易?</w:t>
      </w:r>
    </w:p>
    <w:p w:rsidR="00DC0DBF" w:rsidRPr="00FE7716" w:rsidRDefault="005B7209" w:rsidP="00A43E80">
      <w:pPr>
        <w:spacing w:line="560" w:lineRule="exact"/>
        <w:ind w:left="640" w:hangingChars="200" w:hanging="640"/>
        <w:jc w:val="both"/>
        <w:rPr>
          <w:rFonts w:ascii="標楷體" w:eastAsia="標楷體" w:hAnsi="標楷體"/>
          <w:sz w:val="32"/>
          <w:szCs w:val="32"/>
        </w:rPr>
      </w:pPr>
      <w:r w:rsidRPr="00FE7716">
        <w:rPr>
          <w:rFonts w:ascii="標楷體" w:eastAsia="標楷體" w:hAnsi="標楷體"/>
          <w:sz w:val="32"/>
          <w:szCs w:val="32"/>
        </w:rPr>
        <w:t>答：</w:t>
      </w:r>
      <w:r w:rsidRPr="00FE7716">
        <w:rPr>
          <w:rFonts w:ascii="標楷體" w:eastAsia="標楷體" w:hAnsi="標楷體" w:hint="eastAsia"/>
          <w:sz w:val="32"/>
          <w:szCs w:val="32"/>
        </w:rPr>
        <w:t>依</w:t>
      </w:r>
      <w:r w:rsidR="00033A42" w:rsidRPr="00FE7716">
        <w:rPr>
          <w:rFonts w:ascii="標楷體" w:eastAsia="標楷體" w:hAnsi="標楷體" w:hint="eastAsia"/>
          <w:sz w:val="32"/>
          <w:szCs w:val="32"/>
        </w:rPr>
        <w:t>「</w:t>
      </w:r>
      <w:r w:rsidRPr="00FE7716">
        <w:rPr>
          <w:rFonts w:ascii="標楷體" w:eastAsia="標楷體" w:hAnsi="標楷體" w:hint="eastAsia"/>
          <w:sz w:val="32"/>
          <w:szCs w:val="32"/>
        </w:rPr>
        <w:t>公開發行公司取得或處分資產處理準則</w:t>
      </w:r>
      <w:r w:rsidR="00033A42" w:rsidRPr="00FE7716">
        <w:rPr>
          <w:rFonts w:ascii="標楷體" w:eastAsia="標楷體" w:hAnsi="標楷體" w:hint="eastAsia"/>
          <w:sz w:val="32"/>
          <w:szCs w:val="32"/>
        </w:rPr>
        <w:t>」</w:t>
      </w:r>
      <w:r w:rsidRPr="00FE7716">
        <w:rPr>
          <w:rFonts w:ascii="標楷體" w:eastAsia="標楷體" w:hAnsi="標楷體" w:hint="eastAsia"/>
          <w:sz w:val="32"/>
          <w:szCs w:val="32"/>
        </w:rPr>
        <w:t>問答集，上市公司採用IFRSs後關係人之定義，應依據各業別財務報告編製準則（</w:t>
      </w:r>
      <w:proofErr w:type="gramStart"/>
      <w:r w:rsidRPr="00FE7716">
        <w:rPr>
          <w:rFonts w:ascii="標楷體" w:eastAsia="標楷體" w:hAnsi="標楷體" w:hint="eastAsia"/>
          <w:sz w:val="32"/>
          <w:szCs w:val="32"/>
        </w:rPr>
        <w:t>採</w:t>
      </w:r>
      <w:proofErr w:type="gramEnd"/>
      <w:r w:rsidRPr="00FE7716">
        <w:rPr>
          <w:rFonts w:ascii="標楷體" w:eastAsia="標楷體" w:hAnsi="標楷體" w:hint="eastAsia"/>
          <w:sz w:val="32"/>
          <w:szCs w:val="32"/>
        </w:rPr>
        <w:t>國際財務報導準則版本）依國際會計準則第24號規定認定之</w:t>
      </w:r>
      <w:r w:rsidR="00782D57" w:rsidRPr="00FE7716">
        <w:rPr>
          <w:rFonts w:ascii="標楷體" w:eastAsia="標楷體" w:hAnsi="標楷體" w:hint="eastAsia"/>
          <w:sz w:val="32"/>
          <w:szCs w:val="32"/>
        </w:rPr>
        <w:t>。</w:t>
      </w:r>
      <w:r w:rsidRPr="00FE7716">
        <w:rPr>
          <w:rFonts w:ascii="標楷體" w:eastAsia="標楷體" w:hAnsi="標楷體" w:hint="eastAsia"/>
          <w:sz w:val="32"/>
          <w:szCs w:val="32"/>
        </w:rPr>
        <w:t>依國際會計準則第24號第21段下列為應揭露之關係人交易</w:t>
      </w:r>
      <w:proofErr w:type="gramStart"/>
      <w:r w:rsidRPr="00FE7716">
        <w:rPr>
          <w:rFonts w:ascii="標楷體" w:eastAsia="標楷體" w:hAnsi="標楷體" w:hint="eastAsia"/>
          <w:sz w:val="32"/>
          <w:szCs w:val="32"/>
        </w:rPr>
        <w:t>之釋例</w:t>
      </w:r>
      <w:proofErr w:type="gramEnd"/>
      <w:r w:rsidRPr="00FE7716">
        <w:rPr>
          <w:rFonts w:ascii="標楷體" w:eastAsia="標楷體" w:hAnsi="標楷體" w:hint="eastAsia"/>
          <w:sz w:val="32"/>
          <w:szCs w:val="32"/>
        </w:rPr>
        <w:t>：(g)籌資協議下之移轉(包括放款及現金或實物之權益投入)，並依該規定判斷對關係人增資是否屬關係人交易。</w:t>
      </w:r>
    </w:p>
    <w:p w:rsidR="004B32CE" w:rsidRPr="00FE7716" w:rsidRDefault="004B32CE" w:rsidP="00A43E80">
      <w:pPr>
        <w:spacing w:line="560" w:lineRule="exact"/>
        <w:ind w:left="640" w:hangingChars="200" w:hanging="640"/>
        <w:jc w:val="both"/>
        <w:rPr>
          <w:rFonts w:ascii="標楷體" w:eastAsia="標楷體" w:hAnsi="標楷體"/>
          <w:sz w:val="32"/>
          <w:szCs w:val="32"/>
        </w:rPr>
      </w:pPr>
    </w:p>
    <w:p w:rsidR="005B7209" w:rsidRPr="00FE7716" w:rsidRDefault="00F65D89" w:rsidP="00A43E80">
      <w:pPr>
        <w:pStyle w:val="a7"/>
        <w:numPr>
          <w:ilvl w:val="0"/>
          <w:numId w:val="4"/>
        </w:numPr>
        <w:spacing w:line="560" w:lineRule="exact"/>
        <w:ind w:leftChars="0" w:left="284" w:hanging="284"/>
        <w:jc w:val="both"/>
        <w:rPr>
          <w:rFonts w:ascii="標楷體" w:eastAsia="標楷體" w:hAnsi="標楷體"/>
          <w:sz w:val="32"/>
          <w:szCs w:val="32"/>
        </w:rPr>
      </w:pPr>
      <w:r>
        <w:rPr>
          <w:rFonts w:ascii="標楷體" w:eastAsia="標楷體" w:hAnsi="標楷體" w:hint="eastAsia"/>
          <w:sz w:val="32"/>
          <w:szCs w:val="32"/>
        </w:rPr>
        <w:t>(1)若</w:t>
      </w:r>
      <w:r w:rsidR="005B7209" w:rsidRPr="00FE7716">
        <w:rPr>
          <w:rFonts w:ascii="標楷體" w:eastAsia="標楷體" w:hAnsi="標楷體" w:hint="eastAsia"/>
          <w:sz w:val="32"/>
          <w:szCs w:val="32"/>
        </w:rPr>
        <w:t>子公司為公開發行公司，其自行發布</w:t>
      </w:r>
      <w:proofErr w:type="gramStart"/>
      <w:r w:rsidR="005B7209" w:rsidRPr="00FE7716">
        <w:rPr>
          <w:rFonts w:ascii="標楷體" w:eastAsia="標楷體" w:hAnsi="標楷體" w:hint="eastAsia"/>
          <w:sz w:val="32"/>
          <w:szCs w:val="32"/>
        </w:rPr>
        <w:t>之取處或</w:t>
      </w:r>
      <w:proofErr w:type="gramEnd"/>
      <w:r w:rsidR="005B7209" w:rsidRPr="00FE7716">
        <w:rPr>
          <w:rFonts w:ascii="標楷體" w:eastAsia="標楷體" w:hAnsi="標楷體" w:hint="eastAsia"/>
          <w:sz w:val="32"/>
          <w:szCs w:val="32"/>
        </w:rPr>
        <w:t>資金貸與公告有關最近期財務報表之資訊，是否以公</w:t>
      </w:r>
      <w:r w:rsidR="00782D57" w:rsidRPr="00FE7716">
        <w:rPr>
          <w:rFonts w:ascii="標楷體" w:eastAsia="標楷體" w:hAnsi="標楷體" w:hint="eastAsia"/>
          <w:sz w:val="32"/>
          <w:szCs w:val="32"/>
        </w:rPr>
        <w:t>開</w:t>
      </w:r>
      <w:r w:rsidR="005B7209" w:rsidRPr="00FE7716">
        <w:rPr>
          <w:rFonts w:ascii="標楷體" w:eastAsia="標楷體" w:hAnsi="標楷體" w:hint="eastAsia"/>
          <w:sz w:val="32"/>
          <w:szCs w:val="32"/>
        </w:rPr>
        <w:t>發</w:t>
      </w:r>
      <w:r w:rsidR="00782D57" w:rsidRPr="00FE7716">
        <w:rPr>
          <w:rFonts w:ascii="標楷體" w:eastAsia="標楷體" w:hAnsi="標楷體" w:hint="eastAsia"/>
          <w:sz w:val="32"/>
          <w:szCs w:val="32"/>
        </w:rPr>
        <w:t>行</w:t>
      </w:r>
      <w:r w:rsidR="005B7209" w:rsidRPr="00FE7716">
        <w:rPr>
          <w:rFonts w:ascii="標楷體" w:eastAsia="標楷體" w:hAnsi="標楷體" w:hint="eastAsia"/>
          <w:sz w:val="32"/>
          <w:szCs w:val="32"/>
        </w:rPr>
        <w:t>子公司之財</w:t>
      </w:r>
      <w:r w:rsidR="00782D57" w:rsidRPr="00FE7716">
        <w:rPr>
          <w:rFonts w:ascii="標楷體" w:eastAsia="標楷體" w:hAnsi="標楷體" w:hint="eastAsia"/>
          <w:sz w:val="32"/>
          <w:szCs w:val="32"/>
        </w:rPr>
        <w:t>務</w:t>
      </w:r>
      <w:r w:rsidR="005B7209" w:rsidRPr="00FE7716">
        <w:rPr>
          <w:rFonts w:ascii="標楷體" w:eastAsia="標楷體" w:hAnsi="標楷體" w:hint="eastAsia"/>
          <w:sz w:val="32"/>
          <w:szCs w:val="32"/>
        </w:rPr>
        <w:t>報</w:t>
      </w:r>
      <w:r w:rsidR="00782D57" w:rsidRPr="00FE7716">
        <w:rPr>
          <w:rFonts w:ascii="標楷體" w:eastAsia="標楷體" w:hAnsi="標楷體" w:hint="eastAsia"/>
          <w:sz w:val="32"/>
          <w:szCs w:val="32"/>
        </w:rPr>
        <w:t>告</w:t>
      </w:r>
      <w:r w:rsidR="005B7209" w:rsidRPr="00FE7716">
        <w:rPr>
          <w:rFonts w:ascii="標楷體" w:eastAsia="標楷體" w:hAnsi="標楷體" w:hint="eastAsia"/>
          <w:sz w:val="32"/>
          <w:szCs w:val="32"/>
        </w:rPr>
        <w:t xml:space="preserve">為公告基礎？（2）若上述公開發行子公司為重要子公司， </w:t>
      </w:r>
      <w:proofErr w:type="gramStart"/>
      <w:r w:rsidR="005B7209" w:rsidRPr="00FE7716">
        <w:rPr>
          <w:rFonts w:ascii="標楷體" w:eastAsia="標楷體" w:hAnsi="標楷體" w:hint="eastAsia"/>
          <w:sz w:val="32"/>
          <w:szCs w:val="32"/>
        </w:rPr>
        <w:t>有取處或</w:t>
      </w:r>
      <w:proofErr w:type="gramEnd"/>
      <w:r w:rsidR="005B7209" w:rsidRPr="00FE7716">
        <w:rPr>
          <w:rFonts w:ascii="標楷體" w:eastAsia="標楷體" w:hAnsi="標楷體" w:hint="eastAsia"/>
          <w:sz w:val="32"/>
          <w:szCs w:val="32"/>
        </w:rPr>
        <w:t>資金貸與時，</w:t>
      </w:r>
      <w:proofErr w:type="gramStart"/>
      <w:r w:rsidR="005B7209" w:rsidRPr="00FE7716">
        <w:rPr>
          <w:rFonts w:ascii="標楷體" w:eastAsia="標楷體" w:hAnsi="標楷體" w:hint="eastAsia"/>
          <w:sz w:val="32"/>
          <w:szCs w:val="32"/>
        </w:rPr>
        <w:t>上市公司應代為</w:t>
      </w:r>
      <w:proofErr w:type="gramEnd"/>
      <w:r w:rsidR="005B7209" w:rsidRPr="00FE7716">
        <w:rPr>
          <w:rFonts w:ascii="標楷體" w:eastAsia="標楷體" w:hAnsi="標楷體" w:hint="eastAsia"/>
          <w:sz w:val="32"/>
          <w:szCs w:val="32"/>
        </w:rPr>
        <w:t>公告且轉重大訊息，惟其公告相關資訊，是否應以上市母公司為</w:t>
      </w:r>
      <w:proofErr w:type="gramStart"/>
      <w:r w:rsidR="005B7209" w:rsidRPr="00FE7716">
        <w:rPr>
          <w:rFonts w:ascii="標楷體" w:eastAsia="標楷體" w:hAnsi="標楷體" w:hint="eastAsia"/>
          <w:sz w:val="32"/>
          <w:szCs w:val="32"/>
        </w:rPr>
        <w:t>準</w:t>
      </w:r>
      <w:proofErr w:type="gramEnd"/>
      <w:r w:rsidR="005B7209" w:rsidRPr="00FE7716">
        <w:rPr>
          <w:rFonts w:ascii="標楷體" w:eastAsia="標楷體" w:hAnsi="標楷體" w:hint="eastAsia"/>
          <w:sz w:val="32"/>
          <w:szCs w:val="32"/>
        </w:rPr>
        <w:t>？</w:t>
      </w:r>
    </w:p>
    <w:p w:rsidR="005B7209" w:rsidRPr="00FE7716" w:rsidRDefault="005B7209" w:rsidP="00A43E80">
      <w:pPr>
        <w:spacing w:line="560" w:lineRule="exact"/>
        <w:ind w:left="640" w:hangingChars="200" w:hanging="640"/>
        <w:jc w:val="both"/>
        <w:rPr>
          <w:rFonts w:ascii="標楷體" w:eastAsia="標楷體" w:hAnsi="標楷體"/>
          <w:sz w:val="32"/>
          <w:szCs w:val="32"/>
        </w:rPr>
      </w:pPr>
      <w:r w:rsidRPr="00FE7716">
        <w:rPr>
          <w:rFonts w:ascii="標楷體" w:eastAsia="標楷體" w:hAnsi="標楷體" w:hint="eastAsia"/>
          <w:sz w:val="32"/>
          <w:szCs w:val="32"/>
        </w:rPr>
        <w:t>答：(1) 依「公開發行公司取得或處分資產處理準則」及「公開發行公司資金貸與及背書保證處理準則」第33條及第24條，已公開發行之子公司所為之取得或處分資產及資金貸與、背書保證之相關公告，皆係以公開發行公司之財務報表為計算基礎。（2</w:t>
      </w:r>
      <w:r w:rsidRPr="00FE7716">
        <w:rPr>
          <w:rFonts w:ascii="標楷體" w:eastAsia="標楷體" w:hAnsi="標楷體"/>
          <w:sz w:val="32"/>
          <w:szCs w:val="32"/>
        </w:rPr>
        <w:t>）</w:t>
      </w:r>
      <w:r w:rsidRPr="00FE7716">
        <w:rPr>
          <w:rFonts w:ascii="標楷體" w:eastAsia="標楷體" w:hAnsi="標楷體" w:hint="eastAsia"/>
          <w:sz w:val="32"/>
          <w:szCs w:val="32"/>
        </w:rPr>
        <w:t>若已公開發行之子公司因達取得或處分資產及資金貸與、背書保證相關公告標</w:t>
      </w:r>
      <w:r w:rsidRPr="00FE7716">
        <w:rPr>
          <w:rFonts w:ascii="標楷體" w:eastAsia="標楷體" w:hAnsi="標楷體" w:hint="eastAsia"/>
          <w:sz w:val="32"/>
          <w:szCs w:val="32"/>
        </w:rPr>
        <w:lastRenderedPageBreak/>
        <w:t>準，除已公開發行子公司需自行辦理相關公告外，</w:t>
      </w:r>
      <w:proofErr w:type="gramStart"/>
      <w:r w:rsidRPr="00FE7716">
        <w:rPr>
          <w:rFonts w:ascii="標楷體" w:eastAsia="標楷體" w:hAnsi="標楷體" w:hint="eastAsia"/>
          <w:sz w:val="32"/>
          <w:szCs w:val="32"/>
        </w:rPr>
        <w:t>上市公司需代其</w:t>
      </w:r>
      <w:proofErr w:type="gramEnd"/>
      <w:r w:rsidRPr="00FE7716">
        <w:rPr>
          <w:rFonts w:ascii="標楷體" w:eastAsia="標楷體" w:hAnsi="標楷體" w:hint="eastAsia"/>
          <w:sz w:val="32"/>
          <w:szCs w:val="32"/>
        </w:rPr>
        <w:t>發布重大訊息。</w:t>
      </w:r>
      <w:proofErr w:type="gramStart"/>
      <w:r w:rsidRPr="00FE7716">
        <w:rPr>
          <w:rFonts w:ascii="標楷體" w:eastAsia="標楷體" w:hAnsi="標楷體" w:hint="eastAsia"/>
          <w:sz w:val="32"/>
          <w:szCs w:val="32"/>
        </w:rPr>
        <w:t>惟</w:t>
      </w:r>
      <w:proofErr w:type="gramEnd"/>
      <w:r w:rsidRPr="00FE7716">
        <w:rPr>
          <w:rFonts w:ascii="標楷體" w:eastAsia="標楷體" w:hAnsi="標楷體" w:hint="eastAsia"/>
          <w:sz w:val="32"/>
          <w:szCs w:val="32"/>
        </w:rPr>
        <w:t>上市公司代其發布重大訊息時，依本公司重大訊息規範，應另以上市公司之相關財報數字辦理公告並轉重大訊息。</w:t>
      </w:r>
    </w:p>
    <w:p w:rsidR="004B32CE" w:rsidRPr="00FE7716" w:rsidRDefault="004B32CE" w:rsidP="00A43E80">
      <w:pPr>
        <w:spacing w:line="560" w:lineRule="exact"/>
        <w:ind w:left="640" w:hangingChars="200" w:hanging="640"/>
        <w:jc w:val="both"/>
        <w:rPr>
          <w:rFonts w:ascii="標楷體" w:eastAsia="標楷體" w:hAnsi="標楷體"/>
          <w:sz w:val="32"/>
          <w:szCs w:val="32"/>
        </w:rPr>
      </w:pPr>
    </w:p>
    <w:p w:rsidR="00F0245A" w:rsidRPr="00FE7716" w:rsidRDefault="00F0245A" w:rsidP="00A43E80">
      <w:pPr>
        <w:pStyle w:val="a7"/>
        <w:numPr>
          <w:ilvl w:val="0"/>
          <w:numId w:val="5"/>
        </w:numPr>
        <w:spacing w:line="560" w:lineRule="exact"/>
        <w:ind w:leftChars="0"/>
        <w:rPr>
          <w:rFonts w:ascii="標楷體" w:eastAsia="標楷體" w:hAnsi="標楷體"/>
          <w:color w:val="000000"/>
          <w:sz w:val="32"/>
          <w:szCs w:val="32"/>
        </w:rPr>
      </w:pPr>
      <w:r w:rsidRPr="00FE7716">
        <w:rPr>
          <w:rFonts w:ascii="標楷體" w:eastAsia="標楷體" w:hAnsi="標楷體" w:hint="eastAsia"/>
          <w:color w:val="000000"/>
          <w:sz w:val="32"/>
          <w:szCs w:val="32"/>
        </w:rPr>
        <w:t>已全面導入IFRS之公司是否還須每季將IFRS導入情形提報董事會?</w:t>
      </w:r>
    </w:p>
    <w:p w:rsidR="00F0245A" w:rsidRPr="00FE7716" w:rsidRDefault="00F0245A" w:rsidP="00A43E80">
      <w:pPr>
        <w:spacing w:line="560" w:lineRule="exact"/>
        <w:ind w:left="480" w:hangingChars="150" w:hanging="480"/>
        <w:rPr>
          <w:rFonts w:ascii="標楷體" w:eastAsia="標楷體" w:hAnsi="標楷體"/>
          <w:color w:val="000000"/>
          <w:sz w:val="32"/>
          <w:szCs w:val="32"/>
        </w:rPr>
      </w:pPr>
      <w:r w:rsidRPr="00FE7716">
        <w:rPr>
          <w:rFonts w:ascii="標楷體" w:eastAsia="標楷體" w:hAnsi="標楷體" w:hint="eastAsia"/>
          <w:color w:val="000000"/>
          <w:sz w:val="32"/>
          <w:szCs w:val="32"/>
        </w:rPr>
        <w:t>答:</w:t>
      </w:r>
      <w:r w:rsidR="00782D57" w:rsidRPr="00FE7716">
        <w:rPr>
          <w:rFonts w:ascii="標楷體" w:eastAsia="標楷體" w:hAnsi="標楷體" w:hint="eastAsia"/>
          <w:color w:val="000000"/>
          <w:sz w:val="32"/>
          <w:szCs w:val="32"/>
        </w:rPr>
        <w:t>上市</w:t>
      </w:r>
      <w:r w:rsidRPr="00FE7716">
        <w:rPr>
          <w:rFonts w:ascii="標楷體" w:eastAsia="標楷體" w:hAnsi="標楷體" w:hint="eastAsia"/>
          <w:color w:val="000000"/>
          <w:sz w:val="32"/>
          <w:szCs w:val="32"/>
        </w:rPr>
        <w:t>公司業已無需將IFRS導入情形向</w:t>
      </w:r>
      <w:r w:rsidR="00782D57" w:rsidRPr="00FE7716">
        <w:rPr>
          <w:rFonts w:ascii="標楷體" w:eastAsia="標楷體" w:hAnsi="標楷體" w:hint="eastAsia"/>
          <w:color w:val="000000"/>
          <w:sz w:val="32"/>
          <w:szCs w:val="32"/>
        </w:rPr>
        <w:t>本公司</w:t>
      </w:r>
      <w:r w:rsidRPr="00FE7716">
        <w:rPr>
          <w:rFonts w:ascii="標楷體" w:eastAsia="標楷體" w:hAnsi="標楷體" w:hint="eastAsia"/>
          <w:color w:val="000000"/>
          <w:sz w:val="32"/>
          <w:szCs w:val="32"/>
        </w:rPr>
        <w:t>申報，惟仍須依其經董事會通過之IFRS轉換計畫依序執行並將執行情形按季提報董事會，直至公司IFRS轉換計畫項目全數執行完畢為止。</w:t>
      </w:r>
    </w:p>
    <w:p w:rsidR="004B32CE" w:rsidRPr="00FE7716" w:rsidRDefault="004B32CE" w:rsidP="00A43E80">
      <w:pPr>
        <w:spacing w:line="560" w:lineRule="exact"/>
        <w:ind w:left="480" w:hangingChars="150" w:hanging="480"/>
        <w:rPr>
          <w:rFonts w:ascii="標楷體" w:eastAsia="標楷體" w:hAnsi="標楷體"/>
          <w:color w:val="000000"/>
          <w:sz w:val="32"/>
          <w:szCs w:val="32"/>
        </w:rPr>
      </w:pPr>
    </w:p>
    <w:p w:rsidR="00F0245A" w:rsidRPr="00FE7716" w:rsidRDefault="00F0245A" w:rsidP="00A43E80">
      <w:pPr>
        <w:pStyle w:val="a7"/>
        <w:numPr>
          <w:ilvl w:val="0"/>
          <w:numId w:val="5"/>
        </w:numPr>
        <w:spacing w:line="560" w:lineRule="exact"/>
        <w:ind w:leftChars="0"/>
        <w:rPr>
          <w:rFonts w:ascii="標楷體" w:eastAsia="標楷體" w:hAnsi="標楷體"/>
          <w:color w:val="000000"/>
          <w:sz w:val="32"/>
          <w:szCs w:val="32"/>
        </w:rPr>
      </w:pPr>
      <w:r w:rsidRPr="00FE7716">
        <w:rPr>
          <w:rFonts w:ascii="標楷體" w:eastAsia="標楷體" w:hAnsi="標楷體" w:hint="eastAsia"/>
          <w:color w:val="000000"/>
          <w:sz w:val="32"/>
          <w:szCs w:val="32"/>
        </w:rPr>
        <w:t>102</w:t>
      </w:r>
      <w:r w:rsidRPr="00FE7716">
        <w:rPr>
          <w:rFonts w:ascii="標楷體" w:eastAsia="標楷體" w:hAnsi="標楷體"/>
          <w:color w:val="000000"/>
          <w:sz w:val="32"/>
          <w:szCs w:val="32"/>
        </w:rPr>
        <w:t>年</w:t>
      </w:r>
      <w:r w:rsidRPr="00FE7716">
        <w:rPr>
          <w:rFonts w:ascii="標楷體" w:eastAsia="標楷體" w:hAnsi="標楷體" w:hint="eastAsia"/>
          <w:color w:val="000000"/>
          <w:sz w:val="32"/>
          <w:szCs w:val="32"/>
        </w:rPr>
        <w:t>第1季至第3季合併財務</w:t>
      </w:r>
      <w:proofErr w:type="gramStart"/>
      <w:r w:rsidRPr="00FE7716">
        <w:rPr>
          <w:rFonts w:ascii="標楷體" w:eastAsia="標楷體" w:hAnsi="標楷體" w:hint="eastAsia"/>
          <w:color w:val="000000"/>
          <w:sz w:val="32"/>
          <w:szCs w:val="32"/>
        </w:rPr>
        <w:t>報告均於財務</w:t>
      </w:r>
      <w:proofErr w:type="gramEnd"/>
      <w:r w:rsidRPr="00FE7716">
        <w:rPr>
          <w:rFonts w:ascii="標楷體" w:eastAsia="標楷體" w:hAnsi="標楷體" w:hint="eastAsia"/>
          <w:color w:val="000000"/>
          <w:sz w:val="32"/>
          <w:szCs w:val="32"/>
        </w:rPr>
        <w:t>報告附註揭露IFRS1首次採用之調節資訊，102年年度之個體(母公司)財報是否須揭露IFRS1首次採用之調節資訊</w:t>
      </w:r>
      <w:r w:rsidR="00781D4F" w:rsidRPr="00FE7716">
        <w:rPr>
          <w:rFonts w:ascii="標楷體" w:eastAsia="標楷體" w:hAnsi="標楷體" w:hint="eastAsia"/>
          <w:color w:val="000000"/>
          <w:sz w:val="32"/>
          <w:szCs w:val="32"/>
        </w:rPr>
        <w:t>?</w:t>
      </w:r>
    </w:p>
    <w:p w:rsidR="00F0245A" w:rsidRPr="00FE7716" w:rsidRDefault="00F0245A" w:rsidP="00A43E80">
      <w:pPr>
        <w:spacing w:line="560" w:lineRule="exact"/>
        <w:ind w:left="480" w:hangingChars="150" w:hanging="480"/>
        <w:rPr>
          <w:rFonts w:ascii="標楷體" w:eastAsia="標楷體" w:hAnsi="標楷體"/>
          <w:color w:val="000000"/>
          <w:sz w:val="32"/>
          <w:szCs w:val="32"/>
        </w:rPr>
      </w:pPr>
      <w:r w:rsidRPr="00FE7716">
        <w:rPr>
          <w:rFonts w:ascii="標楷體" w:eastAsia="標楷體" w:hAnsi="標楷體" w:hint="eastAsia"/>
          <w:color w:val="000000"/>
          <w:sz w:val="32"/>
          <w:szCs w:val="32"/>
        </w:rPr>
        <w:t>答:應編製</w:t>
      </w:r>
      <w:proofErr w:type="gramStart"/>
      <w:r w:rsidRPr="00FE7716">
        <w:rPr>
          <w:rFonts w:ascii="標楷體" w:eastAsia="標楷體" w:hAnsi="標楷體" w:hint="eastAsia"/>
          <w:color w:val="000000"/>
          <w:sz w:val="32"/>
          <w:szCs w:val="32"/>
        </w:rPr>
        <w:t>102</w:t>
      </w:r>
      <w:proofErr w:type="gramEnd"/>
      <w:r w:rsidRPr="00FE7716">
        <w:rPr>
          <w:rFonts w:ascii="標楷體" w:eastAsia="標楷體" w:hAnsi="標楷體" w:hint="eastAsia"/>
          <w:color w:val="000000"/>
          <w:sz w:val="32"/>
          <w:szCs w:val="32"/>
        </w:rPr>
        <w:t>年度個體財務報告之公司，仍須於其個體財務報告揭露IFRS1首次採用之個體調節資訊。</w:t>
      </w:r>
    </w:p>
    <w:p w:rsidR="004B32CE" w:rsidRPr="00FE7716" w:rsidRDefault="004B32CE" w:rsidP="00A43E80">
      <w:pPr>
        <w:spacing w:line="560" w:lineRule="exact"/>
        <w:ind w:left="480" w:hangingChars="150" w:hanging="480"/>
        <w:rPr>
          <w:rFonts w:ascii="標楷體" w:eastAsia="標楷體" w:hAnsi="標楷體"/>
          <w:color w:val="000000"/>
          <w:sz w:val="32"/>
          <w:szCs w:val="32"/>
        </w:rPr>
      </w:pPr>
    </w:p>
    <w:p w:rsidR="00F0245A" w:rsidRPr="00FE7716" w:rsidRDefault="00F0245A" w:rsidP="00A43E80">
      <w:pPr>
        <w:pStyle w:val="a7"/>
        <w:numPr>
          <w:ilvl w:val="0"/>
          <w:numId w:val="5"/>
        </w:numPr>
        <w:spacing w:line="560" w:lineRule="exact"/>
        <w:ind w:leftChars="0"/>
        <w:rPr>
          <w:rFonts w:ascii="標楷體" w:eastAsia="標楷體" w:hAnsi="標楷體"/>
          <w:color w:val="000000"/>
          <w:sz w:val="32"/>
          <w:szCs w:val="32"/>
        </w:rPr>
      </w:pPr>
      <w:r w:rsidRPr="00FE7716">
        <w:rPr>
          <w:rFonts w:ascii="標楷體" w:eastAsia="標楷體" w:hAnsi="標楷體" w:hint="eastAsia"/>
          <w:color w:val="000000"/>
          <w:sz w:val="32"/>
          <w:szCs w:val="32"/>
        </w:rPr>
        <w:t>公司於102年前3季合併財報業已依原先評估採用之IFRS1豁免規定評估並認列</w:t>
      </w:r>
      <w:proofErr w:type="gramStart"/>
      <w:r w:rsidRPr="00FE7716">
        <w:rPr>
          <w:rFonts w:ascii="標楷體" w:eastAsia="標楷體" w:hAnsi="標楷體" w:hint="eastAsia"/>
          <w:color w:val="000000"/>
          <w:sz w:val="32"/>
          <w:szCs w:val="32"/>
        </w:rPr>
        <w:t>開帳</w:t>
      </w:r>
      <w:proofErr w:type="gramEnd"/>
      <w:r w:rsidRPr="00FE7716">
        <w:rPr>
          <w:rFonts w:ascii="標楷體" w:eastAsia="標楷體" w:hAnsi="標楷體" w:hint="eastAsia"/>
          <w:color w:val="000000"/>
          <w:sz w:val="32"/>
          <w:szCs w:val="32"/>
        </w:rPr>
        <w:t>數，若在出具</w:t>
      </w:r>
      <w:proofErr w:type="gramStart"/>
      <w:r w:rsidRPr="00FE7716">
        <w:rPr>
          <w:rFonts w:ascii="標楷體" w:eastAsia="標楷體" w:hAnsi="標楷體" w:hint="eastAsia"/>
          <w:color w:val="000000"/>
          <w:sz w:val="32"/>
          <w:szCs w:val="32"/>
        </w:rPr>
        <w:t>102</w:t>
      </w:r>
      <w:proofErr w:type="gramEnd"/>
      <w:r w:rsidRPr="00FE7716">
        <w:rPr>
          <w:rFonts w:ascii="標楷體" w:eastAsia="標楷體" w:hAnsi="標楷體" w:hint="eastAsia"/>
          <w:color w:val="000000"/>
          <w:sz w:val="32"/>
          <w:szCs w:val="32"/>
        </w:rPr>
        <w:t>年度財務報告前，想變更前開豁免規定之選擇並重新計算</w:t>
      </w:r>
      <w:proofErr w:type="gramStart"/>
      <w:r w:rsidRPr="00FE7716">
        <w:rPr>
          <w:rFonts w:ascii="標楷體" w:eastAsia="標楷體" w:hAnsi="標楷體" w:hint="eastAsia"/>
          <w:color w:val="000000"/>
          <w:sz w:val="32"/>
          <w:szCs w:val="32"/>
        </w:rPr>
        <w:t>開帳</w:t>
      </w:r>
      <w:proofErr w:type="gramEnd"/>
      <w:r w:rsidRPr="00FE7716">
        <w:rPr>
          <w:rFonts w:ascii="標楷體" w:eastAsia="標楷體" w:hAnsi="標楷體" w:hint="eastAsia"/>
          <w:color w:val="000000"/>
          <w:sz w:val="32"/>
          <w:szCs w:val="32"/>
        </w:rPr>
        <w:t>數，可否修正?另102前3季各季財務報告是否需重編?</w:t>
      </w:r>
    </w:p>
    <w:p w:rsidR="005B7209" w:rsidRPr="00FE7716" w:rsidRDefault="00F0245A" w:rsidP="0066103C">
      <w:pPr>
        <w:spacing w:line="560" w:lineRule="exact"/>
        <w:ind w:left="566" w:hangingChars="177" w:hanging="566"/>
        <w:jc w:val="both"/>
        <w:rPr>
          <w:rFonts w:ascii="標楷體" w:eastAsia="標楷體" w:hAnsi="標楷體"/>
          <w:color w:val="000000"/>
          <w:sz w:val="32"/>
          <w:szCs w:val="32"/>
        </w:rPr>
      </w:pPr>
      <w:r w:rsidRPr="00FE7716">
        <w:rPr>
          <w:rFonts w:ascii="標楷體" w:eastAsia="標楷體" w:hAnsi="標楷體" w:hint="eastAsia"/>
          <w:color w:val="000000"/>
          <w:sz w:val="32"/>
          <w:szCs w:val="32"/>
        </w:rPr>
        <w:t>答:公司得在出具</w:t>
      </w:r>
      <w:proofErr w:type="gramStart"/>
      <w:r w:rsidRPr="00FE7716">
        <w:rPr>
          <w:rFonts w:ascii="標楷體" w:eastAsia="標楷體" w:hAnsi="標楷體" w:hint="eastAsia"/>
          <w:color w:val="000000"/>
          <w:sz w:val="32"/>
          <w:szCs w:val="32"/>
        </w:rPr>
        <w:t>102</w:t>
      </w:r>
      <w:proofErr w:type="gramEnd"/>
      <w:r w:rsidRPr="00FE7716">
        <w:rPr>
          <w:rFonts w:ascii="標楷體" w:eastAsia="標楷體" w:hAnsi="標楷體" w:hint="eastAsia"/>
          <w:color w:val="000000"/>
          <w:sz w:val="32"/>
          <w:szCs w:val="32"/>
        </w:rPr>
        <w:t>年度財務報告前變更豁免規定之選擇，</w:t>
      </w:r>
      <w:proofErr w:type="gramStart"/>
      <w:r w:rsidRPr="00FE7716">
        <w:rPr>
          <w:rFonts w:ascii="標楷體" w:eastAsia="標楷體" w:hAnsi="標楷體" w:hint="eastAsia"/>
          <w:color w:val="000000"/>
          <w:sz w:val="32"/>
          <w:szCs w:val="32"/>
        </w:rPr>
        <w:t>惟前開</w:t>
      </w:r>
      <w:proofErr w:type="gramEnd"/>
      <w:r w:rsidRPr="00FE7716">
        <w:rPr>
          <w:rFonts w:ascii="標楷體" w:eastAsia="標楷體" w:hAnsi="標楷體" w:hint="eastAsia"/>
          <w:color w:val="000000"/>
          <w:sz w:val="32"/>
          <w:szCs w:val="32"/>
        </w:rPr>
        <w:t>變更須經董事會通過；且影響</w:t>
      </w:r>
      <w:proofErr w:type="gramStart"/>
      <w:r w:rsidRPr="00FE7716">
        <w:rPr>
          <w:rFonts w:ascii="標楷體" w:eastAsia="標楷體" w:hAnsi="標楷體" w:hint="eastAsia"/>
          <w:color w:val="000000"/>
          <w:sz w:val="32"/>
          <w:szCs w:val="32"/>
        </w:rPr>
        <w:t>金額倘對股東權益</w:t>
      </w:r>
      <w:proofErr w:type="gramEnd"/>
      <w:r w:rsidRPr="00FE7716">
        <w:rPr>
          <w:rFonts w:ascii="標楷體" w:eastAsia="標楷體" w:hAnsi="標楷體" w:hint="eastAsia"/>
          <w:color w:val="000000"/>
          <w:sz w:val="32"/>
          <w:szCs w:val="32"/>
        </w:rPr>
        <w:lastRenderedPageBreak/>
        <w:t>或證券價格有重大影響者，</w:t>
      </w:r>
      <w:r w:rsidR="00781D4F" w:rsidRPr="00FE7716">
        <w:rPr>
          <w:rFonts w:ascii="標楷體" w:eastAsia="標楷體" w:hAnsi="標楷體" w:hint="eastAsia"/>
          <w:color w:val="000000"/>
          <w:sz w:val="32"/>
          <w:szCs w:val="32"/>
        </w:rPr>
        <w:t>需</w:t>
      </w:r>
      <w:r w:rsidRPr="00FE7716">
        <w:rPr>
          <w:rFonts w:ascii="標楷體" w:eastAsia="標楷體" w:hAnsi="標楷體" w:hint="eastAsia"/>
          <w:color w:val="000000"/>
          <w:sz w:val="32"/>
          <w:szCs w:val="32"/>
        </w:rPr>
        <w:t>另行發布重大訊息。另公司</w:t>
      </w:r>
      <w:r w:rsidR="00781D4F" w:rsidRPr="00FE7716">
        <w:rPr>
          <w:rFonts w:ascii="標楷體" w:eastAsia="標楷體" w:hAnsi="標楷體" w:hint="eastAsia"/>
          <w:color w:val="000000"/>
          <w:sz w:val="32"/>
          <w:szCs w:val="32"/>
        </w:rPr>
        <w:t>需</w:t>
      </w:r>
      <w:r w:rsidRPr="00FE7716">
        <w:rPr>
          <w:rFonts w:ascii="標楷體" w:eastAsia="標楷體" w:hAnsi="標楷體" w:hint="eastAsia"/>
          <w:color w:val="000000"/>
          <w:sz w:val="32"/>
          <w:szCs w:val="32"/>
        </w:rPr>
        <w:t>追溯調整</w:t>
      </w:r>
      <w:proofErr w:type="gramStart"/>
      <w:r w:rsidRPr="00FE7716">
        <w:rPr>
          <w:rFonts w:ascii="標楷體" w:eastAsia="標楷體" w:hAnsi="標楷體" w:hint="eastAsia"/>
          <w:color w:val="000000"/>
          <w:sz w:val="32"/>
          <w:szCs w:val="32"/>
        </w:rPr>
        <w:t>102</w:t>
      </w:r>
      <w:proofErr w:type="gramEnd"/>
      <w:r w:rsidRPr="00FE7716">
        <w:rPr>
          <w:rFonts w:ascii="標楷體" w:eastAsia="標楷體" w:hAnsi="標楷體" w:hint="eastAsia"/>
          <w:color w:val="000000"/>
          <w:sz w:val="32"/>
          <w:szCs w:val="32"/>
        </w:rPr>
        <w:t>年度財務報告所揭露之101年比較資訊，並於附註充分揭露豁免規定選擇變更之情事，</w:t>
      </w:r>
      <w:proofErr w:type="gramStart"/>
      <w:r w:rsidRPr="00FE7716">
        <w:rPr>
          <w:rFonts w:ascii="標楷體" w:eastAsia="標楷體" w:hAnsi="標楷體" w:hint="eastAsia"/>
          <w:color w:val="000000"/>
          <w:sz w:val="32"/>
          <w:szCs w:val="32"/>
        </w:rPr>
        <w:t>惟前已</w:t>
      </w:r>
      <w:proofErr w:type="gramEnd"/>
      <w:r w:rsidRPr="00FE7716">
        <w:rPr>
          <w:rFonts w:ascii="標楷體" w:eastAsia="標楷體" w:hAnsi="標楷體" w:hint="eastAsia"/>
          <w:color w:val="000000"/>
          <w:sz w:val="32"/>
          <w:szCs w:val="32"/>
        </w:rPr>
        <w:t>公告之102年前3季各季財務報告無</w:t>
      </w:r>
      <w:r w:rsidR="00781D4F" w:rsidRPr="00FE7716">
        <w:rPr>
          <w:rFonts w:ascii="標楷體" w:eastAsia="標楷體" w:hAnsi="標楷體" w:hint="eastAsia"/>
          <w:color w:val="000000"/>
          <w:sz w:val="32"/>
          <w:szCs w:val="32"/>
        </w:rPr>
        <w:t>需</w:t>
      </w:r>
      <w:r w:rsidRPr="00FE7716">
        <w:rPr>
          <w:rFonts w:ascii="標楷體" w:eastAsia="標楷體" w:hAnsi="標楷體" w:hint="eastAsia"/>
          <w:color w:val="000000"/>
          <w:sz w:val="32"/>
          <w:szCs w:val="32"/>
        </w:rPr>
        <w:t>重編。</w:t>
      </w:r>
    </w:p>
    <w:p w:rsidR="00781D4F" w:rsidRPr="00FE7716" w:rsidRDefault="00781D4F" w:rsidP="00781D4F">
      <w:pPr>
        <w:spacing w:line="560" w:lineRule="exact"/>
        <w:ind w:left="640" w:hangingChars="200" w:hanging="640"/>
        <w:jc w:val="both"/>
        <w:rPr>
          <w:rFonts w:ascii="標楷體" w:eastAsia="標楷體" w:hAnsi="標楷體"/>
          <w:sz w:val="32"/>
          <w:szCs w:val="32"/>
        </w:rPr>
      </w:pPr>
    </w:p>
    <w:p w:rsidR="00781D4F" w:rsidRPr="00FE7716" w:rsidRDefault="00781D4F" w:rsidP="00781D4F">
      <w:pPr>
        <w:pStyle w:val="a7"/>
        <w:numPr>
          <w:ilvl w:val="0"/>
          <w:numId w:val="4"/>
        </w:numPr>
        <w:spacing w:line="560" w:lineRule="exact"/>
        <w:ind w:leftChars="0" w:left="284" w:hanging="284"/>
        <w:jc w:val="both"/>
        <w:rPr>
          <w:rFonts w:ascii="標楷體" w:eastAsia="標楷體" w:hAnsi="標楷體"/>
          <w:sz w:val="32"/>
          <w:szCs w:val="32"/>
        </w:rPr>
      </w:pPr>
      <w:r w:rsidRPr="00FE7716">
        <w:rPr>
          <w:rFonts w:ascii="標楷體" w:eastAsia="標楷體" w:hAnsi="標楷體"/>
          <w:sz w:val="32"/>
          <w:szCs w:val="32"/>
        </w:rPr>
        <w:t>功能性委員會定義</w:t>
      </w:r>
      <w:r w:rsidRPr="00FE7716">
        <w:rPr>
          <w:rFonts w:ascii="標楷體" w:eastAsia="標楷體" w:hAnsi="標楷體" w:hint="eastAsia"/>
          <w:sz w:val="32"/>
          <w:szCs w:val="32"/>
        </w:rPr>
        <w:t>?審計委員會是否屬之?</w:t>
      </w:r>
    </w:p>
    <w:p w:rsidR="004B32CE" w:rsidRPr="00FE7716" w:rsidRDefault="00781D4F" w:rsidP="00781D4F">
      <w:pPr>
        <w:spacing w:line="560" w:lineRule="exact"/>
        <w:ind w:left="566" w:hangingChars="177" w:hanging="566"/>
        <w:jc w:val="both"/>
        <w:rPr>
          <w:rFonts w:ascii="標楷體" w:eastAsia="標楷體" w:hAnsi="標楷體"/>
          <w:sz w:val="32"/>
          <w:szCs w:val="32"/>
        </w:rPr>
      </w:pPr>
      <w:r w:rsidRPr="00FE7716">
        <w:rPr>
          <w:rFonts w:ascii="標楷體" w:eastAsia="標楷體" w:hAnsi="標楷體" w:hint="eastAsia"/>
          <w:sz w:val="32"/>
          <w:szCs w:val="32"/>
        </w:rPr>
        <w:t>答：功能性委員會係依「上市上櫃公司治理實務守則」第27條之規定設置，其中審計委員會亦屬其規範範疇，並應依「證券交易法」第14條之4規定行使相關權責。</w:t>
      </w:r>
    </w:p>
    <w:p w:rsidR="00781D4F" w:rsidRPr="00FE7716" w:rsidRDefault="00781D4F" w:rsidP="00781D4F">
      <w:pPr>
        <w:spacing w:line="560" w:lineRule="exact"/>
        <w:ind w:left="566" w:hangingChars="177" w:hanging="566"/>
        <w:jc w:val="both"/>
        <w:rPr>
          <w:rFonts w:ascii="標楷體" w:eastAsia="標楷體" w:hAnsi="標楷體"/>
          <w:color w:val="000000"/>
          <w:sz w:val="32"/>
          <w:szCs w:val="32"/>
        </w:rPr>
      </w:pPr>
    </w:p>
    <w:p w:rsidR="00A43E80" w:rsidRPr="00FE7716" w:rsidRDefault="001859CD" w:rsidP="00A43E80">
      <w:pPr>
        <w:pStyle w:val="a7"/>
        <w:numPr>
          <w:ilvl w:val="0"/>
          <w:numId w:val="5"/>
        </w:numPr>
        <w:spacing w:line="560" w:lineRule="exact"/>
        <w:ind w:leftChars="0"/>
        <w:rPr>
          <w:rFonts w:ascii="標楷體" w:eastAsia="標楷體" w:hAnsi="標楷體"/>
          <w:color w:val="000000"/>
          <w:sz w:val="32"/>
          <w:szCs w:val="32"/>
        </w:rPr>
      </w:pPr>
      <w:r w:rsidRPr="00FE7716">
        <w:rPr>
          <w:rFonts w:ascii="標楷體" w:eastAsia="標楷體" w:hAnsi="標楷體"/>
          <w:color w:val="000000"/>
          <w:sz w:val="32"/>
          <w:szCs w:val="32"/>
        </w:rPr>
        <w:t>有關設置審計委員會事宜，是否有公司章程關於監察人廢止與設置前述委員會之建議資訊供參</w:t>
      </w:r>
      <w:r w:rsidRPr="00FE7716">
        <w:rPr>
          <w:rFonts w:ascii="標楷體" w:eastAsia="標楷體" w:hAnsi="標楷體" w:hint="eastAsia"/>
          <w:color w:val="000000"/>
          <w:sz w:val="32"/>
          <w:szCs w:val="32"/>
        </w:rPr>
        <w:t>?</w:t>
      </w:r>
    </w:p>
    <w:p w:rsidR="005B7209" w:rsidRPr="00FE7716" w:rsidRDefault="00A43E80" w:rsidP="0066103C">
      <w:pPr>
        <w:spacing w:line="560" w:lineRule="exact"/>
        <w:ind w:left="566" w:hangingChars="177" w:hanging="566"/>
        <w:jc w:val="both"/>
        <w:rPr>
          <w:rFonts w:ascii="標楷體" w:eastAsia="標楷體" w:hAnsi="標楷體"/>
          <w:color w:val="000000"/>
          <w:sz w:val="32"/>
          <w:szCs w:val="32"/>
        </w:rPr>
      </w:pPr>
      <w:r w:rsidRPr="00FE7716">
        <w:rPr>
          <w:rFonts w:ascii="標楷體" w:eastAsia="標楷體" w:hAnsi="標楷體" w:hint="eastAsia"/>
          <w:color w:val="000000"/>
          <w:sz w:val="32"/>
          <w:szCs w:val="32"/>
        </w:rPr>
        <w:t>答：請參證券期貨局網站「</w:t>
      </w:r>
      <w:hyperlink r:id="rId8" w:history="1">
        <w:r w:rsidRPr="00FE7716">
          <w:rPr>
            <w:rFonts w:ascii="標楷體" w:eastAsia="標楷體" w:hAnsi="標楷體"/>
            <w:color w:val="000000"/>
            <w:sz w:val="32"/>
            <w:szCs w:val="32"/>
          </w:rPr>
          <w:t>首頁</w:t>
        </w:r>
      </w:hyperlink>
      <w:r w:rsidRPr="00FE7716">
        <w:rPr>
          <w:rFonts w:ascii="標楷體" w:eastAsia="標楷體" w:hAnsi="標楷體"/>
          <w:color w:val="000000"/>
          <w:sz w:val="32"/>
          <w:szCs w:val="32"/>
        </w:rPr>
        <w:t xml:space="preserve"> &gt; </w:t>
      </w:r>
      <w:hyperlink r:id="rId9" w:history="1">
        <w:r w:rsidRPr="00FE7716">
          <w:rPr>
            <w:rFonts w:ascii="標楷體" w:eastAsia="標楷體" w:hAnsi="標楷體"/>
            <w:color w:val="000000"/>
            <w:sz w:val="32"/>
            <w:szCs w:val="32"/>
          </w:rPr>
          <w:t>便民服務</w:t>
        </w:r>
      </w:hyperlink>
      <w:r w:rsidRPr="00FE7716">
        <w:rPr>
          <w:rFonts w:ascii="標楷體" w:eastAsia="標楷體" w:hAnsi="標楷體"/>
          <w:color w:val="000000"/>
          <w:sz w:val="32"/>
          <w:szCs w:val="32"/>
        </w:rPr>
        <w:t xml:space="preserve"> &gt; </w:t>
      </w:r>
      <w:hyperlink r:id="rId10" w:history="1">
        <w:r w:rsidRPr="00FE7716">
          <w:rPr>
            <w:rFonts w:ascii="標楷體" w:eastAsia="標楷體" w:hAnsi="標楷體"/>
            <w:color w:val="000000"/>
            <w:sz w:val="32"/>
            <w:szCs w:val="32"/>
          </w:rPr>
          <w:t>問答集</w:t>
        </w:r>
      </w:hyperlink>
      <w:r w:rsidRPr="00FE7716">
        <w:rPr>
          <w:rFonts w:ascii="標楷體" w:eastAsia="標楷體" w:hAnsi="標楷體" w:hint="eastAsia"/>
          <w:color w:val="000000"/>
          <w:sz w:val="32"/>
          <w:szCs w:val="32"/>
        </w:rPr>
        <w:t xml:space="preserve"> &gt; 8.公司治理問答集(2)審計委員會篇」第2題及第3題之內容。</w:t>
      </w:r>
    </w:p>
    <w:p w:rsidR="004B32CE" w:rsidRPr="00FE7716" w:rsidRDefault="004B32CE" w:rsidP="00A43E80">
      <w:pPr>
        <w:spacing w:line="560" w:lineRule="exact"/>
        <w:ind w:left="640" w:hangingChars="200" w:hanging="640"/>
        <w:jc w:val="both"/>
        <w:rPr>
          <w:rFonts w:ascii="標楷體" w:eastAsia="標楷體" w:hAnsi="標楷體"/>
          <w:color w:val="000000"/>
          <w:sz w:val="32"/>
          <w:szCs w:val="32"/>
        </w:rPr>
      </w:pPr>
    </w:p>
    <w:p w:rsidR="004B32CE" w:rsidRPr="00FE7716" w:rsidRDefault="00A43E80" w:rsidP="00E53BD7">
      <w:pPr>
        <w:pStyle w:val="a7"/>
        <w:numPr>
          <w:ilvl w:val="0"/>
          <w:numId w:val="5"/>
        </w:numPr>
        <w:spacing w:line="560" w:lineRule="exact"/>
        <w:ind w:leftChars="0"/>
        <w:rPr>
          <w:rFonts w:ascii="標楷體" w:eastAsia="標楷體" w:hAnsi="標楷體"/>
          <w:color w:val="000000"/>
          <w:sz w:val="32"/>
          <w:szCs w:val="32"/>
        </w:rPr>
      </w:pPr>
      <w:r w:rsidRPr="00FE7716">
        <w:rPr>
          <w:rFonts w:ascii="標楷體" w:eastAsia="標楷體" w:hAnsi="標楷體" w:hint="eastAsia"/>
          <w:color w:val="000000"/>
          <w:sz w:val="32"/>
          <w:szCs w:val="32"/>
        </w:rPr>
        <w:t>依據「公司治理問答集-董事會議事辦法篇」第16及18所示：</w:t>
      </w:r>
      <w:r w:rsidR="00E53BD7" w:rsidRPr="00FE7716">
        <w:rPr>
          <w:rFonts w:ascii="標楷體" w:eastAsia="標楷體" w:hAnsi="標楷體" w:hint="eastAsia"/>
          <w:color w:val="000000"/>
          <w:sz w:val="32"/>
          <w:szCs w:val="32"/>
        </w:rPr>
        <w:t>(1)</w:t>
      </w:r>
      <w:r w:rsidRPr="00FE7716">
        <w:rPr>
          <w:rFonts w:ascii="標楷體" w:eastAsia="標楷體" w:hAnsi="標楷體" w:hint="eastAsia"/>
          <w:color w:val="000000"/>
          <w:sz w:val="32"/>
          <w:szCs w:val="32"/>
        </w:rPr>
        <w:t>董事會無休會規定，</w:t>
      </w:r>
      <w:proofErr w:type="gramStart"/>
      <w:r w:rsidRPr="00FE7716">
        <w:rPr>
          <w:rFonts w:ascii="標楷體" w:eastAsia="標楷體" w:hAnsi="標楷體" w:hint="eastAsia"/>
          <w:color w:val="000000"/>
          <w:sz w:val="32"/>
          <w:szCs w:val="32"/>
        </w:rPr>
        <w:t>仍需訂定</w:t>
      </w:r>
      <w:proofErr w:type="gramEnd"/>
      <w:r w:rsidRPr="00FE7716">
        <w:rPr>
          <w:rFonts w:ascii="標楷體" w:eastAsia="標楷體" w:hAnsi="標楷體" w:hint="eastAsia"/>
          <w:color w:val="000000"/>
          <w:sz w:val="32"/>
          <w:szCs w:val="32"/>
        </w:rPr>
        <w:t>授權行使董事會職權事項?</w:t>
      </w:r>
      <w:r w:rsidR="00E53BD7" w:rsidRPr="00FE7716">
        <w:rPr>
          <w:rFonts w:ascii="標楷體" w:eastAsia="標楷體" w:hAnsi="標楷體" w:hint="eastAsia"/>
          <w:color w:val="000000"/>
          <w:sz w:val="32"/>
          <w:szCs w:val="32"/>
        </w:rPr>
        <w:t>(2)</w:t>
      </w:r>
      <w:r w:rsidR="004B32CE" w:rsidRPr="00FE7716">
        <w:rPr>
          <w:rFonts w:ascii="標楷體" w:eastAsia="標楷體" w:hAnsi="標楷體" w:hint="eastAsia"/>
          <w:color w:val="000000"/>
          <w:sz w:val="32"/>
          <w:szCs w:val="32"/>
        </w:rPr>
        <w:t>董事會授權範圍應如何訂定才符合具體明確?</w:t>
      </w:r>
      <w:proofErr w:type="gramStart"/>
      <w:r w:rsidR="004B32CE" w:rsidRPr="00FE7716">
        <w:rPr>
          <w:rFonts w:ascii="標楷體" w:eastAsia="標楷體" w:hAnsi="標楷體" w:hint="eastAsia"/>
          <w:color w:val="000000"/>
          <w:sz w:val="32"/>
          <w:szCs w:val="32"/>
        </w:rPr>
        <w:t>應例示</w:t>
      </w:r>
      <w:proofErr w:type="gramEnd"/>
      <w:r w:rsidR="004B32CE" w:rsidRPr="00FE7716">
        <w:rPr>
          <w:rFonts w:ascii="標楷體" w:eastAsia="標楷體" w:hAnsi="標楷體" w:hint="eastAsia"/>
          <w:color w:val="000000"/>
          <w:sz w:val="32"/>
          <w:szCs w:val="32"/>
        </w:rPr>
        <w:t>之?</w:t>
      </w:r>
      <w:r w:rsidR="00E53BD7" w:rsidRPr="00FE7716">
        <w:rPr>
          <w:rFonts w:ascii="標楷體" w:eastAsia="標楷體" w:hAnsi="標楷體" w:hint="eastAsia"/>
          <w:color w:val="000000"/>
          <w:sz w:val="32"/>
          <w:szCs w:val="32"/>
        </w:rPr>
        <w:t>(3)</w:t>
      </w:r>
      <w:r w:rsidR="004B32CE" w:rsidRPr="00FE7716">
        <w:rPr>
          <w:rFonts w:ascii="標楷體" w:eastAsia="標楷體" w:hAnsi="標楷體" w:hint="eastAsia"/>
          <w:color w:val="000000"/>
          <w:sz w:val="32"/>
          <w:szCs w:val="32"/>
        </w:rPr>
        <w:t>依據公司法202條所指董事會之權限，範圍很大，是否可以非屬「公開發行公司董事會議事辦法」第7條之事務即可作授權?</w:t>
      </w:r>
    </w:p>
    <w:p w:rsidR="004B32CE" w:rsidRPr="00FE7716" w:rsidRDefault="004B32CE" w:rsidP="00E53BD7">
      <w:pPr>
        <w:spacing w:line="560" w:lineRule="exact"/>
        <w:ind w:left="640" w:hangingChars="200" w:hanging="640"/>
        <w:rPr>
          <w:rFonts w:ascii="標楷體" w:eastAsia="標楷體" w:hAnsi="標楷體"/>
          <w:color w:val="000000"/>
          <w:sz w:val="32"/>
          <w:szCs w:val="32"/>
        </w:rPr>
      </w:pPr>
      <w:r w:rsidRPr="00FE7716">
        <w:rPr>
          <w:rFonts w:ascii="標楷體" w:eastAsia="標楷體" w:hAnsi="標楷體" w:hint="eastAsia"/>
          <w:color w:val="000000"/>
          <w:sz w:val="32"/>
          <w:szCs w:val="32"/>
        </w:rPr>
        <w:t>答：</w:t>
      </w:r>
      <w:r w:rsidR="00E53BD7" w:rsidRPr="00FE7716">
        <w:rPr>
          <w:rFonts w:ascii="標楷體" w:eastAsia="標楷體" w:hAnsi="標楷體" w:hint="eastAsia"/>
          <w:color w:val="000000"/>
          <w:sz w:val="32"/>
          <w:szCs w:val="32"/>
        </w:rPr>
        <w:t>(1)</w:t>
      </w:r>
      <w:r w:rsidRPr="00FE7716">
        <w:rPr>
          <w:rFonts w:ascii="標楷體" w:eastAsia="標楷體" w:hAnsi="標楷體" w:hint="eastAsia"/>
          <w:color w:val="000000"/>
          <w:sz w:val="32"/>
          <w:szCs w:val="32"/>
        </w:rPr>
        <w:t>如董事會無休會，皆可由董事會決議行使職權，自無需訂定授權行使之事項。</w:t>
      </w:r>
      <w:r w:rsidR="00E53BD7" w:rsidRPr="00FE7716">
        <w:rPr>
          <w:rFonts w:ascii="標楷體" w:eastAsia="標楷體" w:hAnsi="標楷體" w:hint="eastAsia"/>
          <w:color w:val="000000"/>
          <w:sz w:val="32"/>
          <w:szCs w:val="32"/>
        </w:rPr>
        <w:t>(2)</w:t>
      </w:r>
      <w:r w:rsidRPr="00FE7716">
        <w:rPr>
          <w:rFonts w:ascii="標楷體" w:eastAsia="標楷體" w:hAnsi="標楷體" w:hint="eastAsia"/>
          <w:color w:val="000000"/>
          <w:sz w:val="32"/>
          <w:szCs w:val="32"/>
        </w:rPr>
        <w:t>須視具體個案判斷之。</w:t>
      </w:r>
      <w:r w:rsidR="00E53BD7" w:rsidRPr="00FE7716">
        <w:rPr>
          <w:rFonts w:ascii="標楷體" w:eastAsia="標楷體" w:hAnsi="標楷體" w:hint="eastAsia"/>
          <w:color w:val="000000"/>
          <w:sz w:val="32"/>
          <w:szCs w:val="32"/>
        </w:rPr>
        <w:lastRenderedPageBreak/>
        <w:t>(3)</w:t>
      </w:r>
      <w:r w:rsidRPr="00FE7716">
        <w:rPr>
          <w:rFonts w:ascii="標楷體" w:eastAsia="標楷體" w:hAnsi="標楷體" w:hint="eastAsia"/>
          <w:color w:val="000000"/>
          <w:sz w:val="32"/>
          <w:szCs w:val="32"/>
        </w:rPr>
        <w:t>須注意授權範圍不得</w:t>
      </w:r>
      <w:r w:rsidRPr="00FE7716">
        <w:rPr>
          <w:rFonts w:ascii="標楷體" w:eastAsia="標楷體" w:hAnsi="標楷體"/>
          <w:color w:val="000000"/>
          <w:sz w:val="32"/>
          <w:szCs w:val="32"/>
        </w:rPr>
        <w:t>包括法令規定</w:t>
      </w:r>
      <w:r w:rsidRPr="00FE7716">
        <w:rPr>
          <w:rFonts w:ascii="標楷體" w:eastAsia="標楷體" w:hAnsi="標楷體" w:hint="eastAsia"/>
          <w:color w:val="000000"/>
          <w:sz w:val="32"/>
          <w:szCs w:val="32"/>
        </w:rPr>
        <w:t>（包含公司法、證交法、公開發行公司董事會議事辦法等）</w:t>
      </w:r>
      <w:r w:rsidRPr="00FE7716">
        <w:rPr>
          <w:rFonts w:ascii="標楷體" w:eastAsia="標楷體" w:hAnsi="標楷體"/>
          <w:color w:val="000000"/>
          <w:sz w:val="32"/>
          <w:szCs w:val="32"/>
        </w:rPr>
        <w:t>應提董事會討論事項</w:t>
      </w:r>
      <w:r w:rsidRPr="00FE7716">
        <w:rPr>
          <w:rFonts w:ascii="標楷體" w:eastAsia="標楷體" w:hAnsi="標楷體" w:hint="eastAsia"/>
          <w:color w:val="000000"/>
          <w:sz w:val="32"/>
          <w:szCs w:val="32"/>
        </w:rPr>
        <w:t>。至於非屬法令規定應提董事會討論者，其事務之授權</w:t>
      </w:r>
      <w:proofErr w:type="gramStart"/>
      <w:r w:rsidRPr="00FE7716">
        <w:rPr>
          <w:rFonts w:ascii="標楷體" w:eastAsia="標楷體" w:hAnsi="標楷體" w:hint="eastAsia"/>
          <w:color w:val="000000"/>
          <w:sz w:val="32"/>
          <w:szCs w:val="32"/>
        </w:rPr>
        <w:t>範圍允屬公司</w:t>
      </w:r>
      <w:proofErr w:type="gramEnd"/>
      <w:r w:rsidRPr="00FE7716">
        <w:rPr>
          <w:rFonts w:ascii="標楷體" w:eastAsia="標楷體" w:hAnsi="標楷體" w:hint="eastAsia"/>
          <w:color w:val="000000"/>
          <w:sz w:val="32"/>
          <w:szCs w:val="32"/>
        </w:rPr>
        <w:t>自治事項。</w:t>
      </w:r>
    </w:p>
    <w:p w:rsidR="00A872A2" w:rsidRPr="00FE7716" w:rsidRDefault="00A872A2" w:rsidP="004B32CE">
      <w:pPr>
        <w:pStyle w:val="a7"/>
        <w:spacing w:line="560" w:lineRule="exact"/>
        <w:ind w:leftChars="0" w:left="960"/>
        <w:rPr>
          <w:rFonts w:ascii="標楷體" w:eastAsia="標楷體" w:hAnsi="標楷體"/>
          <w:color w:val="000000"/>
          <w:sz w:val="32"/>
          <w:szCs w:val="32"/>
        </w:rPr>
      </w:pPr>
    </w:p>
    <w:p w:rsidR="00A872A2" w:rsidRPr="00FE7716" w:rsidRDefault="00A872A2" w:rsidP="00A872A2">
      <w:pPr>
        <w:pStyle w:val="a7"/>
        <w:numPr>
          <w:ilvl w:val="0"/>
          <w:numId w:val="4"/>
        </w:numPr>
        <w:spacing w:line="560" w:lineRule="exact"/>
        <w:ind w:leftChars="0" w:left="567" w:hanging="567"/>
        <w:rPr>
          <w:rFonts w:ascii="標楷體" w:eastAsia="標楷體" w:hAnsi="標楷體"/>
          <w:color w:val="000000"/>
          <w:sz w:val="32"/>
          <w:szCs w:val="32"/>
        </w:rPr>
      </w:pPr>
      <w:r w:rsidRPr="00FE7716">
        <w:rPr>
          <w:rFonts w:ascii="標楷體" w:eastAsia="標楷體" w:hAnsi="標楷體" w:hint="eastAsia"/>
          <w:color w:val="000000"/>
          <w:sz w:val="32"/>
          <w:szCs w:val="32"/>
        </w:rPr>
        <w:t>未達強制設置審計委員會之上市公司於設立獨立董事時，是否其中一獨立董事應為具備財務或會計專長?</w:t>
      </w:r>
    </w:p>
    <w:p w:rsidR="00A872A2" w:rsidRDefault="00A872A2" w:rsidP="00A872A2">
      <w:pPr>
        <w:spacing w:line="560" w:lineRule="exact"/>
        <w:ind w:left="640" w:hangingChars="200" w:hanging="640"/>
        <w:rPr>
          <w:rFonts w:ascii="標楷體" w:eastAsia="標楷體" w:hAnsi="標楷體"/>
          <w:color w:val="000000"/>
          <w:sz w:val="32"/>
          <w:szCs w:val="32"/>
        </w:rPr>
      </w:pPr>
      <w:r w:rsidRPr="00FE7716">
        <w:rPr>
          <w:rFonts w:ascii="標楷體" w:eastAsia="標楷體" w:hAnsi="標楷體" w:hint="eastAsia"/>
          <w:color w:val="000000"/>
          <w:sz w:val="32"/>
          <w:szCs w:val="32"/>
        </w:rPr>
        <w:t>答：</w:t>
      </w:r>
      <w:r w:rsidR="00060979">
        <w:rPr>
          <w:rFonts w:ascii="標楷體" w:eastAsia="標楷體" w:hAnsi="標楷體" w:hint="eastAsia"/>
          <w:color w:val="000000"/>
          <w:sz w:val="32"/>
          <w:szCs w:val="32"/>
        </w:rPr>
        <w:t>未設置審計委員會之上市公司，若為91年2月22日以後申請上市者（不含91年2月22日至93年12月31日間申請上櫃轉上市者），應依本公司「有價證券上市審查準則」選任獨立董事不得</w:t>
      </w:r>
      <w:r w:rsidR="00060979" w:rsidRPr="0067461B">
        <w:rPr>
          <w:rFonts w:ascii="標楷體" w:eastAsia="標楷體" w:hAnsi="標楷體" w:hint="eastAsia"/>
          <w:color w:val="000000"/>
          <w:sz w:val="32"/>
          <w:szCs w:val="32"/>
        </w:rPr>
        <w:t>少於二人</w:t>
      </w:r>
      <w:r w:rsidR="00060979">
        <w:rPr>
          <w:rFonts w:ascii="標楷體" w:eastAsia="標楷體" w:hAnsi="標楷體" w:hint="eastAsia"/>
          <w:color w:val="000000"/>
          <w:sz w:val="32"/>
          <w:szCs w:val="32"/>
        </w:rPr>
        <w:t>且</w:t>
      </w:r>
      <w:r w:rsidR="00060979" w:rsidRPr="0067461B">
        <w:rPr>
          <w:rFonts w:ascii="標楷體" w:eastAsia="標楷體" w:hAnsi="標楷體" w:hint="eastAsia"/>
          <w:color w:val="000000"/>
          <w:sz w:val="32"/>
          <w:szCs w:val="32"/>
        </w:rPr>
        <w:t>其中至少一人須為會計或財務專業人士</w:t>
      </w:r>
      <w:r w:rsidR="00060979">
        <w:rPr>
          <w:rFonts w:ascii="標楷體" w:eastAsia="標楷體" w:hAnsi="標楷體" w:hint="eastAsia"/>
          <w:color w:val="000000"/>
          <w:sz w:val="32"/>
          <w:szCs w:val="32"/>
        </w:rPr>
        <w:t>；其他上市公司請依據證券交易法、「公開發行公司獨立董事設置及應遵循事項辦法」及主管機關函令選任獨立董事。</w:t>
      </w:r>
    </w:p>
    <w:p w:rsidR="00F65D89" w:rsidRPr="00FE7716" w:rsidRDefault="00F65D89" w:rsidP="00A872A2">
      <w:pPr>
        <w:spacing w:line="560" w:lineRule="exact"/>
        <w:ind w:left="640" w:hangingChars="200" w:hanging="640"/>
        <w:rPr>
          <w:rFonts w:ascii="標楷體" w:eastAsia="標楷體" w:hAnsi="標楷體"/>
          <w:color w:val="000000"/>
          <w:sz w:val="32"/>
          <w:szCs w:val="32"/>
        </w:rPr>
      </w:pPr>
    </w:p>
    <w:p w:rsidR="00A872A2" w:rsidRPr="00FE7716" w:rsidRDefault="00A872A2" w:rsidP="00A872A2">
      <w:pPr>
        <w:pStyle w:val="a7"/>
        <w:numPr>
          <w:ilvl w:val="0"/>
          <w:numId w:val="4"/>
        </w:numPr>
        <w:spacing w:line="560" w:lineRule="exact"/>
        <w:ind w:leftChars="0" w:left="567" w:hanging="567"/>
        <w:rPr>
          <w:rFonts w:ascii="標楷體" w:eastAsia="標楷體" w:hAnsi="標楷體"/>
          <w:color w:val="000000"/>
          <w:sz w:val="32"/>
          <w:szCs w:val="32"/>
        </w:rPr>
      </w:pPr>
      <w:r w:rsidRPr="00FE7716">
        <w:rPr>
          <w:rFonts w:ascii="標楷體" w:eastAsia="標楷體" w:hAnsi="標楷體" w:hint="eastAsia"/>
          <w:sz w:val="32"/>
          <w:szCs w:val="32"/>
        </w:rPr>
        <w:t>目前候選人提名須於停過時公告</w:t>
      </w:r>
      <w:proofErr w:type="gramStart"/>
      <w:r w:rsidRPr="00FE7716">
        <w:rPr>
          <w:rFonts w:ascii="標楷體" w:eastAsia="標楷體" w:hAnsi="標楷體"/>
          <w:sz w:val="32"/>
          <w:szCs w:val="32"/>
        </w:rPr>
        <w:t>〝</w:t>
      </w:r>
      <w:proofErr w:type="gramEnd"/>
      <w:r w:rsidRPr="00FE7716">
        <w:rPr>
          <w:rFonts w:ascii="標楷體" w:eastAsia="標楷體" w:hAnsi="標楷體"/>
          <w:sz w:val="32"/>
          <w:szCs w:val="32"/>
        </w:rPr>
        <w:t>受理提名</w:t>
      </w:r>
      <w:proofErr w:type="gramStart"/>
      <w:r w:rsidRPr="00FE7716">
        <w:rPr>
          <w:rFonts w:ascii="標楷體" w:eastAsia="標楷體" w:hAnsi="標楷體"/>
          <w:sz w:val="32"/>
          <w:szCs w:val="32"/>
        </w:rPr>
        <w:t>〞</w:t>
      </w:r>
      <w:proofErr w:type="gramEnd"/>
      <w:r w:rsidRPr="00FE7716">
        <w:rPr>
          <w:rFonts w:ascii="標楷體" w:eastAsia="標楷體" w:hAnsi="標楷體"/>
          <w:sz w:val="32"/>
          <w:szCs w:val="32"/>
        </w:rPr>
        <w:t>，為何須於提早停過前</w:t>
      </w:r>
      <w:r w:rsidRPr="00FE7716">
        <w:rPr>
          <w:rFonts w:ascii="標楷體" w:eastAsia="標楷體" w:hAnsi="標楷體" w:hint="eastAsia"/>
          <w:sz w:val="32"/>
          <w:szCs w:val="32"/>
        </w:rPr>
        <w:t>50~80日前開始，如何計算?</w:t>
      </w:r>
    </w:p>
    <w:p w:rsidR="00A872A2" w:rsidRPr="00FE7716" w:rsidRDefault="00A872A2" w:rsidP="00A872A2">
      <w:pPr>
        <w:spacing w:line="560" w:lineRule="exact"/>
        <w:ind w:left="566" w:hangingChars="177" w:hanging="566"/>
        <w:rPr>
          <w:rFonts w:ascii="標楷體" w:eastAsia="標楷體" w:hAnsi="標楷體"/>
          <w:color w:val="000000"/>
          <w:sz w:val="32"/>
          <w:szCs w:val="32"/>
        </w:rPr>
      </w:pPr>
      <w:r w:rsidRPr="00FE7716">
        <w:rPr>
          <w:rFonts w:ascii="標楷體" w:eastAsia="標楷體" w:hAnsi="標楷體" w:hint="eastAsia"/>
          <w:color w:val="000000"/>
          <w:sz w:val="32"/>
          <w:szCs w:val="32"/>
        </w:rPr>
        <w:t>答：</w:t>
      </w:r>
      <w:proofErr w:type="gramStart"/>
      <w:r w:rsidRPr="00FE7716">
        <w:rPr>
          <w:rFonts w:ascii="標楷體" w:eastAsia="標楷體" w:hAnsi="標楷體" w:hint="eastAsia"/>
          <w:color w:val="000000"/>
          <w:sz w:val="32"/>
          <w:szCs w:val="32"/>
        </w:rPr>
        <w:t>採</w:t>
      </w:r>
      <w:proofErr w:type="gramEnd"/>
      <w:r w:rsidRPr="00FE7716">
        <w:rPr>
          <w:rFonts w:ascii="標楷體" w:eastAsia="標楷體" w:hAnsi="標楷體" w:hint="eastAsia"/>
          <w:color w:val="000000"/>
          <w:sz w:val="32"/>
          <w:szCs w:val="32"/>
        </w:rPr>
        <w:t>候選人提名制度者，依「公司法」第192-1條第1項，應於停止過戶日前公告受理提名，受理時間不得少於10天，而停止過戶日期須先經董事會通過，董事會每季至少召開一次，又公司董事會提候選人名單亦須作業時間，考量各公司召開董事會期間不一，可能須經兩次董事會討論致前置作業時間延長，</w:t>
      </w:r>
      <w:proofErr w:type="gramStart"/>
      <w:r w:rsidRPr="00FE7716">
        <w:rPr>
          <w:rFonts w:ascii="標楷體" w:eastAsia="標楷體" w:hAnsi="標楷體" w:hint="eastAsia"/>
          <w:color w:val="000000"/>
          <w:sz w:val="32"/>
          <w:szCs w:val="32"/>
        </w:rPr>
        <w:t>爰</w:t>
      </w:r>
      <w:proofErr w:type="gramEnd"/>
      <w:r w:rsidRPr="00FE7716">
        <w:rPr>
          <w:rFonts w:ascii="標楷體" w:eastAsia="標楷體" w:hAnsi="標楷體" w:hint="eastAsia"/>
          <w:color w:val="000000"/>
          <w:sz w:val="32"/>
          <w:szCs w:val="32"/>
        </w:rPr>
        <w:t>建議提前辦理為宜。</w:t>
      </w:r>
    </w:p>
    <w:p w:rsidR="00A872A2" w:rsidRPr="00FE7716" w:rsidRDefault="00A872A2" w:rsidP="004B32CE">
      <w:pPr>
        <w:pStyle w:val="a7"/>
        <w:spacing w:line="560" w:lineRule="exact"/>
        <w:ind w:leftChars="0" w:left="960"/>
        <w:rPr>
          <w:rFonts w:ascii="標楷體" w:eastAsia="標楷體" w:hAnsi="標楷體"/>
          <w:color w:val="000000"/>
          <w:sz w:val="32"/>
          <w:szCs w:val="32"/>
        </w:rPr>
      </w:pPr>
    </w:p>
    <w:p w:rsidR="00A831AF" w:rsidRPr="00FE7716" w:rsidRDefault="004B32CE" w:rsidP="004B32CE">
      <w:pPr>
        <w:pStyle w:val="a7"/>
        <w:numPr>
          <w:ilvl w:val="0"/>
          <w:numId w:val="5"/>
        </w:numPr>
        <w:spacing w:line="560" w:lineRule="exact"/>
        <w:ind w:leftChars="0"/>
        <w:rPr>
          <w:rFonts w:ascii="標楷體" w:eastAsia="標楷體" w:hAnsi="標楷體"/>
          <w:color w:val="000000"/>
          <w:sz w:val="32"/>
          <w:szCs w:val="32"/>
        </w:rPr>
      </w:pPr>
      <w:r w:rsidRPr="00FE7716">
        <w:rPr>
          <w:rFonts w:ascii="標楷體" w:eastAsia="標楷體" w:hAnsi="標楷體" w:hint="eastAsia"/>
          <w:color w:val="000000"/>
          <w:sz w:val="32"/>
          <w:szCs w:val="32"/>
        </w:rPr>
        <w:lastRenderedPageBreak/>
        <w:t>為響應公文電子交換，減少用紙，減少碳排放量，節能</w:t>
      </w:r>
      <w:proofErr w:type="gramStart"/>
      <w:r w:rsidRPr="00FE7716">
        <w:rPr>
          <w:rFonts w:ascii="標楷體" w:eastAsia="標楷體" w:hAnsi="標楷體" w:hint="eastAsia"/>
          <w:color w:val="000000"/>
          <w:sz w:val="32"/>
          <w:szCs w:val="32"/>
        </w:rPr>
        <w:t>減碳愛</w:t>
      </w:r>
      <w:proofErr w:type="gramEnd"/>
      <w:r w:rsidRPr="00FE7716">
        <w:rPr>
          <w:rFonts w:ascii="標楷體" w:eastAsia="標楷體" w:hAnsi="標楷體" w:hint="eastAsia"/>
          <w:color w:val="000000"/>
          <w:sz w:val="32"/>
          <w:szCs w:val="32"/>
        </w:rPr>
        <w:t>台灣，請問</w:t>
      </w:r>
      <w:proofErr w:type="gramStart"/>
      <w:r w:rsidRPr="00FE7716">
        <w:rPr>
          <w:rFonts w:ascii="標楷體" w:eastAsia="標楷體" w:hAnsi="標楷體" w:hint="eastAsia"/>
          <w:color w:val="000000"/>
          <w:sz w:val="32"/>
          <w:szCs w:val="32"/>
        </w:rPr>
        <w:t>每季需檢</w:t>
      </w:r>
      <w:proofErr w:type="gramEnd"/>
      <w:r w:rsidRPr="00FE7716">
        <w:rPr>
          <w:rFonts w:ascii="標楷體" w:eastAsia="標楷體" w:hAnsi="標楷體" w:hint="eastAsia"/>
          <w:color w:val="000000"/>
          <w:sz w:val="32"/>
          <w:szCs w:val="32"/>
        </w:rPr>
        <w:t>送2份財報</w:t>
      </w:r>
      <w:r w:rsidR="00E66276" w:rsidRPr="00FE7716">
        <w:rPr>
          <w:rFonts w:ascii="標楷體" w:eastAsia="標楷體" w:hAnsi="標楷體" w:hint="eastAsia"/>
          <w:color w:val="000000"/>
          <w:sz w:val="32"/>
          <w:szCs w:val="32"/>
        </w:rPr>
        <w:t>與</w:t>
      </w:r>
      <w:r w:rsidRPr="00FE7716">
        <w:rPr>
          <w:rFonts w:ascii="標楷體" w:eastAsia="標楷體" w:hAnsi="標楷體" w:hint="eastAsia"/>
          <w:color w:val="000000"/>
          <w:sz w:val="32"/>
          <w:szCs w:val="32"/>
        </w:rPr>
        <w:t>貴公司，因該財報已上傳電子檔至公開資訊觀測站，是否可以不用再提供書面財報。</w:t>
      </w:r>
    </w:p>
    <w:p w:rsidR="004B32CE" w:rsidRPr="00FE7716" w:rsidRDefault="004B32CE" w:rsidP="0076046B">
      <w:pPr>
        <w:spacing w:line="560" w:lineRule="exact"/>
        <w:ind w:left="640" w:hangingChars="200" w:hanging="640"/>
        <w:jc w:val="both"/>
        <w:rPr>
          <w:rFonts w:ascii="標楷體" w:eastAsia="標楷體" w:hAnsi="標楷體"/>
          <w:color w:val="000000"/>
          <w:sz w:val="32"/>
          <w:szCs w:val="32"/>
        </w:rPr>
      </w:pPr>
      <w:r w:rsidRPr="00FE7716">
        <w:rPr>
          <w:rFonts w:ascii="標楷體" w:eastAsia="標楷體" w:hAnsi="標楷體"/>
          <w:color w:val="000000"/>
          <w:sz w:val="32"/>
          <w:szCs w:val="32"/>
        </w:rPr>
        <w:t>答：</w:t>
      </w:r>
      <w:r w:rsidRPr="00FE7716">
        <w:rPr>
          <w:rFonts w:ascii="標楷體" w:eastAsia="標楷體" w:hAnsi="標楷體" w:hint="eastAsia"/>
          <w:color w:val="000000"/>
          <w:sz w:val="32"/>
          <w:szCs w:val="32"/>
        </w:rPr>
        <w:t>現行上市公司</w:t>
      </w:r>
      <w:r w:rsidR="00BE047A" w:rsidRPr="00FE7716">
        <w:rPr>
          <w:rFonts w:ascii="標楷體" w:eastAsia="標楷體" w:hAnsi="標楷體" w:hint="eastAsia"/>
          <w:color w:val="000000"/>
          <w:sz w:val="32"/>
          <w:szCs w:val="32"/>
        </w:rPr>
        <w:t>係依「證券交易法」第</w:t>
      </w:r>
      <w:r w:rsidR="00BE047A" w:rsidRPr="00FE7716">
        <w:rPr>
          <w:rFonts w:ascii="標楷體" w:eastAsia="標楷體" w:hAnsi="標楷體"/>
          <w:color w:val="000000"/>
          <w:sz w:val="32"/>
          <w:szCs w:val="32"/>
        </w:rPr>
        <w:t>36</w:t>
      </w:r>
      <w:r w:rsidR="00BE047A" w:rsidRPr="00FE7716">
        <w:rPr>
          <w:rFonts w:ascii="標楷體" w:eastAsia="標楷體" w:hAnsi="標楷體" w:hint="eastAsia"/>
          <w:color w:val="000000"/>
          <w:sz w:val="32"/>
          <w:szCs w:val="32"/>
        </w:rPr>
        <w:t>條規定檢</w:t>
      </w:r>
      <w:r w:rsidRPr="00FE7716">
        <w:rPr>
          <w:rFonts w:ascii="標楷體" w:eastAsia="標楷體" w:hAnsi="標楷體" w:hint="eastAsia"/>
          <w:color w:val="000000"/>
          <w:sz w:val="32"/>
          <w:szCs w:val="32"/>
        </w:rPr>
        <w:t>送財</w:t>
      </w:r>
      <w:r w:rsidR="00BE047A" w:rsidRPr="00FE7716">
        <w:rPr>
          <w:rFonts w:ascii="標楷體" w:eastAsia="標楷體" w:hAnsi="標楷體" w:hint="eastAsia"/>
          <w:color w:val="000000"/>
          <w:sz w:val="32"/>
          <w:szCs w:val="32"/>
        </w:rPr>
        <w:t>務</w:t>
      </w:r>
      <w:r w:rsidRPr="00FE7716">
        <w:rPr>
          <w:rFonts w:ascii="標楷體" w:eastAsia="標楷體" w:hAnsi="標楷體" w:hint="eastAsia"/>
          <w:color w:val="000000"/>
          <w:sz w:val="32"/>
          <w:szCs w:val="32"/>
        </w:rPr>
        <w:t>報</w:t>
      </w:r>
      <w:r w:rsidR="00BE047A" w:rsidRPr="00FE7716">
        <w:rPr>
          <w:rFonts w:ascii="標楷體" w:eastAsia="標楷體" w:hAnsi="標楷體" w:hint="eastAsia"/>
          <w:color w:val="000000"/>
          <w:sz w:val="32"/>
          <w:szCs w:val="32"/>
        </w:rPr>
        <w:t>告</w:t>
      </w:r>
      <w:r w:rsidRPr="00FE7716">
        <w:rPr>
          <w:rFonts w:ascii="標楷體" w:eastAsia="標楷體" w:hAnsi="標楷體" w:hint="eastAsia"/>
          <w:color w:val="000000"/>
          <w:sz w:val="32"/>
          <w:szCs w:val="32"/>
        </w:rPr>
        <w:t>，而</w:t>
      </w:r>
      <w:r w:rsidR="00BE047A" w:rsidRPr="00FE7716">
        <w:rPr>
          <w:rFonts w:ascii="標楷體" w:eastAsia="標楷體" w:hAnsi="標楷體" w:hint="eastAsia"/>
          <w:color w:val="000000"/>
          <w:sz w:val="32"/>
          <w:szCs w:val="32"/>
        </w:rPr>
        <w:t>本公司於</w:t>
      </w:r>
      <w:r w:rsidRPr="00FE7716">
        <w:rPr>
          <w:rFonts w:ascii="標楷體" w:eastAsia="標楷體" w:hAnsi="標楷體" w:hint="eastAsia"/>
          <w:color w:val="000000"/>
          <w:sz w:val="32"/>
          <w:szCs w:val="32"/>
        </w:rPr>
        <w:t>收到財</w:t>
      </w:r>
      <w:r w:rsidR="00BE047A" w:rsidRPr="00FE7716">
        <w:rPr>
          <w:rFonts w:ascii="標楷體" w:eastAsia="標楷體" w:hAnsi="標楷體" w:hint="eastAsia"/>
          <w:color w:val="000000"/>
          <w:sz w:val="32"/>
          <w:szCs w:val="32"/>
        </w:rPr>
        <w:t>務</w:t>
      </w:r>
      <w:r w:rsidRPr="00FE7716">
        <w:rPr>
          <w:rFonts w:ascii="標楷體" w:eastAsia="標楷體" w:hAnsi="標楷體" w:hint="eastAsia"/>
          <w:color w:val="000000"/>
          <w:sz w:val="32"/>
          <w:szCs w:val="32"/>
        </w:rPr>
        <w:t>報</w:t>
      </w:r>
      <w:r w:rsidR="00BE047A" w:rsidRPr="00FE7716">
        <w:rPr>
          <w:rFonts w:ascii="標楷體" w:eastAsia="標楷體" w:hAnsi="標楷體" w:hint="eastAsia"/>
          <w:color w:val="000000"/>
          <w:sz w:val="32"/>
          <w:szCs w:val="32"/>
        </w:rPr>
        <w:t>告</w:t>
      </w:r>
      <w:r w:rsidRPr="00FE7716">
        <w:rPr>
          <w:rFonts w:ascii="標楷體" w:eastAsia="標楷體" w:hAnsi="標楷體" w:hint="eastAsia"/>
          <w:color w:val="000000"/>
          <w:sz w:val="32"/>
          <w:szCs w:val="32"/>
        </w:rPr>
        <w:t>後，統一存放於投資人閱覽室供公眾閱覽，故為遵守法令相關規定，並增加投資人取得資訊之管道（部分投資人或許不易或不知如何從網路取得資訊），書面財報之提供尚有其必要</w:t>
      </w:r>
      <w:r w:rsidR="004C453B" w:rsidRPr="00FE7716">
        <w:rPr>
          <w:rFonts w:ascii="標楷體" w:eastAsia="標楷體" w:hAnsi="標楷體" w:hint="eastAsia"/>
          <w:color w:val="000000"/>
          <w:sz w:val="32"/>
          <w:szCs w:val="32"/>
        </w:rPr>
        <w:t>性</w:t>
      </w:r>
      <w:r w:rsidRPr="00FE7716">
        <w:rPr>
          <w:rFonts w:ascii="標楷體" w:eastAsia="標楷體" w:hAnsi="標楷體" w:hint="eastAsia"/>
          <w:color w:val="000000"/>
          <w:sz w:val="32"/>
          <w:szCs w:val="32"/>
        </w:rPr>
        <w:t>。</w:t>
      </w:r>
    </w:p>
    <w:p w:rsidR="004B32CE" w:rsidRPr="00FE7716" w:rsidRDefault="004B32CE" w:rsidP="004B32CE">
      <w:pPr>
        <w:spacing w:line="560" w:lineRule="exact"/>
        <w:ind w:left="640" w:hangingChars="200" w:hanging="640"/>
        <w:rPr>
          <w:rFonts w:ascii="標楷體" w:eastAsia="標楷體" w:hAnsi="標楷體"/>
          <w:color w:val="000000"/>
          <w:sz w:val="32"/>
          <w:szCs w:val="32"/>
        </w:rPr>
      </w:pPr>
    </w:p>
    <w:sectPr w:rsidR="004B32CE" w:rsidRPr="00FE7716" w:rsidSect="00DC0DBF">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57B" w:rsidRDefault="0026157B" w:rsidP="00DC0DBF">
      <w:r>
        <w:separator/>
      </w:r>
    </w:p>
  </w:endnote>
  <w:endnote w:type="continuationSeparator" w:id="0">
    <w:p w:rsidR="0026157B" w:rsidRDefault="0026157B" w:rsidP="00DC0D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45072"/>
      <w:docPartObj>
        <w:docPartGallery w:val="Page Numbers (Bottom of Page)"/>
        <w:docPartUnique/>
      </w:docPartObj>
    </w:sdtPr>
    <w:sdtContent>
      <w:p w:rsidR="00023332" w:rsidRDefault="006B5740">
        <w:pPr>
          <w:pStyle w:val="a5"/>
          <w:jc w:val="center"/>
        </w:pPr>
        <w:fldSimple w:instr=" PAGE   \* MERGEFORMAT ">
          <w:r w:rsidR="006E18C2" w:rsidRPr="006E18C2">
            <w:rPr>
              <w:noProof/>
              <w:lang w:val="zh-TW"/>
            </w:rPr>
            <w:t>1</w:t>
          </w:r>
        </w:fldSimple>
      </w:p>
    </w:sdtContent>
  </w:sdt>
  <w:p w:rsidR="00023332" w:rsidRDefault="0002333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57B" w:rsidRDefault="0026157B" w:rsidP="00DC0DBF">
      <w:r>
        <w:separator/>
      </w:r>
    </w:p>
  </w:footnote>
  <w:footnote w:type="continuationSeparator" w:id="0">
    <w:p w:rsidR="0026157B" w:rsidRDefault="0026157B" w:rsidP="00DC0D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235"/>
    <w:multiLevelType w:val="hybridMultilevel"/>
    <w:tmpl w:val="97842260"/>
    <w:lvl w:ilvl="0" w:tplc="04090015">
      <w:start w:val="1"/>
      <w:numFmt w:val="taiwaneseCountingThousand"/>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9164C4"/>
    <w:multiLevelType w:val="hybridMultilevel"/>
    <w:tmpl w:val="52923EE2"/>
    <w:lvl w:ilvl="0" w:tplc="D15AFEC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1E0B32"/>
    <w:multiLevelType w:val="hybridMultilevel"/>
    <w:tmpl w:val="3EBAD5CA"/>
    <w:lvl w:ilvl="0" w:tplc="223A5390">
      <w:start w:val="1"/>
      <w:numFmt w:val="bullet"/>
      <w:lvlText w:val=""/>
      <w:lvlJc w:val="left"/>
      <w:pPr>
        <w:tabs>
          <w:tab w:val="num" w:pos="480"/>
        </w:tabs>
        <w:ind w:left="480" w:hanging="480"/>
      </w:pPr>
      <w:rPr>
        <w:rFonts w:ascii="Wingdings" w:hAnsi="Wingdings" w:hint="default"/>
        <w:color w:val="auto"/>
        <w:sz w:val="32"/>
        <w:szCs w:val="3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4CBA4036"/>
    <w:multiLevelType w:val="hybridMultilevel"/>
    <w:tmpl w:val="B3B2623E"/>
    <w:lvl w:ilvl="0" w:tplc="223A5390">
      <w:start w:val="1"/>
      <w:numFmt w:val="bullet"/>
      <w:lvlText w:val=""/>
      <w:lvlJc w:val="left"/>
      <w:pPr>
        <w:ind w:left="480" w:hanging="480"/>
      </w:pPr>
      <w:rPr>
        <w:rFonts w:ascii="Wingdings" w:hAnsi="Wingdings" w:hint="default"/>
        <w:color w:val="auto"/>
        <w:sz w:val="32"/>
        <w:szCs w:val="32"/>
      </w:rPr>
    </w:lvl>
    <w:lvl w:ilvl="1" w:tplc="3D322144">
      <w:start w:val="1"/>
      <w:numFmt w:val="taiwaneseCountingThousand"/>
      <w:lvlText w:val="%2、"/>
      <w:lvlJc w:val="left"/>
      <w:pPr>
        <w:ind w:left="960" w:hanging="480"/>
      </w:pPr>
      <w:rPr>
        <w:rFonts w:hint="default"/>
        <w:lang w:val="en-US"/>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6A046E08"/>
    <w:multiLevelType w:val="hybridMultilevel"/>
    <w:tmpl w:val="387AF5CE"/>
    <w:lvl w:ilvl="0" w:tplc="6C84A152">
      <w:start w:val="9"/>
      <w:numFmt w:val="ideographDigital"/>
      <w:lvlText w:val="%1、"/>
      <w:lvlJc w:val="left"/>
      <w:pPr>
        <w:tabs>
          <w:tab w:val="num" w:pos="960"/>
        </w:tabs>
        <w:ind w:left="960" w:hanging="480"/>
      </w:pPr>
      <w:rPr>
        <w:rFonts w:ascii="標楷體" w:eastAsia="標楷體" w:hAnsi="標楷體" w:hint="eastAsia"/>
        <w:b w:val="0"/>
      </w:rPr>
    </w:lvl>
    <w:lvl w:ilvl="1" w:tplc="EEBE75EA">
      <w:start w:val="1"/>
      <w:numFmt w:val="decimal"/>
      <w:lvlText w:val="%2."/>
      <w:lvlJc w:val="left"/>
      <w:pPr>
        <w:tabs>
          <w:tab w:val="num" w:pos="960"/>
        </w:tabs>
        <w:ind w:left="960" w:hanging="480"/>
      </w:pPr>
      <w:rPr>
        <w:rFonts w:ascii="Times New Roman" w:hAnsi="Times New Roman" w:cs="Times New Roman" w:hint="default"/>
        <w:b w:val="0"/>
      </w:rPr>
    </w:lvl>
    <w:lvl w:ilvl="2" w:tplc="0409000F">
      <w:start w:val="1"/>
      <w:numFmt w:val="decimal"/>
      <w:lvlText w:val="%3."/>
      <w:lvlJc w:val="left"/>
      <w:pPr>
        <w:tabs>
          <w:tab w:val="num" w:pos="1440"/>
        </w:tabs>
        <w:ind w:left="1440" w:hanging="480"/>
      </w:pPr>
      <w:rPr>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D2D2727"/>
    <w:multiLevelType w:val="hybridMultilevel"/>
    <w:tmpl w:val="8D06C71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6D31366C"/>
    <w:multiLevelType w:val="hybridMultilevel"/>
    <w:tmpl w:val="3DC4177E"/>
    <w:lvl w:ilvl="0" w:tplc="C60C4CDE">
      <w:start w:val="1"/>
      <w:numFmt w:val="taiwaneseCountingThousand"/>
      <w:lvlText w:val="%1、"/>
      <w:lvlJc w:val="left"/>
      <w:pPr>
        <w:ind w:left="1200" w:hanging="720"/>
      </w:pPr>
      <w:rPr>
        <w:rFonts w:hint="default"/>
        <w:color w:val="000000"/>
        <w:sz w:val="3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7296400E"/>
    <w:multiLevelType w:val="hybridMultilevel"/>
    <w:tmpl w:val="549657E8"/>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8">
    <w:nsid w:val="7BD02E73"/>
    <w:multiLevelType w:val="hybridMultilevel"/>
    <w:tmpl w:val="F4841D82"/>
    <w:lvl w:ilvl="0" w:tplc="8C448822">
      <w:start w:val="1"/>
      <w:numFmt w:val="taiwaneseCountingThousand"/>
      <w:lvlText w:val="%1、"/>
      <w:lvlJc w:val="left"/>
      <w:pPr>
        <w:ind w:left="6249" w:hanging="720"/>
      </w:pPr>
      <w:rPr>
        <w:rFonts w:hint="default"/>
      </w:rPr>
    </w:lvl>
    <w:lvl w:ilvl="1" w:tplc="04090019" w:tentative="1">
      <w:start w:val="1"/>
      <w:numFmt w:val="ideographTraditional"/>
      <w:lvlText w:val="%2、"/>
      <w:lvlJc w:val="left"/>
      <w:pPr>
        <w:ind w:left="6489" w:hanging="480"/>
      </w:pPr>
    </w:lvl>
    <w:lvl w:ilvl="2" w:tplc="0409001B" w:tentative="1">
      <w:start w:val="1"/>
      <w:numFmt w:val="lowerRoman"/>
      <w:lvlText w:val="%3."/>
      <w:lvlJc w:val="right"/>
      <w:pPr>
        <w:ind w:left="6969" w:hanging="480"/>
      </w:pPr>
    </w:lvl>
    <w:lvl w:ilvl="3" w:tplc="0409000F" w:tentative="1">
      <w:start w:val="1"/>
      <w:numFmt w:val="decimal"/>
      <w:lvlText w:val="%4."/>
      <w:lvlJc w:val="left"/>
      <w:pPr>
        <w:ind w:left="7449" w:hanging="480"/>
      </w:pPr>
    </w:lvl>
    <w:lvl w:ilvl="4" w:tplc="04090019" w:tentative="1">
      <w:start w:val="1"/>
      <w:numFmt w:val="ideographTraditional"/>
      <w:lvlText w:val="%5、"/>
      <w:lvlJc w:val="left"/>
      <w:pPr>
        <w:ind w:left="7929" w:hanging="480"/>
      </w:pPr>
    </w:lvl>
    <w:lvl w:ilvl="5" w:tplc="0409001B" w:tentative="1">
      <w:start w:val="1"/>
      <w:numFmt w:val="lowerRoman"/>
      <w:lvlText w:val="%6."/>
      <w:lvlJc w:val="right"/>
      <w:pPr>
        <w:ind w:left="8409" w:hanging="480"/>
      </w:pPr>
    </w:lvl>
    <w:lvl w:ilvl="6" w:tplc="0409000F" w:tentative="1">
      <w:start w:val="1"/>
      <w:numFmt w:val="decimal"/>
      <w:lvlText w:val="%7."/>
      <w:lvlJc w:val="left"/>
      <w:pPr>
        <w:ind w:left="8889" w:hanging="480"/>
      </w:pPr>
    </w:lvl>
    <w:lvl w:ilvl="7" w:tplc="04090019" w:tentative="1">
      <w:start w:val="1"/>
      <w:numFmt w:val="ideographTraditional"/>
      <w:lvlText w:val="%8、"/>
      <w:lvlJc w:val="left"/>
      <w:pPr>
        <w:ind w:left="9369" w:hanging="480"/>
      </w:pPr>
    </w:lvl>
    <w:lvl w:ilvl="8" w:tplc="0409001B" w:tentative="1">
      <w:start w:val="1"/>
      <w:numFmt w:val="lowerRoman"/>
      <w:lvlText w:val="%9."/>
      <w:lvlJc w:val="right"/>
      <w:pPr>
        <w:ind w:left="9849" w:hanging="480"/>
      </w:pPr>
    </w:lvl>
  </w:abstractNum>
  <w:num w:numId="1">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7"/>
  </w:num>
  <w:num w:numId="5">
    <w:abstractNumId w:val="3"/>
  </w:num>
  <w:num w:numId="6">
    <w:abstractNumId w:val="8"/>
  </w:num>
  <w:num w:numId="7">
    <w:abstractNumId w:val="6"/>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0DBF"/>
    <w:rsid w:val="00023332"/>
    <w:rsid w:val="00033A42"/>
    <w:rsid w:val="000460AE"/>
    <w:rsid w:val="00060979"/>
    <w:rsid w:val="0009276B"/>
    <w:rsid w:val="000F0670"/>
    <w:rsid w:val="001859CD"/>
    <w:rsid w:val="001F11BA"/>
    <w:rsid w:val="00242730"/>
    <w:rsid w:val="0026157B"/>
    <w:rsid w:val="00342DCB"/>
    <w:rsid w:val="003602A7"/>
    <w:rsid w:val="00374D0A"/>
    <w:rsid w:val="00463317"/>
    <w:rsid w:val="004A25D1"/>
    <w:rsid w:val="004A5D05"/>
    <w:rsid w:val="004A7F75"/>
    <w:rsid w:val="004B32CE"/>
    <w:rsid w:val="004C1C65"/>
    <w:rsid w:val="004C453B"/>
    <w:rsid w:val="00505977"/>
    <w:rsid w:val="005339FE"/>
    <w:rsid w:val="00583108"/>
    <w:rsid w:val="00591668"/>
    <w:rsid w:val="005B7209"/>
    <w:rsid w:val="006555F2"/>
    <w:rsid w:val="0066103C"/>
    <w:rsid w:val="006B5740"/>
    <w:rsid w:val="006E18C2"/>
    <w:rsid w:val="006F782B"/>
    <w:rsid w:val="007362A4"/>
    <w:rsid w:val="0076046B"/>
    <w:rsid w:val="00781D4F"/>
    <w:rsid w:val="00782D57"/>
    <w:rsid w:val="007E6423"/>
    <w:rsid w:val="00837E5F"/>
    <w:rsid w:val="008A5830"/>
    <w:rsid w:val="008D2425"/>
    <w:rsid w:val="009051A1"/>
    <w:rsid w:val="00905B9D"/>
    <w:rsid w:val="00952E41"/>
    <w:rsid w:val="00A43E80"/>
    <w:rsid w:val="00A831AF"/>
    <w:rsid w:val="00A872A2"/>
    <w:rsid w:val="00AF183D"/>
    <w:rsid w:val="00AF5531"/>
    <w:rsid w:val="00B0011F"/>
    <w:rsid w:val="00B132C6"/>
    <w:rsid w:val="00B408B5"/>
    <w:rsid w:val="00B53D49"/>
    <w:rsid w:val="00B622EB"/>
    <w:rsid w:val="00BA07E3"/>
    <w:rsid w:val="00BC4C4A"/>
    <w:rsid w:val="00BE047A"/>
    <w:rsid w:val="00BF6B16"/>
    <w:rsid w:val="00BF7B7C"/>
    <w:rsid w:val="00C05C23"/>
    <w:rsid w:val="00C65CB8"/>
    <w:rsid w:val="00CA6205"/>
    <w:rsid w:val="00CB4506"/>
    <w:rsid w:val="00D37E01"/>
    <w:rsid w:val="00D62D15"/>
    <w:rsid w:val="00DC0DBF"/>
    <w:rsid w:val="00E53BD7"/>
    <w:rsid w:val="00E66276"/>
    <w:rsid w:val="00F0245A"/>
    <w:rsid w:val="00F65D89"/>
    <w:rsid w:val="00F8028F"/>
    <w:rsid w:val="00FE7716"/>
    <w:rsid w:val="00FF7A8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DB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0DBF"/>
    <w:pPr>
      <w:tabs>
        <w:tab w:val="center" w:pos="4153"/>
        <w:tab w:val="right" w:pos="8306"/>
      </w:tabs>
      <w:snapToGrid w:val="0"/>
    </w:pPr>
    <w:rPr>
      <w:sz w:val="20"/>
      <w:szCs w:val="20"/>
    </w:rPr>
  </w:style>
  <w:style w:type="character" w:customStyle="1" w:styleId="a4">
    <w:name w:val="頁首 字元"/>
    <w:basedOn w:val="a0"/>
    <w:link w:val="a3"/>
    <w:uiPriority w:val="99"/>
    <w:semiHidden/>
    <w:rsid w:val="00DC0DBF"/>
    <w:rPr>
      <w:sz w:val="20"/>
      <w:szCs w:val="20"/>
    </w:rPr>
  </w:style>
  <w:style w:type="paragraph" w:styleId="a5">
    <w:name w:val="footer"/>
    <w:basedOn w:val="a"/>
    <w:link w:val="a6"/>
    <w:uiPriority w:val="99"/>
    <w:unhideWhenUsed/>
    <w:rsid w:val="00DC0DBF"/>
    <w:pPr>
      <w:tabs>
        <w:tab w:val="center" w:pos="4153"/>
        <w:tab w:val="right" w:pos="8306"/>
      </w:tabs>
      <w:snapToGrid w:val="0"/>
    </w:pPr>
    <w:rPr>
      <w:sz w:val="20"/>
      <w:szCs w:val="20"/>
    </w:rPr>
  </w:style>
  <w:style w:type="character" w:customStyle="1" w:styleId="a6">
    <w:name w:val="頁尾 字元"/>
    <w:basedOn w:val="a0"/>
    <w:link w:val="a5"/>
    <w:uiPriority w:val="99"/>
    <w:rsid w:val="00DC0DBF"/>
    <w:rPr>
      <w:sz w:val="20"/>
      <w:szCs w:val="20"/>
    </w:rPr>
  </w:style>
  <w:style w:type="paragraph" w:styleId="a7">
    <w:name w:val="List Paragraph"/>
    <w:basedOn w:val="a"/>
    <w:uiPriority w:val="34"/>
    <w:qFormat/>
    <w:rsid w:val="00DC0DBF"/>
    <w:pPr>
      <w:ind w:leftChars="200" w:left="480"/>
    </w:pPr>
  </w:style>
  <w:style w:type="character" w:styleId="a8">
    <w:name w:val="Placeholder Text"/>
    <w:basedOn w:val="a0"/>
    <w:uiPriority w:val="99"/>
    <w:semiHidden/>
    <w:rsid w:val="004B32CE"/>
    <w:rPr>
      <w:color w:val="808080"/>
    </w:rPr>
  </w:style>
  <w:style w:type="paragraph" w:styleId="a9">
    <w:name w:val="Balloon Text"/>
    <w:basedOn w:val="a"/>
    <w:link w:val="aa"/>
    <w:uiPriority w:val="99"/>
    <w:semiHidden/>
    <w:unhideWhenUsed/>
    <w:rsid w:val="004B32C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B32C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796030604">
      <w:bodyDiv w:val="1"/>
      <w:marLeft w:val="0"/>
      <w:marRight w:val="0"/>
      <w:marTop w:val="0"/>
      <w:marBottom w:val="0"/>
      <w:divBdr>
        <w:top w:val="none" w:sz="0" w:space="0" w:color="auto"/>
        <w:left w:val="none" w:sz="0" w:space="0" w:color="auto"/>
        <w:bottom w:val="none" w:sz="0" w:space="0" w:color="auto"/>
        <w:right w:val="none" w:sz="0" w:space="0" w:color="auto"/>
      </w:divBdr>
    </w:div>
    <w:div w:id="159142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b.gov.tw/ch/index.j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fb.gov.tw/ch/home.jsp?id=30&amp;parentpath=0,6" TargetMode="External"/><Relationship Id="rId4" Type="http://schemas.openxmlformats.org/officeDocument/2006/relationships/settings" Target="settings.xml"/><Relationship Id="rId9" Type="http://schemas.openxmlformats.org/officeDocument/2006/relationships/hyperlink" Target="http://www.sfb.gov.tw/ch/home.jsp?id=6&amp;parentpath=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E256C-A1CE-4F77-B07D-BF5608D5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472</Words>
  <Characters>2694</Characters>
  <Application>Microsoft Office Word</Application>
  <DocSecurity>4</DocSecurity>
  <Lines>22</Lines>
  <Paragraphs>6</Paragraphs>
  <ScaleCrop>false</ScaleCrop>
  <Company>TWSE</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0763</cp:lastModifiedBy>
  <cp:revision>2</cp:revision>
  <cp:lastPrinted>2014-01-06T08:43:00Z</cp:lastPrinted>
  <dcterms:created xsi:type="dcterms:W3CDTF">2014-08-05T07:08:00Z</dcterms:created>
  <dcterms:modified xsi:type="dcterms:W3CDTF">2014-08-05T07:08:00Z</dcterms:modified>
</cp:coreProperties>
</file>