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1D" w:rsidRPr="009A531D" w:rsidRDefault="009A531D" w:rsidP="009A531D">
      <w:pPr>
        <w:autoSpaceDE w:val="0"/>
        <w:autoSpaceDN w:val="0"/>
        <w:adjustRightInd w:val="0"/>
        <w:jc w:val="both"/>
        <w:rPr>
          <w:rFonts w:ascii="標楷體" w:eastAsia="標楷體" w:cs="標楷體"/>
          <w:b/>
          <w:kern w:val="0"/>
          <w:sz w:val="32"/>
          <w:szCs w:val="32"/>
          <w:lang w:val="zh-TW"/>
        </w:rPr>
      </w:pPr>
      <w:r w:rsidRPr="009A531D">
        <w:rPr>
          <w:rFonts w:ascii="標楷體" w:eastAsia="標楷體" w:cs="標楷體" w:hint="eastAsia"/>
          <w:b/>
          <w:kern w:val="0"/>
          <w:sz w:val="32"/>
          <w:szCs w:val="32"/>
          <w:lang w:val="zh-TW"/>
        </w:rPr>
        <w:t>審閱上市公司</w:t>
      </w:r>
      <w:r w:rsidR="00B51FBE">
        <w:rPr>
          <w:rFonts w:ascii="標楷體" w:eastAsia="標楷體" w:cs="標楷體"/>
          <w:b/>
          <w:kern w:val="0"/>
          <w:sz w:val="32"/>
          <w:szCs w:val="32"/>
          <w:lang w:val="zh-TW"/>
        </w:rPr>
        <w:t>10</w:t>
      </w:r>
      <w:r w:rsidR="002630B0">
        <w:rPr>
          <w:rFonts w:ascii="標楷體" w:eastAsia="標楷體" w:cs="標楷體" w:hint="eastAsia"/>
          <w:b/>
          <w:kern w:val="0"/>
          <w:sz w:val="32"/>
          <w:szCs w:val="32"/>
          <w:lang w:val="zh-TW"/>
        </w:rPr>
        <w:t>6</w:t>
      </w:r>
      <w:r w:rsidRPr="009A531D">
        <w:rPr>
          <w:rFonts w:ascii="標楷體" w:eastAsia="標楷體" w:cs="標楷體" w:hint="eastAsia"/>
          <w:b/>
          <w:kern w:val="0"/>
          <w:sz w:val="32"/>
          <w:szCs w:val="32"/>
          <w:lang w:val="zh-TW"/>
        </w:rPr>
        <w:t>年度年報所發現之主要共同缺失如下，請確實依「公開發行公司年報應行記載事項準則」編製年報：</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年報之封面，未依「應行記載事項準則」第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項之規定，完整刊載公司名稱、年份、刊印日期、於右上角刊印普通</w:t>
      </w:r>
      <w:bookmarkStart w:id="0" w:name="_GoBack"/>
      <w:bookmarkEnd w:id="0"/>
      <w:r w:rsidRPr="002630B0">
        <w:rPr>
          <w:rFonts w:ascii="標楷體" w:eastAsia="標楷體" w:cs="標楷體" w:hint="eastAsia"/>
          <w:kern w:val="0"/>
          <w:sz w:val="32"/>
          <w:szCs w:val="32"/>
          <w:lang w:val="zh-TW"/>
        </w:rPr>
        <w:t>股股票代碼及以顯著字體刊載可查詢本年報之網址，包括主管機關指定之資訊申報網站之網址及公司揭露年報相關資料之網址。</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2</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目附表一之規定格式揭露董事及監察人資料。</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3</w:t>
      </w:r>
      <w:r w:rsidRPr="002630B0">
        <w:rPr>
          <w:rFonts w:ascii="標楷體" w:eastAsia="標楷體" w:cs="標楷體" w:hint="eastAsia"/>
          <w:kern w:val="0"/>
          <w:sz w:val="32"/>
          <w:szCs w:val="32"/>
          <w:lang w:val="zh-TW"/>
        </w:rPr>
        <w:t>款附表一之二及附表一之三規定格式揭露最近年度支付董事、監察人、總經理及副總經理之酬金。</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3</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3</w:t>
      </w:r>
      <w:r w:rsidRPr="002630B0">
        <w:rPr>
          <w:rFonts w:ascii="標楷體" w:eastAsia="標楷體" w:cs="標楷體" w:hint="eastAsia"/>
          <w:kern w:val="0"/>
          <w:sz w:val="32"/>
          <w:szCs w:val="32"/>
          <w:lang w:val="zh-TW"/>
        </w:rPr>
        <w:t>目之規定比較說明公司及合併報表所有公司於最近二年度支付公司董事、監察人、總經理及副總經理酬金總額占個體或個別財務報告稅後純益比例之分析並說明給付酬金之政策、標準與組合、訂定酬金之程序、與經營績效及未來風險之關聯性。</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目附表二</w:t>
      </w:r>
      <w:r w:rsidRPr="002630B0">
        <w:rPr>
          <w:rFonts w:ascii="標楷體" w:eastAsia="標楷體" w:cs="標楷體" w:hint="eastAsia"/>
          <w:kern w:val="0"/>
          <w:sz w:val="32"/>
          <w:szCs w:val="32"/>
          <w:lang w:val="zh-TW"/>
        </w:rPr>
        <w:lastRenderedPageBreak/>
        <w:t>規定格式揭露董事會運作情形。</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2</w:t>
      </w:r>
      <w:r w:rsidRPr="002630B0">
        <w:rPr>
          <w:rFonts w:ascii="標楷體" w:eastAsia="標楷體" w:cs="標楷體" w:hint="eastAsia"/>
          <w:kern w:val="0"/>
          <w:sz w:val="32"/>
          <w:szCs w:val="32"/>
          <w:lang w:val="zh-TW"/>
        </w:rPr>
        <w:t>目附表二之一或附表二之一之一規定格式揭露審計委員會運作情形或監察人參與董事會運作情形。</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目附表二之二之一規定格式揭露設置薪資報酬委員會之組成、職責及運作情形。</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10</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9</w:t>
      </w:r>
      <w:r w:rsidRPr="002630B0">
        <w:rPr>
          <w:rFonts w:ascii="標楷體" w:eastAsia="標楷體" w:cs="標楷體" w:hint="eastAsia"/>
          <w:kern w:val="0"/>
          <w:sz w:val="32"/>
          <w:szCs w:val="32"/>
          <w:lang w:val="zh-TW"/>
        </w:rPr>
        <w:t>款附表三之一規定格式揭露持股比例占前十名之股東，其相互間為關係人或為配偶、二親等以內之親屬關係之資訊。</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11</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款附表五規定格式揭露股本來源。</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18</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2</w:t>
      </w:r>
      <w:r w:rsidRPr="002630B0">
        <w:rPr>
          <w:rFonts w:ascii="標楷體" w:eastAsia="標楷體" w:cs="標楷體" w:hint="eastAsia"/>
          <w:kern w:val="0"/>
          <w:sz w:val="32"/>
          <w:szCs w:val="32"/>
          <w:lang w:val="zh-TW"/>
        </w:rPr>
        <w:t>款第</w:t>
      </w:r>
      <w:r w:rsidRPr="002630B0">
        <w:rPr>
          <w:rFonts w:ascii="標楷體" w:eastAsia="標楷體" w:cs="標楷體"/>
          <w:kern w:val="0"/>
          <w:sz w:val="32"/>
          <w:szCs w:val="32"/>
          <w:lang w:val="zh-TW"/>
        </w:rPr>
        <w:t>4</w:t>
      </w:r>
      <w:r w:rsidRPr="002630B0">
        <w:rPr>
          <w:rFonts w:ascii="標楷體" w:eastAsia="標楷體" w:cs="標楷體" w:hint="eastAsia"/>
          <w:kern w:val="0"/>
          <w:sz w:val="32"/>
          <w:szCs w:val="32"/>
          <w:lang w:val="zh-TW"/>
        </w:rPr>
        <w:t>目附表十六之一及十六之二規定格式揭露最近二年度任一年度中曾占進（銷）貨總額百分之十以上之客戶名稱及其進（銷）貨金額與比例，並說明其增減變動原因。</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19</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款附表二十二規定格式揭露最近五年度簡明資產負債表、綜合損益表暨註明會計師姓名及其查核意見等項目。</w:t>
      </w:r>
    </w:p>
    <w:p w:rsid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lastRenderedPageBreak/>
        <w:t>未依「應行記載事項準則」第</w:t>
      </w:r>
      <w:r w:rsidRPr="002630B0">
        <w:rPr>
          <w:rFonts w:ascii="標楷體" w:eastAsia="標楷體" w:cs="標楷體"/>
          <w:kern w:val="0"/>
          <w:sz w:val="32"/>
          <w:szCs w:val="32"/>
          <w:lang w:val="zh-TW"/>
        </w:rPr>
        <w:t>19</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2</w:t>
      </w:r>
      <w:r w:rsidRPr="002630B0">
        <w:rPr>
          <w:rFonts w:ascii="標楷體" w:eastAsia="標楷體" w:cs="標楷體" w:hint="eastAsia"/>
          <w:kern w:val="0"/>
          <w:sz w:val="32"/>
          <w:szCs w:val="32"/>
          <w:lang w:val="zh-TW"/>
        </w:rPr>
        <w:t>款附表二十三規定格式揭露最近五年度財務分析。</w:t>
      </w:r>
    </w:p>
    <w:p w:rsidR="002630B0" w:rsidRPr="002630B0" w:rsidRDefault="002630B0" w:rsidP="002630B0">
      <w:pPr>
        <w:pStyle w:val="a3"/>
        <w:numPr>
          <w:ilvl w:val="0"/>
          <w:numId w:val="2"/>
        </w:numPr>
        <w:autoSpaceDE w:val="0"/>
        <w:autoSpaceDN w:val="0"/>
        <w:adjustRightInd w:val="0"/>
        <w:ind w:leftChars="0" w:left="994" w:hanging="994"/>
        <w:jc w:val="both"/>
        <w:rPr>
          <w:rFonts w:ascii="標楷體" w:eastAsia="標楷體" w:cs="標楷體"/>
          <w:kern w:val="0"/>
          <w:sz w:val="32"/>
          <w:szCs w:val="32"/>
          <w:lang w:val="zh-TW"/>
        </w:rPr>
      </w:pPr>
      <w:r w:rsidRPr="002630B0">
        <w:rPr>
          <w:rFonts w:ascii="標楷體" w:eastAsia="標楷體" w:cs="標楷體" w:hint="eastAsia"/>
          <w:kern w:val="0"/>
          <w:sz w:val="32"/>
          <w:szCs w:val="32"/>
          <w:lang w:val="zh-TW"/>
        </w:rPr>
        <w:t>未依「應行記載事項準則」第</w:t>
      </w:r>
      <w:r w:rsidRPr="002630B0">
        <w:rPr>
          <w:rFonts w:ascii="標楷體" w:eastAsia="標楷體" w:cs="標楷體"/>
          <w:kern w:val="0"/>
          <w:sz w:val="32"/>
          <w:szCs w:val="32"/>
          <w:lang w:val="zh-TW"/>
        </w:rPr>
        <w:t>21</w:t>
      </w:r>
      <w:r w:rsidRPr="002630B0">
        <w:rPr>
          <w:rFonts w:ascii="標楷體" w:eastAsia="標楷體" w:cs="標楷體" w:hint="eastAsia"/>
          <w:kern w:val="0"/>
          <w:sz w:val="32"/>
          <w:szCs w:val="32"/>
          <w:lang w:val="zh-TW"/>
        </w:rPr>
        <w:t>條第</w:t>
      </w:r>
      <w:r w:rsidRPr="002630B0">
        <w:rPr>
          <w:rFonts w:ascii="標楷體" w:eastAsia="標楷體" w:cs="標楷體"/>
          <w:kern w:val="0"/>
          <w:sz w:val="32"/>
          <w:szCs w:val="32"/>
          <w:lang w:val="zh-TW"/>
        </w:rPr>
        <w:t>1</w:t>
      </w:r>
      <w:r w:rsidRPr="002630B0">
        <w:rPr>
          <w:rFonts w:ascii="標楷體" w:eastAsia="標楷體" w:cs="標楷體" w:hint="eastAsia"/>
          <w:kern w:val="0"/>
          <w:sz w:val="32"/>
          <w:szCs w:val="32"/>
          <w:lang w:val="zh-TW"/>
        </w:rPr>
        <w:t>款規定揭露關係企業相關資料。</w:t>
      </w:r>
    </w:p>
    <w:p w:rsidR="00810983" w:rsidRDefault="00810983" w:rsidP="00810983">
      <w:pPr>
        <w:autoSpaceDE w:val="0"/>
        <w:autoSpaceDN w:val="0"/>
        <w:adjustRightInd w:val="0"/>
        <w:ind w:left="1600" w:hanging="960"/>
        <w:rPr>
          <w:rFonts w:ascii="標楷體" w:eastAsia="標楷體" w:cs="標楷體"/>
          <w:kern w:val="0"/>
          <w:sz w:val="32"/>
          <w:szCs w:val="32"/>
          <w:lang w:val="zh-TW"/>
        </w:rPr>
      </w:pPr>
    </w:p>
    <w:sectPr w:rsidR="00810983" w:rsidSect="007535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86" w:rsidRDefault="00EE7A86" w:rsidP="00B51FBE">
      <w:r>
        <w:separator/>
      </w:r>
    </w:p>
  </w:endnote>
  <w:endnote w:type="continuationSeparator" w:id="0">
    <w:p w:rsidR="00EE7A86" w:rsidRDefault="00EE7A86" w:rsidP="00B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86" w:rsidRDefault="00EE7A86" w:rsidP="00B51FBE">
      <w:r>
        <w:separator/>
      </w:r>
    </w:p>
  </w:footnote>
  <w:footnote w:type="continuationSeparator" w:id="0">
    <w:p w:rsidR="00EE7A86" w:rsidRDefault="00EE7A86" w:rsidP="00B51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58F"/>
    <w:multiLevelType w:val="hybridMultilevel"/>
    <w:tmpl w:val="3F38D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9C6FC0"/>
    <w:multiLevelType w:val="hybridMultilevel"/>
    <w:tmpl w:val="B51A38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3"/>
    <w:rsid w:val="001406CA"/>
    <w:rsid w:val="00237D56"/>
    <w:rsid w:val="002630B0"/>
    <w:rsid w:val="00283176"/>
    <w:rsid w:val="003C1A39"/>
    <w:rsid w:val="005B6796"/>
    <w:rsid w:val="005E43CC"/>
    <w:rsid w:val="007535AE"/>
    <w:rsid w:val="00810983"/>
    <w:rsid w:val="009042E0"/>
    <w:rsid w:val="009A531D"/>
    <w:rsid w:val="00B51FBE"/>
    <w:rsid w:val="00B911AC"/>
    <w:rsid w:val="00C03891"/>
    <w:rsid w:val="00C56813"/>
    <w:rsid w:val="00C83DBE"/>
    <w:rsid w:val="00D05E9D"/>
    <w:rsid w:val="00D2225B"/>
    <w:rsid w:val="00EE7A86"/>
    <w:rsid w:val="00F74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7E6A3"/>
  <w15:docId w15:val="{B0FFF47E-1E03-4968-978D-18CA3570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83"/>
    <w:pPr>
      <w:ind w:leftChars="200" w:left="480"/>
    </w:pPr>
  </w:style>
  <w:style w:type="paragraph" w:styleId="a4">
    <w:name w:val="header"/>
    <w:basedOn w:val="a"/>
    <w:link w:val="a5"/>
    <w:uiPriority w:val="99"/>
    <w:unhideWhenUsed/>
    <w:rsid w:val="00B51FBE"/>
    <w:pPr>
      <w:tabs>
        <w:tab w:val="center" w:pos="4153"/>
        <w:tab w:val="right" w:pos="8306"/>
      </w:tabs>
      <w:snapToGrid w:val="0"/>
    </w:pPr>
    <w:rPr>
      <w:sz w:val="20"/>
      <w:szCs w:val="20"/>
    </w:rPr>
  </w:style>
  <w:style w:type="character" w:customStyle="1" w:styleId="a5">
    <w:name w:val="頁首 字元"/>
    <w:basedOn w:val="a0"/>
    <w:link w:val="a4"/>
    <w:uiPriority w:val="99"/>
    <w:rsid w:val="00B51FBE"/>
    <w:rPr>
      <w:sz w:val="20"/>
      <w:szCs w:val="20"/>
    </w:rPr>
  </w:style>
  <w:style w:type="paragraph" w:styleId="a6">
    <w:name w:val="footer"/>
    <w:basedOn w:val="a"/>
    <w:link w:val="a7"/>
    <w:uiPriority w:val="99"/>
    <w:unhideWhenUsed/>
    <w:rsid w:val="00B51FBE"/>
    <w:pPr>
      <w:tabs>
        <w:tab w:val="center" w:pos="4153"/>
        <w:tab w:val="right" w:pos="8306"/>
      </w:tabs>
      <w:snapToGrid w:val="0"/>
    </w:pPr>
    <w:rPr>
      <w:sz w:val="20"/>
      <w:szCs w:val="20"/>
    </w:rPr>
  </w:style>
  <w:style w:type="character" w:customStyle="1" w:styleId="a7">
    <w:name w:val="頁尾 字元"/>
    <w:basedOn w:val="a0"/>
    <w:link w:val="a6"/>
    <w:uiPriority w:val="99"/>
    <w:rsid w:val="00B51F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陳怡潔</cp:lastModifiedBy>
  <cp:revision>3</cp:revision>
  <dcterms:created xsi:type="dcterms:W3CDTF">2018-07-31T07:03:00Z</dcterms:created>
  <dcterms:modified xsi:type="dcterms:W3CDTF">2018-07-31T07:07:00Z</dcterms:modified>
</cp:coreProperties>
</file>