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36" w:rsidRPr="00964432" w:rsidRDefault="00622136" w:rsidP="00C550EE">
      <w:pPr>
        <w:kinsoku w:val="0"/>
        <w:spacing w:line="400" w:lineRule="exact"/>
        <w:jc w:val="center"/>
        <w:rPr>
          <w:rFonts w:ascii="標楷體" w:eastAsia="標楷體" w:hAnsi="標楷體"/>
          <w:b/>
          <w:bCs/>
          <w:sz w:val="28"/>
          <w:szCs w:val="28"/>
        </w:rPr>
      </w:pPr>
      <w:r w:rsidRPr="00964432">
        <w:rPr>
          <w:rFonts w:ascii="標楷體" w:eastAsia="標楷體" w:hAnsi="標楷體" w:hint="eastAsia"/>
          <w:b/>
          <w:bCs/>
          <w:sz w:val="28"/>
          <w:szCs w:val="28"/>
        </w:rPr>
        <w:t>證券商辦理證券業務借貸款項操作辦法</w:t>
      </w:r>
    </w:p>
    <w:p w:rsidR="00622136" w:rsidRPr="00964432" w:rsidRDefault="00622136" w:rsidP="00C550EE">
      <w:pPr>
        <w:kinsoku w:val="0"/>
        <w:spacing w:line="400" w:lineRule="exact"/>
        <w:jc w:val="center"/>
        <w:rPr>
          <w:rFonts w:ascii="標楷體" w:eastAsia="標楷體" w:hAnsi="標楷體"/>
          <w:b/>
          <w:bCs/>
          <w:sz w:val="28"/>
          <w:szCs w:val="28"/>
        </w:rPr>
      </w:pPr>
      <w:r w:rsidRPr="00964432">
        <w:rPr>
          <w:rFonts w:ascii="標楷體" w:eastAsia="標楷體" w:hAnsi="標楷體" w:hint="eastAsia"/>
          <w:b/>
          <w:bCs/>
          <w:sz w:val="28"/>
          <w:szCs w:val="28"/>
        </w:rPr>
        <w:t>修正條文對照表</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4"/>
        <w:gridCol w:w="3544"/>
        <w:gridCol w:w="2167"/>
      </w:tblGrid>
      <w:tr w:rsidR="00622136" w:rsidRPr="00964432" w:rsidTr="00C43A1C">
        <w:trPr>
          <w:jc w:val="center"/>
        </w:trPr>
        <w:tc>
          <w:tcPr>
            <w:tcW w:w="3644" w:type="dxa"/>
            <w:vAlign w:val="center"/>
          </w:tcPr>
          <w:p w:rsidR="00622136" w:rsidRPr="00964432" w:rsidRDefault="00622136" w:rsidP="00494BD8">
            <w:pPr>
              <w:kinsoku w:val="0"/>
              <w:jc w:val="center"/>
              <w:rPr>
                <w:rFonts w:ascii="標楷體" w:eastAsia="標楷體" w:hAnsi="標楷體"/>
              </w:rPr>
            </w:pPr>
            <w:r w:rsidRPr="00964432">
              <w:rPr>
                <w:rFonts w:ascii="標楷體" w:eastAsia="標楷體" w:hAnsi="標楷體" w:hint="eastAsia"/>
              </w:rPr>
              <w:t>修正條文</w:t>
            </w:r>
          </w:p>
        </w:tc>
        <w:tc>
          <w:tcPr>
            <w:tcW w:w="3544" w:type="dxa"/>
            <w:vAlign w:val="center"/>
          </w:tcPr>
          <w:p w:rsidR="00622136" w:rsidRPr="00964432" w:rsidRDefault="00622136" w:rsidP="00494BD8">
            <w:pPr>
              <w:kinsoku w:val="0"/>
              <w:jc w:val="center"/>
              <w:rPr>
                <w:rFonts w:ascii="標楷體" w:eastAsia="標楷體" w:hAnsi="標楷體"/>
              </w:rPr>
            </w:pPr>
            <w:r w:rsidRPr="00964432">
              <w:rPr>
                <w:rFonts w:ascii="標楷體" w:eastAsia="標楷體" w:hAnsi="標楷體" w:hint="eastAsia"/>
              </w:rPr>
              <w:t>現行條文</w:t>
            </w:r>
          </w:p>
        </w:tc>
        <w:tc>
          <w:tcPr>
            <w:tcW w:w="2167" w:type="dxa"/>
            <w:vAlign w:val="center"/>
          </w:tcPr>
          <w:p w:rsidR="00622136" w:rsidRPr="00964432" w:rsidRDefault="00622136" w:rsidP="00494BD8">
            <w:pPr>
              <w:kinsoku w:val="0"/>
              <w:jc w:val="center"/>
              <w:rPr>
                <w:rFonts w:ascii="標楷體" w:eastAsia="標楷體" w:hAnsi="標楷體"/>
              </w:rPr>
            </w:pPr>
            <w:r w:rsidRPr="00964432">
              <w:rPr>
                <w:rFonts w:ascii="標楷體" w:eastAsia="標楷體" w:hAnsi="標楷體" w:hint="eastAsia"/>
              </w:rPr>
              <w:t>說</w:t>
            </w:r>
            <w:r w:rsidRPr="00964432">
              <w:rPr>
                <w:rFonts w:ascii="標楷體" w:eastAsia="標楷體" w:hAnsi="標楷體"/>
              </w:rPr>
              <w:t xml:space="preserve">    </w:t>
            </w:r>
            <w:r w:rsidRPr="00964432">
              <w:rPr>
                <w:rFonts w:ascii="標楷體" w:eastAsia="標楷體" w:hAnsi="標楷體" w:hint="eastAsia"/>
              </w:rPr>
              <w:t>明</w:t>
            </w:r>
          </w:p>
        </w:tc>
      </w:tr>
      <w:tr w:rsidR="00622136" w:rsidRPr="00964432" w:rsidTr="00C43A1C">
        <w:trPr>
          <w:jc w:val="center"/>
        </w:trPr>
        <w:tc>
          <w:tcPr>
            <w:tcW w:w="3644" w:type="dxa"/>
          </w:tcPr>
          <w:p w:rsidR="00622136" w:rsidRPr="00964432" w:rsidRDefault="00622136" w:rsidP="00494BD8">
            <w:pPr>
              <w:kinsoku w:val="0"/>
              <w:ind w:left="504" w:hangingChars="210" w:hanging="504"/>
              <w:jc w:val="both"/>
              <w:rPr>
                <w:rFonts w:ascii="標楷體" w:eastAsia="標楷體" w:hAnsi="標楷體"/>
              </w:rPr>
            </w:pPr>
            <w:r w:rsidRPr="00964432">
              <w:rPr>
                <w:rFonts w:ascii="標楷體" w:eastAsia="標楷體" w:hAnsi="標楷體" w:hint="eastAsia"/>
              </w:rPr>
              <w:t>第二條</w:t>
            </w:r>
            <w:r w:rsidRPr="00964432">
              <w:rPr>
                <w:rFonts w:ascii="標楷體" w:eastAsia="標楷體" w:hAnsi="標楷體"/>
              </w:rPr>
              <w:t xml:space="preserve">  </w:t>
            </w:r>
          </w:p>
          <w:p w:rsidR="00622136" w:rsidRPr="00964432" w:rsidRDefault="00622136" w:rsidP="00494BD8">
            <w:pPr>
              <w:kinsoku w:val="0"/>
              <w:ind w:leftChars="200" w:left="480" w:firstLineChars="150" w:firstLine="360"/>
              <w:jc w:val="both"/>
              <w:rPr>
                <w:rFonts w:ascii="標楷體" w:eastAsia="標楷體" w:hAnsi="標楷體"/>
              </w:rPr>
            </w:pPr>
            <w:r w:rsidRPr="00964432">
              <w:rPr>
                <w:rFonts w:ascii="標楷體" w:eastAsia="標楷體" w:hAnsi="標楷體" w:hint="eastAsia"/>
              </w:rPr>
              <w:t>【第一</w:t>
            </w:r>
            <w:r w:rsidR="00ED007B" w:rsidRPr="00964432">
              <w:rPr>
                <w:rFonts w:ascii="標楷體" w:eastAsia="標楷體" w:hAnsi="標楷體" w:hint="eastAsia"/>
              </w:rPr>
              <w:t>、二</w:t>
            </w:r>
            <w:r w:rsidRPr="00964432">
              <w:rPr>
                <w:rFonts w:ascii="標楷體" w:eastAsia="標楷體" w:hAnsi="標楷體" w:hint="eastAsia"/>
              </w:rPr>
              <w:t>項略】</w:t>
            </w:r>
          </w:p>
          <w:p w:rsidR="00622136" w:rsidRPr="00964432" w:rsidRDefault="00622136" w:rsidP="00494BD8">
            <w:pPr>
              <w:pStyle w:val="a3"/>
              <w:kinsoku w:val="0"/>
              <w:ind w:leftChars="204" w:left="490"/>
              <w:jc w:val="both"/>
              <w:rPr>
                <w:rFonts w:ascii="標楷體"/>
              </w:rPr>
            </w:pPr>
            <w:r w:rsidRPr="00964432">
              <w:rPr>
                <w:rFonts w:ascii="標楷體" w:hAnsi="標楷體" w:hint="eastAsia"/>
              </w:rPr>
              <w:t>證券商辦理證券業務借貸款項</w:t>
            </w:r>
            <w:r w:rsidRPr="00964432">
              <w:rPr>
                <w:rFonts w:ascii="標楷體" w:hAnsi="標楷體" w:cs="細明體" w:hint="eastAsia"/>
                <w:szCs w:val="28"/>
              </w:rPr>
              <w:t>融通</w:t>
            </w:r>
            <w:r w:rsidRPr="00964432">
              <w:rPr>
                <w:rFonts w:ascii="標楷體" w:hAnsi="標楷體" w:hint="eastAsia"/>
              </w:rPr>
              <w:t>範圍如下：</w:t>
            </w:r>
          </w:p>
          <w:p w:rsidR="00622136" w:rsidRPr="00964432" w:rsidRDefault="00622136" w:rsidP="00494BD8">
            <w:pPr>
              <w:pStyle w:val="a3"/>
              <w:kinsoku w:val="0"/>
              <w:ind w:leftChars="204" w:left="987" w:hangingChars="207" w:hanging="497"/>
              <w:jc w:val="both"/>
              <w:rPr>
                <w:rFonts w:ascii="標楷體"/>
              </w:rPr>
            </w:pPr>
            <w:r w:rsidRPr="00964432">
              <w:rPr>
                <w:rFonts w:ascii="標楷體" w:hAnsi="標楷體" w:hint="eastAsia"/>
              </w:rPr>
              <w:t>一、上</w:t>
            </w:r>
            <w:proofErr w:type="gramStart"/>
            <w:r w:rsidRPr="00964432">
              <w:rPr>
                <w:rFonts w:ascii="標楷體" w:hAnsi="標楷體" w:hint="eastAsia"/>
              </w:rPr>
              <w:t>巿</w:t>
            </w:r>
            <w:proofErr w:type="gramEnd"/>
            <w:r w:rsidRPr="00964432">
              <w:rPr>
                <w:rFonts w:ascii="標楷體" w:hAnsi="標楷體" w:hint="eastAsia"/>
              </w:rPr>
              <w:t>或上櫃股票（含新股認購權利證書、新股權利證書及股款繳納憑證）、認購（售）權證、受益憑證、存託憑證、中央登錄公債、地方政府公債、普通公司債、金融債、轉換公司債、債券換股權利證書、受益證券及資產基礎證券</w:t>
            </w:r>
            <w:r w:rsidR="00F40B4E" w:rsidRPr="00964432">
              <w:rPr>
                <w:rFonts w:ascii="標楷體" w:hAnsi="標楷體" w:hint="eastAsia"/>
              </w:rPr>
              <w:t>，</w:t>
            </w:r>
            <w:r w:rsidR="002745DC" w:rsidRPr="00964432">
              <w:rPr>
                <w:rFonts w:ascii="標楷體" w:hAnsi="標楷體" w:hint="eastAsia"/>
                <w:u w:val="single"/>
              </w:rPr>
              <w:t>但不包含外幣買賣之指數股票型基金受益憑證</w:t>
            </w:r>
            <w:r w:rsidRPr="00964432">
              <w:rPr>
                <w:rFonts w:ascii="標楷體" w:hAnsi="標楷體" w:hint="eastAsia"/>
              </w:rPr>
              <w:t>。</w:t>
            </w:r>
          </w:p>
          <w:p w:rsidR="00622136" w:rsidRPr="00964432" w:rsidRDefault="00622136" w:rsidP="00494BD8">
            <w:pPr>
              <w:pStyle w:val="a3"/>
              <w:kinsoku w:val="0"/>
              <w:ind w:leftChars="204" w:left="987" w:hangingChars="207" w:hanging="497"/>
              <w:jc w:val="both"/>
              <w:rPr>
                <w:rFonts w:ascii="標楷體" w:cs="細明體"/>
              </w:rPr>
            </w:pPr>
            <w:r w:rsidRPr="00964432">
              <w:rPr>
                <w:rFonts w:ascii="標楷體" w:hAnsi="標楷體" w:hint="eastAsia"/>
              </w:rPr>
              <w:t>二、</w:t>
            </w:r>
            <w:r w:rsidRPr="00964432">
              <w:rPr>
                <w:rFonts w:ascii="標楷體" w:hAnsi="標楷體" w:cs="細明體" w:hint="eastAsia"/>
              </w:rPr>
              <w:t>櫃檯買賣之開放式基金受益憑證及黃金現貨。</w:t>
            </w:r>
          </w:p>
          <w:p w:rsidR="00622136" w:rsidRPr="00964432" w:rsidRDefault="00622136" w:rsidP="00494BD8">
            <w:pPr>
              <w:pStyle w:val="a3"/>
              <w:kinsoku w:val="0"/>
              <w:ind w:leftChars="204" w:left="987" w:hangingChars="207" w:hanging="497"/>
              <w:jc w:val="both"/>
              <w:rPr>
                <w:rFonts w:ascii="標楷體" w:cs="細明體"/>
              </w:rPr>
            </w:pPr>
            <w:r w:rsidRPr="00964432">
              <w:rPr>
                <w:rFonts w:ascii="標楷體" w:hAnsi="標楷體" w:hint="eastAsia"/>
              </w:rPr>
              <w:t>三、</w:t>
            </w:r>
            <w:r w:rsidRPr="00964432">
              <w:rPr>
                <w:rFonts w:ascii="標楷體" w:hAnsi="標楷體" w:cs="細明體" w:hint="eastAsia"/>
              </w:rPr>
              <w:t>開放式證券投資信託基金受益憑證及期貨信託基金受益憑證之申購。</w:t>
            </w:r>
          </w:p>
          <w:p w:rsidR="00622136" w:rsidRPr="00964432" w:rsidRDefault="00622136" w:rsidP="00494BD8">
            <w:pPr>
              <w:pStyle w:val="a3"/>
              <w:kinsoku w:val="0"/>
              <w:ind w:leftChars="204" w:left="987" w:hangingChars="207" w:hanging="497"/>
              <w:jc w:val="both"/>
              <w:rPr>
                <w:rFonts w:ascii="標楷體" w:cs="細明體"/>
              </w:rPr>
            </w:pPr>
            <w:r w:rsidRPr="00964432">
              <w:rPr>
                <w:rFonts w:ascii="標楷體" w:hAnsi="標楷體" w:hint="eastAsia"/>
              </w:rPr>
              <w:t>四、新股</w:t>
            </w:r>
            <w:r w:rsidRPr="00964432">
              <w:rPr>
                <w:rFonts w:ascii="標楷體" w:hAnsi="標楷體"/>
              </w:rPr>
              <w:t>(</w:t>
            </w:r>
            <w:r w:rsidRPr="00964432">
              <w:rPr>
                <w:rFonts w:ascii="標楷體" w:hAnsi="標楷體" w:hint="eastAsia"/>
              </w:rPr>
              <w:t>含現金增資</w:t>
            </w:r>
            <w:r w:rsidRPr="00964432">
              <w:rPr>
                <w:rFonts w:ascii="標楷體" w:hAnsi="標楷體"/>
              </w:rPr>
              <w:t>)</w:t>
            </w:r>
            <w:r w:rsidRPr="00964432">
              <w:rPr>
                <w:rFonts w:ascii="標楷體" w:hAnsi="標楷體" w:hint="eastAsia"/>
              </w:rPr>
              <w:t>上市或上櫃前之公開申購或競價拍賣。</w:t>
            </w:r>
          </w:p>
          <w:p w:rsidR="00622136" w:rsidRPr="00964432" w:rsidRDefault="00622136" w:rsidP="00494BD8">
            <w:pPr>
              <w:pStyle w:val="a3"/>
              <w:kinsoku w:val="0"/>
              <w:ind w:leftChars="204" w:left="987" w:hangingChars="207" w:hanging="497"/>
              <w:jc w:val="both"/>
              <w:rPr>
                <w:rFonts w:ascii="標楷體"/>
              </w:rPr>
            </w:pPr>
            <w:r w:rsidRPr="00964432">
              <w:rPr>
                <w:rFonts w:ascii="標楷體" w:hAnsi="標楷體" w:hint="eastAsia"/>
              </w:rPr>
              <w:t>五</w:t>
            </w:r>
            <w:r w:rsidRPr="00964432">
              <w:rPr>
                <w:rFonts w:ascii="新細明體" w:eastAsia="新細明體" w:hAnsi="新細明體" w:hint="eastAsia"/>
              </w:rPr>
              <w:t>、</w:t>
            </w:r>
            <w:r w:rsidRPr="00964432">
              <w:rPr>
                <w:rFonts w:ascii="標楷體" w:hAnsi="標楷體" w:cs="細明體" w:hint="eastAsia"/>
                <w:szCs w:val="28"/>
              </w:rPr>
              <w:t>其他經主管機關核准之融通</w:t>
            </w:r>
            <w:r w:rsidRPr="00964432">
              <w:rPr>
                <w:rFonts w:ascii="標楷體" w:hAnsi="標楷體" w:hint="eastAsia"/>
              </w:rPr>
              <w:t>範圍</w:t>
            </w:r>
            <w:r w:rsidRPr="00964432">
              <w:rPr>
                <w:rFonts w:ascii="新細明體" w:eastAsia="新細明體" w:hAnsi="新細明體" w:cs="細明體" w:hint="eastAsia"/>
                <w:szCs w:val="28"/>
              </w:rPr>
              <w:t>。</w:t>
            </w:r>
          </w:p>
          <w:p w:rsidR="00622136" w:rsidRPr="00964432" w:rsidRDefault="00622136" w:rsidP="00494BD8">
            <w:pPr>
              <w:kinsoku w:val="0"/>
              <w:ind w:leftChars="204" w:left="490" w:firstLineChars="204" w:firstLine="490"/>
              <w:jc w:val="both"/>
              <w:rPr>
                <w:rFonts w:ascii="標楷體" w:eastAsia="標楷體" w:hAnsi="標楷體" w:cs="細明體"/>
              </w:rPr>
            </w:pPr>
            <w:r w:rsidRPr="00964432">
              <w:rPr>
                <w:rFonts w:ascii="標楷體" w:eastAsia="標楷體" w:hAnsi="標楷體" w:hint="eastAsia"/>
              </w:rPr>
              <w:t>前項所稱櫃檯買賣之開放式基金受益憑證係指依櫃檯買賣中心證券商營業處所買賣開放式基金受益憑證審查準則規定於櫃檯買賣中心登錄買賣之證券投資信託基金受益憑證；所稱</w:t>
            </w:r>
            <w:r w:rsidRPr="00964432">
              <w:rPr>
                <w:rFonts w:ascii="標楷體" w:eastAsia="標楷體" w:hAnsi="標楷體" w:cs="細明體" w:hint="eastAsia"/>
              </w:rPr>
              <w:t>證券投資信託基金係指證券投資信託</w:t>
            </w:r>
            <w:r w:rsidRPr="00964432">
              <w:rPr>
                <w:rFonts w:ascii="標楷體" w:eastAsia="標楷體" w:hAnsi="標楷體" w:cs="細明體" w:hint="eastAsia"/>
              </w:rPr>
              <w:lastRenderedPageBreak/>
              <w:t>基金管理辦法第二十三條規定之信託基金</w:t>
            </w:r>
            <w:r w:rsidRPr="00964432">
              <w:rPr>
                <w:rFonts w:ascii="標楷體" w:eastAsia="標楷體" w:hAnsi="標楷體" w:hint="eastAsia"/>
              </w:rPr>
              <w:t>；</w:t>
            </w:r>
            <w:r w:rsidRPr="00964432">
              <w:rPr>
                <w:rFonts w:ascii="標楷體" w:eastAsia="標楷體" w:hAnsi="標楷體" w:cs="細明體" w:hint="eastAsia"/>
              </w:rPr>
              <w:t>所稱期貨信託基金，係指期貨信託基金管理辦法第八條、第九條、第十條及第十條之</w:t>
            </w:r>
            <w:proofErr w:type="gramStart"/>
            <w:r w:rsidRPr="00964432">
              <w:rPr>
                <w:rFonts w:ascii="標楷體" w:eastAsia="標楷體" w:hAnsi="標楷體" w:cs="細明體" w:hint="eastAsia"/>
              </w:rPr>
              <w:t>ㄧ</w:t>
            </w:r>
            <w:proofErr w:type="gramEnd"/>
            <w:r w:rsidRPr="00964432">
              <w:rPr>
                <w:rFonts w:ascii="標楷體" w:eastAsia="標楷體" w:hAnsi="標楷體" w:cs="細明體" w:hint="eastAsia"/>
              </w:rPr>
              <w:t>規定之信託基金。</w:t>
            </w:r>
          </w:p>
          <w:p w:rsidR="00622136" w:rsidRPr="00964432" w:rsidRDefault="00622136" w:rsidP="00ED007B">
            <w:pPr>
              <w:kinsoku w:val="0"/>
              <w:ind w:leftChars="204" w:left="490" w:firstLineChars="204" w:firstLine="490"/>
              <w:jc w:val="both"/>
              <w:rPr>
                <w:rFonts w:ascii="標楷體" w:eastAsia="標楷體" w:hAnsi="標楷體" w:cs="細明體"/>
              </w:rPr>
            </w:pPr>
            <w:r w:rsidRPr="00964432">
              <w:rPr>
                <w:rFonts w:ascii="標楷體" w:eastAsia="標楷體" w:hAnsi="標楷體" w:cs="細明體" w:hint="eastAsia"/>
              </w:rPr>
              <w:t>前項證券投資信託基金受益憑證及期貨信託基金受益憑證，其範圍以新臺幣計價，投資國內者為限。</w:t>
            </w:r>
          </w:p>
          <w:p w:rsidR="00622136" w:rsidRPr="00964432" w:rsidRDefault="00622136" w:rsidP="00494BD8">
            <w:pPr>
              <w:kinsoku w:val="0"/>
              <w:ind w:leftChars="204" w:left="490" w:firstLineChars="204" w:firstLine="490"/>
              <w:jc w:val="both"/>
              <w:rPr>
                <w:rFonts w:ascii="標楷體" w:eastAsia="標楷體" w:hAnsi="標楷體"/>
              </w:rPr>
            </w:pPr>
          </w:p>
          <w:p w:rsidR="00622136" w:rsidRPr="00964432" w:rsidRDefault="00622136" w:rsidP="00622136">
            <w:pPr>
              <w:kinsoku w:val="0"/>
              <w:ind w:left="960" w:hangingChars="400" w:hanging="960"/>
              <w:jc w:val="both"/>
              <w:rPr>
                <w:rFonts w:ascii="標楷體" w:eastAsia="標楷體" w:hAnsi="標楷體"/>
              </w:rPr>
            </w:pPr>
            <w:proofErr w:type="gramStart"/>
            <w:r w:rsidRPr="00964432">
              <w:rPr>
                <w:rFonts w:ascii="標楷體" w:eastAsia="標楷體" w:hAnsi="標楷體" w:hint="eastAsia"/>
              </w:rPr>
              <w:t>【</w:t>
            </w:r>
            <w:proofErr w:type="gramEnd"/>
            <w:r w:rsidRPr="00964432">
              <w:rPr>
                <w:rFonts w:ascii="標楷體" w:eastAsia="標楷體" w:hAnsi="標楷體" w:hint="eastAsia"/>
              </w:rPr>
              <w:t>第六、七項略。】</w:t>
            </w:r>
          </w:p>
        </w:tc>
        <w:tc>
          <w:tcPr>
            <w:tcW w:w="3544" w:type="dxa"/>
          </w:tcPr>
          <w:p w:rsidR="00622136" w:rsidRPr="00964432" w:rsidRDefault="00622136" w:rsidP="00494BD8">
            <w:pPr>
              <w:kinsoku w:val="0"/>
              <w:ind w:left="504" w:hangingChars="210" w:hanging="504"/>
              <w:jc w:val="both"/>
              <w:rPr>
                <w:rFonts w:ascii="標楷體" w:eastAsia="標楷體" w:hAnsi="標楷體"/>
              </w:rPr>
            </w:pPr>
            <w:r w:rsidRPr="00964432">
              <w:rPr>
                <w:rFonts w:ascii="標楷體" w:eastAsia="標楷體" w:hAnsi="標楷體" w:hint="eastAsia"/>
              </w:rPr>
              <w:lastRenderedPageBreak/>
              <w:t>第二條</w:t>
            </w:r>
            <w:r w:rsidRPr="00964432">
              <w:rPr>
                <w:rFonts w:ascii="標楷體" w:eastAsia="標楷體" w:hAnsi="標楷體"/>
              </w:rPr>
              <w:t xml:space="preserve"> </w:t>
            </w:r>
          </w:p>
          <w:p w:rsidR="00622136" w:rsidRPr="00964432" w:rsidRDefault="00622136" w:rsidP="00622136">
            <w:pPr>
              <w:kinsoku w:val="0"/>
              <w:ind w:leftChars="200" w:left="480" w:firstLineChars="150" w:firstLine="360"/>
              <w:jc w:val="both"/>
              <w:rPr>
                <w:rFonts w:ascii="標楷體" w:eastAsia="標楷體" w:hAnsi="標楷體"/>
              </w:rPr>
            </w:pPr>
            <w:r w:rsidRPr="00964432">
              <w:rPr>
                <w:rFonts w:ascii="標楷體" w:eastAsia="標楷體" w:hAnsi="標楷體" w:hint="eastAsia"/>
              </w:rPr>
              <w:t>【第一</w:t>
            </w:r>
            <w:r w:rsidR="00ED007B" w:rsidRPr="00964432">
              <w:rPr>
                <w:rFonts w:ascii="標楷體" w:eastAsia="標楷體" w:hAnsi="標楷體" w:hint="eastAsia"/>
              </w:rPr>
              <w:t>、二</w:t>
            </w:r>
            <w:r w:rsidRPr="00964432">
              <w:rPr>
                <w:rFonts w:ascii="標楷體" w:eastAsia="標楷體" w:hAnsi="標楷體" w:hint="eastAsia"/>
              </w:rPr>
              <w:t>項略】</w:t>
            </w:r>
          </w:p>
          <w:p w:rsidR="00622136" w:rsidRPr="00964432" w:rsidRDefault="00622136" w:rsidP="00622136">
            <w:pPr>
              <w:pStyle w:val="a3"/>
              <w:kinsoku w:val="0"/>
              <w:ind w:leftChars="204" w:left="490"/>
              <w:jc w:val="both"/>
              <w:rPr>
                <w:rFonts w:ascii="標楷體"/>
              </w:rPr>
            </w:pPr>
            <w:r w:rsidRPr="00964432">
              <w:rPr>
                <w:rFonts w:ascii="標楷體" w:hAnsi="標楷體" w:hint="eastAsia"/>
              </w:rPr>
              <w:t>證券商辦理證券業務借貸款項</w:t>
            </w:r>
            <w:r w:rsidRPr="00964432">
              <w:rPr>
                <w:rFonts w:ascii="標楷體" w:hAnsi="標楷體" w:cs="細明體" w:hint="eastAsia"/>
                <w:szCs w:val="28"/>
              </w:rPr>
              <w:t>融通</w:t>
            </w:r>
            <w:r w:rsidRPr="00964432">
              <w:rPr>
                <w:rFonts w:ascii="標楷體" w:hAnsi="標楷體" w:hint="eastAsia"/>
              </w:rPr>
              <w:t>範圍如下：</w:t>
            </w:r>
          </w:p>
          <w:p w:rsidR="00622136" w:rsidRPr="00964432" w:rsidRDefault="00622136" w:rsidP="00622136">
            <w:pPr>
              <w:pStyle w:val="a3"/>
              <w:kinsoku w:val="0"/>
              <w:ind w:leftChars="204" w:left="987" w:hangingChars="207" w:hanging="497"/>
              <w:jc w:val="both"/>
              <w:rPr>
                <w:rFonts w:ascii="標楷體"/>
              </w:rPr>
            </w:pPr>
            <w:r w:rsidRPr="00964432">
              <w:rPr>
                <w:rFonts w:ascii="標楷體" w:hAnsi="標楷體" w:hint="eastAsia"/>
              </w:rPr>
              <w:t>一、上</w:t>
            </w:r>
            <w:proofErr w:type="gramStart"/>
            <w:r w:rsidRPr="00964432">
              <w:rPr>
                <w:rFonts w:ascii="標楷體" w:hAnsi="標楷體" w:hint="eastAsia"/>
              </w:rPr>
              <w:t>巿</w:t>
            </w:r>
            <w:proofErr w:type="gramEnd"/>
            <w:r w:rsidRPr="00964432">
              <w:rPr>
                <w:rFonts w:ascii="標楷體" w:hAnsi="標楷體" w:hint="eastAsia"/>
              </w:rPr>
              <w:t>或上櫃股票（含新股認購權利證書、新股權利證書及股款繳納憑證）、認購（售）權證、受益憑證、存託憑證、中央登錄公債、地方政府公債、普通公司債、金融債、轉換公司債、債券換股權利證書、受益證券及資產基礎證券。</w:t>
            </w:r>
          </w:p>
          <w:p w:rsidR="00622136" w:rsidRPr="00964432" w:rsidRDefault="00622136" w:rsidP="00622136">
            <w:pPr>
              <w:pStyle w:val="a3"/>
              <w:kinsoku w:val="0"/>
              <w:ind w:leftChars="204" w:left="987" w:hangingChars="207" w:hanging="497"/>
              <w:jc w:val="both"/>
              <w:rPr>
                <w:rFonts w:ascii="標楷體" w:cs="細明體"/>
              </w:rPr>
            </w:pPr>
            <w:r w:rsidRPr="00964432">
              <w:rPr>
                <w:rFonts w:ascii="標楷體" w:hAnsi="標楷體" w:hint="eastAsia"/>
              </w:rPr>
              <w:t>二、</w:t>
            </w:r>
            <w:r w:rsidRPr="00964432">
              <w:rPr>
                <w:rFonts w:ascii="標楷體" w:hAnsi="標楷體" w:cs="細明體" w:hint="eastAsia"/>
              </w:rPr>
              <w:t>櫃檯買賣之開放式基金受益憑證及黃金現貨。</w:t>
            </w:r>
          </w:p>
          <w:p w:rsidR="00622136" w:rsidRPr="00964432" w:rsidRDefault="00622136" w:rsidP="00622136">
            <w:pPr>
              <w:pStyle w:val="a3"/>
              <w:kinsoku w:val="0"/>
              <w:ind w:leftChars="204" w:left="987" w:hangingChars="207" w:hanging="497"/>
              <w:jc w:val="both"/>
              <w:rPr>
                <w:rFonts w:ascii="標楷體" w:cs="細明體"/>
              </w:rPr>
            </w:pPr>
            <w:r w:rsidRPr="00964432">
              <w:rPr>
                <w:rFonts w:ascii="標楷體" w:hAnsi="標楷體" w:hint="eastAsia"/>
              </w:rPr>
              <w:t>三、</w:t>
            </w:r>
            <w:r w:rsidRPr="00964432">
              <w:rPr>
                <w:rFonts w:ascii="標楷體" w:hAnsi="標楷體" w:cs="細明體" w:hint="eastAsia"/>
              </w:rPr>
              <w:t>開放式證券投資信託基金受益憑證及期貨信託基金受益憑證之申購。</w:t>
            </w:r>
          </w:p>
          <w:p w:rsidR="00622136" w:rsidRPr="00964432" w:rsidRDefault="00622136" w:rsidP="00622136">
            <w:pPr>
              <w:pStyle w:val="a3"/>
              <w:kinsoku w:val="0"/>
              <w:ind w:leftChars="204" w:left="987" w:hangingChars="207" w:hanging="497"/>
              <w:jc w:val="both"/>
              <w:rPr>
                <w:rFonts w:ascii="標楷體" w:cs="細明體"/>
              </w:rPr>
            </w:pPr>
            <w:r w:rsidRPr="00964432">
              <w:rPr>
                <w:rFonts w:ascii="標楷體" w:hAnsi="標楷體" w:hint="eastAsia"/>
              </w:rPr>
              <w:t>四、新股</w:t>
            </w:r>
            <w:r w:rsidRPr="00964432">
              <w:rPr>
                <w:rFonts w:ascii="標楷體" w:hAnsi="標楷體"/>
              </w:rPr>
              <w:t>(</w:t>
            </w:r>
            <w:r w:rsidRPr="00964432">
              <w:rPr>
                <w:rFonts w:ascii="標楷體" w:hAnsi="標楷體" w:hint="eastAsia"/>
              </w:rPr>
              <w:t>含現金增資</w:t>
            </w:r>
            <w:r w:rsidRPr="00964432">
              <w:rPr>
                <w:rFonts w:ascii="標楷體" w:hAnsi="標楷體"/>
              </w:rPr>
              <w:t>)</w:t>
            </w:r>
            <w:r w:rsidRPr="00964432">
              <w:rPr>
                <w:rFonts w:ascii="標楷體" w:hAnsi="標楷體" w:hint="eastAsia"/>
              </w:rPr>
              <w:t>上市或上櫃前之公開申購或競價拍賣。</w:t>
            </w:r>
          </w:p>
          <w:p w:rsidR="00622136" w:rsidRPr="00964432" w:rsidRDefault="00622136" w:rsidP="00622136">
            <w:pPr>
              <w:pStyle w:val="a3"/>
              <w:kinsoku w:val="0"/>
              <w:ind w:leftChars="204" w:left="987" w:hangingChars="207" w:hanging="497"/>
              <w:jc w:val="both"/>
              <w:rPr>
                <w:rFonts w:ascii="標楷體"/>
              </w:rPr>
            </w:pPr>
            <w:r w:rsidRPr="00964432">
              <w:rPr>
                <w:rFonts w:ascii="標楷體" w:hAnsi="標楷體" w:hint="eastAsia"/>
              </w:rPr>
              <w:t>五</w:t>
            </w:r>
            <w:r w:rsidRPr="00964432">
              <w:rPr>
                <w:rFonts w:ascii="新細明體" w:eastAsia="新細明體" w:hAnsi="新細明體" w:hint="eastAsia"/>
              </w:rPr>
              <w:t>、</w:t>
            </w:r>
            <w:r w:rsidRPr="00964432">
              <w:rPr>
                <w:rFonts w:ascii="標楷體" w:hAnsi="標楷體" w:cs="細明體" w:hint="eastAsia"/>
                <w:szCs w:val="28"/>
              </w:rPr>
              <w:t>其他經主管機關核准之融通</w:t>
            </w:r>
            <w:r w:rsidRPr="00964432">
              <w:rPr>
                <w:rFonts w:ascii="標楷體" w:hAnsi="標楷體" w:hint="eastAsia"/>
              </w:rPr>
              <w:t>範圍</w:t>
            </w:r>
            <w:r w:rsidRPr="00964432">
              <w:rPr>
                <w:rFonts w:ascii="新細明體" w:eastAsia="新細明體" w:hAnsi="新細明體" w:cs="細明體" w:hint="eastAsia"/>
                <w:szCs w:val="28"/>
              </w:rPr>
              <w:t>。</w:t>
            </w:r>
          </w:p>
          <w:p w:rsidR="00622136" w:rsidRPr="00964432" w:rsidRDefault="00622136" w:rsidP="00622136">
            <w:pPr>
              <w:kinsoku w:val="0"/>
              <w:ind w:leftChars="204" w:left="490" w:firstLineChars="204" w:firstLine="490"/>
              <w:jc w:val="both"/>
              <w:rPr>
                <w:rFonts w:ascii="標楷體" w:eastAsia="標楷體" w:hAnsi="標楷體" w:cs="細明體"/>
              </w:rPr>
            </w:pPr>
            <w:r w:rsidRPr="00964432">
              <w:rPr>
                <w:rFonts w:ascii="標楷體" w:eastAsia="標楷體" w:hAnsi="標楷體" w:hint="eastAsia"/>
              </w:rPr>
              <w:t>前項所稱櫃檯買賣之開放式基金受益憑證係指依櫃檯買賣中心證券商營業處所買賣開放式基金受益憑證審查準則規定於櫃檯買賣中心登錄買賣之證券投資信託基金受益憑證；所稱</w:t>
            </w:r>
            <w:r w:rsidRPr="00964432">
              <w:rPr>
                <w:rFonts w:ascii="標楷體" w:eastAsia="標楷體" w:hAnsi="標楷體" w:cs="細明體" w:hint="eastAsia"/>
              </w:rPr>
              <w:t>證券投資信託基金係指證券投資信託基金管理</w:t>
            </w:r>
            <w:r w:rsidRPr="00964432">
              <w:rPr>
                <w:rFonts w:ascii="標楷體" w:eastAsia="標楷體" w:hAnsi="標楷體" w:cs="細明體" w:hint="eastAsia"/>
              </w:rPr>
              <w:lastRenderedPageBreak/>
              <w:t>辦法第二十三條規定之信託基金</w:t>
            </w:r>
            <w:r w:rsidRPr="00964432">
              <w:rPr>
                <w:rFonts w:ascii="標楷體" w:eastAsia="標楷體" w:hAnsi="標楷體" w:hint="eastAsia"/>
              </w:rPr>
              <w:t>；</w:t>
            </w:r>
            <w:r w:rsidRPr="00964432">
              <w:rPr>
                <w:rFonts w:ascii="標楷體" w:eastAsia="標楷體" w:hAnsi="標楷體" w:cs="細明體" w:hint="eastAsia"/>
              </w:rPr>
              <w:t>所稱期貨信託基金，係指期貨信託基金管理辦法第八條、第九條、第十條及第十條之</w:t>
            </w:r>
            <w:proofErr w:type="gramStart"/>
            <w:r w:rsidRPr="00964432">
              <w:rPr>
                <w:rFonts w:ascii="標楷體" w:eastAsia="標楷體" w:hAnsi="標楷體" w:cs="細明體" w:hint="eastAsia"/>
              </w:rPr>
              <w:t>ㄧ</w:t>
            </w:r>
            <w:proofErr w:type="gramEnd"/>
            <w:r w:rsidRPr="00964432">
              <w:rPr>
                <w:rFonts w:ascii="標楷體" w:eastAsia="標楷體" w:hAnsi="標楷體" w:cs="細明體" w:hint="eastAsia"/>
              </w:rPr>
              <w:t>規定之信託基金。</w:t>
            </w:r>
          </w:p>
          <w:p w:rsidR="00622136" w:rsidRPr="00964432" w:rsidRDefault="00622136" w:rsidP="00622136">
            <w:pPr>
              <w:kinsoku w:val="0"/>
              <w:ind w:leftChars="204" w:left="490" w:firstLineChars="204" w:firstLine="490"/>
              <w:jc w:val="both"/>
              <w:rPr>
                <w:rFonts w:ascii="標楷體" w:eastAsia="標楷體" w:hAnsi="標楷體" w:cs="細明體"/>
              </w:rPr>
            </w:pPr>
            <w:r w:rsidRPr="00964432">
              <w:rPr>
                <w:rFonts w:ascii="標楷體" w:eastAsia="標楷體" w:hAnsi="標楷體" w:cs="細明體" w:hint="eastAsia"/>
              </w:rPr>
              <w:t>前項證券投資信託基金受益憑證及期貨信託基金受益憑證，其範圍以新臺幣計價，投資國內者為限。</w:t>
            </w:r>
          </w:p>
          <w:p w:rsidR="00622136" w:rsidRPr="00964432" w:rsidRDefault="00622136" w:rsidP="00622136">
            <w:pPr>
              <w:kinsoku w:val="0"/>
              <w:ind w:leftChars="204" w:left="490" w:firstLineChars="204" w:firstLine="490"/>
              <w:jc w:val="both"/>
              <w:rPr>
                <w:rFonts w:ascii="標楷體" w:eastAsia="標楷體" w:hAnsi="標楷體"/>
              </w:rPr>
            </w:pPr>
          </w:p>
          <w:p w:rsidR="00622136" w:rsidRPr="00964432" w:rsidRDefault="00622136" w:rsidP="00622136">
            <w:pPr>
              <w:kinsoku w:val="0"/>
              <w:ind w:leftChars="100" w:left="240"/>
              <w:jc w:val="both"/>
              <w:rPr>
                <w:rFonts w:ascii="標楷體" w:eastAsia="標楷體" w:hAnsi="標楷體"/>
              </w:rPr>
            </w:pPr>
            <w:proofErr w:type="gramStart"/>
            <w:r w:rsidRPr="00964432">
              <w:rPr>
                <w:rFonts w:ascii="標楷體" w:eastAsia="標楷體" w:hAnsi="標楷體" w:hint="eastAsia"/>
              </w:rPr>
              <w:t>【</w:t>
            </w:r>
            <w:proofErr w:type="gramEnd"/>
            <w:r w:rsidRPr="00964432">
              <w:rPr>
                <w:rFonts w:ascii="標楷體" w:eastAsia="標楷體" w:hAnsi="標楷體" w:hint="eastAsia"/>
              </w:rPr>
              <w:t>第六、七項略。】</w:t>
            </w:r>
          </w:p>
        </w:tc>
        <w:tc>
          <w:tcPr>
            <w:tcW w:w="2167" w:type="dxa"/>
          </w:tcPr>
          <w:p w:rsidR="00622136" w:rsidRPr="00964432" w:rsidRDefault="0006672A" w:rsidP="0006672A">
            <w:pPr>
              <w:kinsoku w:val="0"/>
              <w:jc w:val="both"/>
              <w:rPr>
                <w:rFonts w:ascii="標楷體" w:eastAsia="標楷體" w:hAnsi="標楷體"/>
                <w:szCs w:val="24"/>
              </w:rPr>
            </w:pPr>
            <w:r w:rsidRPr="00964432">
              <w:rPr>
                <w:rFonts w:ascii="標楷體" w:eastAsia="標楷體" w:hAnsi="標楷體" w:cs="細明體" w:hint="eastAsia"/>
              </w:rPr>
              <w:lastRenderedPageBreak/>
              <w:t>因應開放外幣買賣之指數股票型基金受益憑證掛牌交易，</w:t>
            </w:r>
            <w:proofErr w:type="gramStart"/>
            <w:r w:rsidRPr="00964432">
              <w:rPr>
                <w:rFonts w:ascii="標楷體" w:eastAsia="標楷體" w:hAnsi="標楷體" w:cs="細明體" w:hint="eastAsia"/>
              </w:rPr>
              <w:t>爰</w:t>
            </w:r>
            <w:proofErr w:type="gramEnd"/>
            <w:r w:rsidRPr="00964432">
              <w:rPr>
                <w:rFonts w:ascii="標楷體" w:eastAsia="標楷體" w:hAnsi="標楷體" w:cs="細明體" w:hint="eastAsia"/>
              </w:rPr>
              <w:t>修訂第三項，增訂該種證券不得為融通標的。</w:t>
            </w:r>
          </w:p>
        </w:tc>
      </w:tr>
      <w:tr w:rsidR="00622136" w:rsidRPr="00964432" w:rsidTr="00C43A1C">
        <w:trPr>
          <w:jc w:val="center"/>
        </w:trPr>
        <w:tc>
          <w:tcPr>
            <w:tcW w:w="3644" w:type="dxa"/>
          </w:tcPr>
          <w:p w:rsidR="00622136" w:rsidRPr="00964432" w:rsidRDefault="00622136" w:rsidP="00ED007B">
            <w:pPr>
              <w:kinsoku w:val="0"/>
              <w:spacing w:line="440" w:lineRule="exact"/>
              <w:ind w:left="504" w:hangingChars="210" w:hanging="504"/>
              <w:jc w:val="both"/>
              <w:rPr>
                <w:rFonts w:ascii="標楷體" w:eastAsia="標楷體" w:hAnsi="標楷體"/>
                <w:szCs w:val="28"/>
              </w:rPr>
            </w:pPr>
            <w:r w:rsidRPr="00964432">
              <w:rPr>
                <w:rFonts w:ascii="標楷體" w:eastAsia="標楷體" w:hAnsi="標楷體" w:hint="eastAsia"/>
                <w:szCs w:val="28"/>
              </w:rPr>
              <w:lastRenderedPageBreak/>
              <w:t>第十六條</w:t>
            </w:r>
          </w:p>
          <w:p w:rsidR="00622136" w:rsidRPr="00964432" w:rsidRDefault="00C43A1C" w:rsidP="00ED007B">
            <w:pPr>
              <w:kinsoku w:val="0"/>
              <w:spacing w:line="440" w:lineRule="exact"/>
              <w:ind w:left="504" w:hangingChars="210" w:hanging="504"/>
              <w:jc w:val="both"/>
              <w:rPr>
                <w:rFonts w:ascii="標楷體" w:eastAsia="標楷體" w:hAnsi="標楷體"/>
                <w:szCs w:val="28"/>
              </w:rPr>
            </w:pPr>
            <w:proofErr w:type="gramStart"/>
            <w:r w:rsidRPr="00964432">
              <w:rPr>
                <w:rFonts w:ascii="標楷體" w:eastAsia="標楷體" w:hAnsi="標楷體" w:hint="eastAsia"/>
              </w:rPr>
              <w:t>【</w:t>
            </w:r>
            <w:proofErr w:type="gramEnd"/>
            <w:r w:rsidRPr="00964432">
              <w:rPr>
                <w:rFonts w:ascii="標楷體" w:eastAsia="標楷體" w:hAnsi="標楷體" w:hint="eastAsia"/>
              </w:rPr>
              <w:t>第一至八項略。】</w:t>
            </w:r>
          </w:p>
          <w:p w:rsidR="00622136" w:rsidRPr="00964432" w:rsidRDefault="00622136" w:rsidP="00ED007B">
            <w:pPr>
              <w:pStyle w:val="2"/>
              <w:kinsoku w:val="0"/>
              <w:spacing w:line="440" w:lineRule="exact"/>
              <w:rPr>
                <w:rFonts w:ascii="標楷體" w:eastAsia="標楷體" w:hAnsi="標楷體" w:cs="細明體"/>
              </w:rPr>
            </w:pPr>
            <w:r w:rsidRPr="00964432">
              <w:rPr>
                <w:rFonts w:ascii="標楷體" w:eastAsia="標楷體" w:hAnsi="標楷體" w:cs="細明體" w:hint="eastAsia"/>
              </w:rPr>
              <w:t>第一項擔保品以下列為限：</w:t>
            </w:r>
          </w:p>
          <w:p w:rsidR="00622136" w:rsidRPr="00964432" w:rsidRDefault="00622136" w:rsidP="00ED007B">
            <w:pPr>
              <w:pStyle w:val="HTML"/>
              <w:kinsoku w:val="0"/>
              <w:spacing w:line="440" w:lineRule="exact"/>
              <w:ind w:left="947" w:hanging="459"/>
              <w:jc w:val="both"/>
              <w:rPr>
                <w:rFonts w:ascii="標楷體" w:eastAsia="標楷體" w:hAnsi="標楷體" w:cs="Arial Unicode MS"/>
                <w:color w:val="auto"/>
                <w:szCs w:val="28"/>
              </w:rPr>
            </w:pPr>
            <w:r w:rsidRPr="00964432">
              <w:rPr>
                <w:rFonts w:ascii="標楷體" w:eastAsia="標楷體" w:hAnsi="標楷體" w:hint="eastAsia"/>
                <w:color w:val="auto"/>
                <w:szCs w:val="28"/>
              </w:rPr>
              <w:t>一、</w:t>
            </w:r>
            <w:r w:rsidRPr="00964432">
              <w:rPr>
                <w:rFonts w:ascii="標楷體" w:eastAsia="標楷體" w:hAnsi="標楷體" w:cs="細明體" w:hint="eastAsia"/>
                <w:color w:val="auto"/>
              </w:rPr>
              <w:t>上市或上櫃有價證券，</w:t>
            </w:r>
            <w:r w:rsidR="00ED007B" w:rsidRPr="00964432">
              <w:rPr>
                <w:rFonts w:ascii="標楷體" w:eastAsia="標楷體" w:hAnsi="標楷體" w:hint="eastAsia"/>
                <w:color w:val="auto"/>
                <w:u w:val="single"/>
              </w:rPr>
              <w:t>但不包含外幣買賣之指數股票型基金受益憑證</w:t>
            </w:r>
            <w:r w:rsidR="00ED007B" w:rsidRPr="00964432">
              <w:rPr>
                <w:rFonts w:ascii="標楷體" w:eastAsia="標楷體" w:hAnsi="標楷體" w:hint="eastAsia"/>
                <w:color w:val="auto"/>
              </w:rPr>
              <w:t>、</w:t>
            </w:r>
            <w:r w:rsidRPr="00964432">
              <w:rPr>
                <w:rFonts w:ascii="標楷體" w:eastAsia="標楷體" w:hAnsi="標楷體" w:hint="eastAsia"/>
                <w:color w:val="auto"/>
                <w:szCs w:val="28"/>
              </w:rPr>
              <w:t>變更交易方法及櫃檯買賣管理股票</w:t>
            </w:r>
            <w:r w:rsidRPr="00964432">
              <w:rPr>
                <w:rFonts w:ascii="標楷體" w:eastAsia="標楷體" w:hAnsi="標楷體" w:cs="Arial Unicode MS" w:hint="eastAsia"/>
                <w:color w:val="auto"/>
                <w:szCs w:val="28"/>
              </w:rPr>
              <w:t>。</w:t>
            </w:r>
          </w:p>
          <w:p w:rsidR="00622136" w:rsidRPr="00964432" w:rsidRDefault="00622136" w:rsidP="00ED007B">
            <w:pPr>
              <w:kinsoku w:val="0"/>
              <w:spacing w:line="440" w:lineRule="exact"/>
              <w:ind w:leftChars="210" w:left="941" w:hangingChars="182" w:hanging="437"/>
              <w:jc w:val="both"/>
              <w:rPr>
                <w:rFonts w:ascii="標楷體" w:eastAsia="標楷體" w:hAnsi="標楷體"/>
              </w:rPr>
            </w:pPr>
            <w:r w:rsidRPr="00964432">
              <w:rPr>
                <w:rFonts w:ascii="標楷體" w:eastAsia="標楷體" w:hAnsi="標楷體" w:cs="Arial Unicode MS" w:hint="eastAsia"/>
                <w:kern w:val="0"/>
                <w:szCs w:val="28"/>
              </w:rPr>
              <w:t>二、</w:t>
            </w:r>
            <w:r w:rsidRPr="00964432">
              <w:rPr>
                <w:rFonts w:ascii="標楷體" w:eastAsia="標楷體" w:hAnsi="標楷體" w:hint="eastAsia"/>
              </w:rPr>
              <w:t>櫃檯買賣之開放式基金受益憑證或黃金現貨</w:t>
            </w:r>
            <w:r w:rsidRPr="00964432">
              <w:rPr>
                <w:rFonts w:ascii="新細明體" w:hAnsi="新細明體" w:hint="eastAsia"/>
              </w:rPr>
              <w:t>。</w:t>
            </w:r>
          </w:p>
          <w:p w:rsidR="00622136" w:rsidRPr="00964432" w:rsidRDefault="00622136" w:rsidP="00ED007B">
            <w:pPr>
              <w:kinsoku w:val="0"/>
              <w:spacing w:line="440" w:lineRule="exact"/>
              <w:ind w:leftChars="210" w:left="941" w:hangingChars="182" w:hanging="437"/>
              <w:jc w:val="both"/>
              <w:rPr>
                <w:rFonts w:ascii="標楷體" w:eastAsia="標楷體" w:hAnsi="標楷體"/>
              </w:rPr>
            </w:pPr>
            <w:r w:rsidRPr="00964432">
              <w:rPr>
                <w:rFonts w:ascii="標楷體" w:eastAsia="標楷體" w:hAnsi="標楷體" w:cs="Arial Unicode MS" w:hint="eastAsia"/>
                <w:kern w:val="0"/>
                <w:szCs w:val="28"/>
              </w:rPr>
              <w:t>三、國內募集投資國內之</w:t>
            </w:r>
            <w:r w:rsidRPr="00964432">
              <w:rPr>
                <w:rFonts w:ascii="標楷體" w:eastAsia="標楷體" w:hAnsi="標楷體" w:cs="細明體" w:hint="eastAsia"/>
              </w:rPr>
              <w:t>開放式證券投資信託基金受益憑證及期貨信託基金受益憑證</w:t>
            </w:r>
            <w:r w:rsidRPr="00964432">
              <w:rPr>
                <w:rFonts w:ascii="標楷體" w:eastAsia="標楷體" w:hAnsi="標楷體" w:cs="細明體" w:hint="eastAsia"/>
                <w:szCs w:val="24"/>
              </w:rPr>
              <w:t>。</w:t>
            </w:r>
          </w:p>
          <w:p w:rsidR="00622136" w:rsidRPr="00964432" w:rsidRDefault="00622136" w:rsidP="00ED00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947" w:hanging="459"/>
              <w:jc w:val="both"/>
              <w:rPr>
                <w:rFonts w:ascii="標楷體" w:eastAsia="標楷體" w:hAnsi="標楷體" w:cs="細明體"/>
                <w:szCs w:val="28"/>
              </w:rPr>
            </w:pPr>
            <w:r w:rsidRPr="00964432">
              <w:rPr>
                <w:rFonts w:ascii="標楷體" w:eastAsia="標楷體" w:hAnsi="標楷體" w:cs="細明體" w:hint="eastAsia"/>
                <w:szCs w:val="28"/>
              </w:rPr>
              <w:t>四、其他經主管機關核准之擔保品。</w:t>
            </w:r>
          </w:p>
          <w:p w:rsidR="00622136" w:rsidRPr="00964432" w:rsidRDefault="00622136" w:rsidP="00ED007B">
            <w:pPr>
              <w:kinsoku w:val="0"/>
              <w:spacing w:line="440" w:lineRule="exact"/>
              <w:ind w:left="504" w:hangingChars="210" w:hanging="504"/>
              <w:jc w:val="both"/>
              <w:rPr>
                <w:rFonts w:ascii="標楷體" w:eastAsia="標楷體" w:hAnsi="標楷體"/>
                <w:szCs w:val="28"/>
              </w:rPr>
            </w:pPr>
          </w:p>
          <w:p w:rsidR="00622136" w:rsidRPr="00964432" w:rsidRDefault="00C43A1C" w:rsidP="00ED007B">
            <w:pPr>
              <w:kinsoku w:val="0"/>
              <w:spacing w:line="440" w:lineRule="exact"/>
              <w:ind w:left="504" w:hangingChars="210" w:hanging="504"/>
              <w:jc w:val="both"/>
              <w:rPr>
                <w:rFonts w:ascii="標楷體" w:eastAsia="標楷體" w:hAnsi="標楷體"/>
                <w:szCs w:val="28"/>
              </w:rPr>
            </w:pPr>
            <w:proofErr w:type="gramStart"/>
            <w:r w:rsidRPr="00964432">
              <w:rPr>
                <w:rFonts w:ascii="標楷體" w:eastAsia="標楷體" w:hAnsi="標楷體" w:hint="eastAsia"/>
              </w:rPr>
              <w:t>【</w:t>
            </w:r>
            <w:proofErr w:type="gramEnd"/>
            <w:r w:rsidRPr="00964432">
              <w:rPr>
                <w:rFonts w:ascii="標楷體" w:eastAsia="標楷體" w:hAnsi="標楷體" w:hint="eastAsia"/>
              </w:rPr>
              <w:t>第十至十二項略。】</w:t>
            </w:r>
          </w:p>
          <w:p w:rsidR="00622136" w:rsidRPr="00964432" w:rsidRDefault="00622136" w:rsidP="00ED007B">
            <w:pPr>
              <w:kinsoku w:val="0"/>
              <w:spacing w:line="440" w:lineRule="exact"/>
              <w:ind w:left="504" w:hangingChars="210" w:hanging="504"/>
              <w:jc w:val="both"/>
              <w:rPr>
                <w:rFonts w:ascii="標楷體" w:eastAsia="標楷體" w:hAnsi="標楷體"/>
              </w:rPr>
            </w:pPr>
          </w:p>
        </w:tc>
        <w:tc>
          <w:tcPr>
            <w:tcW w:w="3544" w:type="dxa"/>
          </w:tcPr>
          <w:p w:rsidR="00622136" w:rsidRPr="00964432" w:rsidRDefault="00622136" w:rsidP="00ED007B">
            <w:pPr>
              <w:kinsoku w:val="0"/>
              <w:spacing w:line="440" w:lineRule="exact"/>
              <w:ind w:left="504" w:hangingChars="210" w:hanging="504"/>
              <w:jc w:val="both"/>
              <w:rPr>
                <w:rFonts w:ascii="標楷體" w:eastAsia="標楷體" w:hAnsi="標楷體"/>
                <w:szCs w:val="24"/>
              </w:rPr>
            </w:pPr>
            <w:r w:rsidRPr="00964432">
              <w:rPr>
                <w:rFonts w:ascii="標楷體" w:eastAsia="標楷體" w:hAnsi="標楷體" w:hint="eastAsia"/>
                <w:szCs w:val="24"/>
              </w:rPr>
              <w:t>第十六條</w:t>
            </w:r>
          </w:p>
          <w:p w:rsidR="00C43A1C" w:rsidRPr="00964432" w:rsidRDefault="00C43A1C" w:rsidP="00ED007B">
            <w:pPr>
              <w:kinsoku w:val="0"/>
              <w:spacing w:line="440" w:lineRule="exact"/>
              <w:ind w:left="504" w:hangingChars="210" w:hanging="504"/>
              <w:jc w:val="both"/>
              <w:rPr>
                <w:rFonts w:ascii="標楷體" w:eastAsia="標楷體" w:hAnsi="標楷體"/>
                <w:szCs w:val="28"/>
              </w:rPr>
            </w:pPr>
            <w:proofErr w:type="gramStart"/>
            <w:r w:rsidRPr="00964432">
              <w:rPr>
                <w:rFonts w:ascii="標楷體" w:eastAsia="標楷體" w:hAnsi="標楷體" w:hint="eastAsia"/>
              </w:rPr>
              <w:t>【</w:t>
            </w:r>
            <w:proofErr w:type="gramEnd"/>
            <w:r w:rsidRPr="00964432">
              <w:rPr>
                <w:rFonts w:ascii="標楷體" w:eastAsia="標楷體" w:hAnsi="標楷體" w:hint="eastAsia"/>
              </w:rPr>
              <w:t>第一至八項略。】</w:t>
            </w:r>
          </w:p>
          <w:p w:rsidR="00C43A1C" w:rsidRPr="00964432" w:rsidRDefault="00622136" w:rsidP="00ED007B">
            <w:pPr>
              <w:pStyle w:val="2"/>
              <w:kinsoku w:val="0"/>
              <w:spacing w:line="440" w:lineRule="exact"/>
              <w:rPr>
                <w:rFonts w:ascii="標楷體" w:eastAsia="標楷體" w:hAnsi="標楷體" w:cs="細明體"/>
                <w:szCs w:val="24"/>
              </w:rPr>
            </w:pPr>
            <w:r w:rsidRPr="00964432">
              <w:rPr>
                <w:rFonts w:ascii="標楷體" w:eastAsia="標楷體" w:hAnsi="標楷體" w:cs="細明體" w:hint="eastAsia"/>
                <w:szCs w:val="24"/>
              </w:rPr>
              <w:t>第一項擔保品以下列為限：</w:t>
            </w:r>
          </w:p>
          <w:p w:rsidR="00622136" w:rsidRPr="00964432" w:rsidRDefault="00622136" w:rsidP="00ED007B">
            <w:pPr>
              <w:pStyle w:val="2"/>
              <w:kinsoku w:val="0"/>
              <w:spacing w:line="440" w:lineRule="exact"/>
              <w:rPr>
                <w:rFonts w:ascii="標楷體" w:eastAsia="標楷體" w:hAnsi="標楷體" w:cs="Arial Unicode MS"/>
                <w:szCs w:val="28"/>
              </w:rPr>
            </w:pPr>
            <w:r w:rsidRPr="00964432">
              <w:rPr>
                <w:rFonts w:ascii="標楷體" w:eastAsia="標楷體" w:hAnsi="標楷體" w:hint="eastAsia"/>
                <w:szCs w:val="24"/>
              </w:rPr>
              <w:t>一、</w:t>
            </w:r>
            <w:r w:rsidRPr="00964432">
              <w:rPr>
                <w:rFonts w:ascii="標楷體" w:eastAsia="標楷體" w:hAnsi="標楷體" w:cs="細明體" w:hint="eastAsia"/>
                <w:szCs w:val="24"/>
              </w:rPr>
              <w:t>上市或上櫃有價證券</w:t>
            </w:r>
            <w:r w:rsidRPr="00964432">
              <w:rPr>
                <w:rFonts w:ascii="標楷體" w:eastAsia="標楷體" w:hAnsi="標楷體" w:cs="細明體" w:hint="eastAsia"/>
              </w:rPr>
              <w:t>，但</w:t>
            </w:r>
            <w:r w:rsidRPr="00964432">
              <w:rPr>
                <w:rFonts w:ascii="標楷體" w:eastAsia="標楷體" w:hAnsi="標楷體" w:hint="eastAsia"/>
                <w:szCs w:val="28"/>
              </w:rPr>
              <w:t>變更交易方法及櫃檯買賣管理股票者除外</w:t>
            </w:r>
            <w:r w:rsidRPr="00964432">
              <w:rPr>
                <w:rFonts w:ascii="標楷體" w:eastAsia="標楷體" w:hAnsi="標楷體" w:cs="Arial Unicode MS" w:hint="eastAsia"/>
                <w:szCs w:val="28"/>
              </w:rPr>
              <w:t>。</w:t>
            </w:r>
          </w:p>
          <w:p w:rsidR="00622136" w:rsidRPr="00964432" w:rsidRDefault="00622136" w:rsidP="00ED007B">
            <w:pPr>
              <w:kinsoku w:val="0"/>
              <w:spacing w:line="440" w:lineRule="exact"/>
              <w:ind w:leftChars="210" w:left="941" w:hangingChars="182" w:hanging="437"/>
              <w:jc w:val="both"/>
              <w:rPr>
                <w:rFonts w:ascii="標楷體" w:eastAsia="標楷體" w:hAnsi="標楷體"/>
              </w:rPr>
            </w:pPr>
            <w:r w:rsidRPr="00964432">
              <w:rPr>
                <w:rFonts w:ascii="標楷體" w:eastAsia="標楷體" w:hAnsi="標楷體" w:cs="Arial Unicode MS" w:hint="eastAsia"/>
                <w:kern w:val="0"/>
                <w:szCs w:val="28"/>
              </w:rPr>
              <w:t>二、</w:t>
            </w:r>
            <w:r w:rsidRPr="00964432">
              <w:rPr>
                <w:rFonts w:ascii="標楷體" w:eastAsia="標楷體" w:hAnsi="標楷體" w:hint="eastAsia"/>
              </w:rPr>
              <w:t>櫃檯買賣之開放式基金受益憑證或黃金現貨</w:t>
            </w:r>
            <w:r w:rsidRPr="00964432">
              <w:rPr>
                <w:rFonts w:ascii="新細明體" w:hAnsi="新細明體" w:hint="eastAsia"/>
              </w:rPr>
              <w:t>。</w:t>
            </w:r>
          </w:p>
          <w:p w:rsidR="00622136" w:rsidRPr="00964432" w:rsidRDefault="00622136" w:rsidP="00ED007B">
            <w:pPr>
              <w:kinsoku w:val="0"/>
              <w:spacing w:line="440" w:lineRule="exact"/>
              <w:ind w:leftChars="210" w:left="941" w:hangingChars="182" w:hanging="437"/>
              <w:jc w:val="both"/>
              <w:rPr>
                <w:rFonts w:ascii="標楷體" w:eastAsia="標楷體" w:hAnsi="標楷體"/>
              </w:rPr>
            </w:pPr>
            <w:r w:rsidRPr="00964432">
              <w:rPr>
                <w:rFonts w:ascii="標楷體" w:eastAsia="標楷體" w:hAnsi="標楷體" w:cs="Arial Unicode MS" w:hint="eastAsia"/>
                <w:kern w:val="0"/>
                <w:szCs w:val="28"/>
              </w:rPr>
              <w:t>三、國內募集投資國內之</w:t>
            </w:r>
            <w:r w:rsidRPr="00964432">
              <w:rPr>
                <w:rFonts w:ascii="標楷體" w:eastAsia="標楷體" w:hAnsi="標楷體" w:cs="細明體" w:hint="eastAsia"/>
              </w:rPr>
              <w:t>開放式證券投資信託基金受益憑證及期貨信託基金受益憑證</w:t>
            </w:r>
            <w:r w:rsidRPr="00964432">
              <w:rPr>
                <w:rFonts w:ascii="標楷體" w:eastAsia="標楷體" w:hAnsi="標楷體" w:cs="細明體" w:hint="eastAsia"/>
                <w:szCs w:val="24"/>
              </w:rPr>
              <w:t>。</w:t>
            </w:r>
          </w:p>
          <w:p w:rsidR="00622136" w:rsidRPr="00964432" w:rsidRDefault="00622136" w:rsidP="00ED007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947" w:hanging="459"/>
              <w:jc w:val="both"/>
              <w:rPr>
                <w:rFonts w:ascii="標楷體" w:eastAsia="標楷體" w:hAnsi="標楷體" w:cs="細明體"/>
                <w:szCs w:val="28"/>
              </w:rPr>
            </w:pPr>
            <w:r w:rsidRPr="00964432">
              <w:rPr>
                <w:rFonts w:ascii="標楷體" w:eastAsia="標楷體" w:hAnsi="標楷體" w:cs="細明體" w:hint="eastAsia"/>
                <w:szCs w:val="28"/>
              </w:rPr>
              <w:t>四、其他經主管機關核准之擔保品。</w:t>
            </w:r>
          </w:p>
          <w:p w:rsidR="00622136" w:rsidRPr="00964432" w:rsidRDefault="00622136" w:rsidP="00ED007B">
            <w:pPr>
              <w:kinsoku w:val="0"/>
              <w:spacing w:line="440" w:lineRule="exact"/>
              <w:ind w:left="504" w:hangingChars="210" w:hanging="504"/>
              <w:jc w:val="both"/>
              <w:rPr>
                <w:rFonts w:ascii="標楷體" w:eastAsia="標楷體" w:hAnsi="標楷體"/>
                <w:szCs w:val="28"/>
              </w:rPr>
            </w:pPr>
          </w:p>
          <w:p w:rsidR="00ED007B" w:rsidRDefault="00ED007B" w:rsidP="00D65D2A">
            <w:pPr>
              <w:kinsoku w:val="0"/>
              <w:spacing w:line="440" w:lineRule="exact"/>
              <w:jc w:val="both"/>
              <w:rPr>
                <w:rFonts w:ascii="標楷體" w:eastAsia="標楷體" w:hAnsi="標楷體"/>
                <w:szCs w:val="28"/>
              </w:rPr>
            </w:pPr>
          </w:p>
          <w:p w:rsidR="00D65D2A" w:rsidRPr="00D65D2A" w:rsidRDefault="00D65D2A" w:rsidP="00D65D2A">
            <w:pPr>
              <w:kinsoku w:val="0"/>
              <w:spacing w:line="440" w:lineRule="exact"/>
              <w:jc w:val="both"/>
              <w:rPr>
                <w:rFonts w:ascii="標楷體" w:eastAsia="標楷體" w:hAnsi="標楷體"/>
                <w:szCs w:val="28"/>
              </w:rPr>
            </w:pPr>
          </w:p>
          <w:p w:rsidR="00C43A1C" w:rsidRPr="00964432" w:rsidRDefault="00C43A1C" w:rsidP="00ED007B">
            <w:pPr>
              <w:kinsoku w:val="0"/>
              <w:spacing w:line="440" w:lineRule="exact"/>
              <w:ind w:left="504" w:hangingChars="210" w:hanging="504"/>
              <w:jc w:val="both"/>
              <w:rPr>
                <w:rFonts w:ascii="標楷體" w:eastAsia="標楷體" w:hAnsi="標楷體"/>
                <w:szCs w:val="28"/>
              </w:rPr>
            </w:pPr>
            <w:proofErr w:type="gramStart"/>
            <w:r w:rsidRPr="00964432">
              <w:rPr>
                <w:rFonts w:ascii="標楷體" w:eastAsia="標楷體" w:hAnsi="標楷體" w:hint="eastAsia"/>
              </w:rPr>
              <w:t>【</w:t>
            </w:r>
            <w:proofErr w:type="gramEnd"/>
            <w:r w:rsidRPr="00964432">
              <w:rPr>
                <w:rFonts w:ascii="標楷體" w:eastAsia="標楷體" w:hAnsi="標楷體" w:hint="eastAsia"/>
              </w:rPr>
              <w:t>第十至十二項略。】</w:t>
            </w:r>
          </w:p>
          <w:p w:rsidR="00622136" w:rsidRPr="00964432" w:rsidRDefault="00622136" w:rsidP="00ED007B">
            <w:pPr>
              <w:kinsoku w:val="0"/>
              <w:spacing w:line="440" w:lineRule="exact"/>
              <w:ind w:left="504" w:hangingChars="210" w:hanging="504"/>
              <w:jc w:val="both"/>
              <w:rPr>
                <w:rFonts w:ascii="標楷體" w:eastAsia="標楷體" w:hAnsi="標楷體"/>
              </w:rPr>
            </w:pPr>
          </w:p>
        </w:tc>
        <w:tc>
          <w:tcPr>
            <w:tcW w:w="2167" w:type="dxa"/>
          </w:tcPr>
          <w:p w:rsidR="00622136" w:rsidRPr="00964432" w:rsidRDefault="00577EB5" w:rsidP="00577EB5">
            <w:pPr>
              <w:kinsoku w:val="0"/>
              <w:jc w:val="both"/>
              <w:rPr>
                <w:rFonts w:ascii="標楷體" w:eastAsia="標楷體" w:hAnsi="標楷體"/>
              </w:rPr>
            </w:pPr>
            <w:r w:rsidRPr="00964432">
              <w:rPr>
                <w:rFonts w:ascii="標楷體" w:eastAsia="標楷體" w:hAnsi="標楷體" w:cs="細明體" w:hint="eastAsia"/>
                <w:kern w:val="0"/>
                <w:szCs w:val="24"/>
              </w:rPr>
              <w:t>因應開放外幣買賣之指數股票型基金受益憑證掛牌交易，增訂該種證券不得為擔保品之規定。</w:t>
            </w:r>
          </w:p>
        </w:tc>
      </w:tr>
    </w:tbl>
    <w:p w:rsidR="00374D2F" w:rsidRPr="00964432" w:rsidRDefault="00374D2F"/>
    <w:sectPr w:rsidR="00374D2F" w:rsidRPr="00964432" w:rsidSect="00374D2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23" w:rsidRDefault="002B2D23" w:rsidP="00CE0F26">
      <w:r>
        <w:separator/>
      </w:r>
    </w:p>
  </w:endnote>
  <w:endnote w:type="continuationSeparator" w:id="0">
    <w:p w:rsidR="002B2D23" w:rsidRDefault="002B2D23" w:rsidP="00CE0F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23" w:rsidRDefault="002B2D23" w:rsidP="00CE0F26">
      <w:r>
        <w:separator/>
      </w:r>
    </w:p>
  </w:footnote>
  <w:footnote w:type="continuationSeparator" w:id="0">
    <w:p w:rsidR="002B2D23" w:rsidRDefault="002B2D23" w:rsidP="00CE0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57247"/>
    <w:multiLevelType w:val="hybridMultilevel"/>
    <w:tmpl w:val="DA987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136"/>
    <w:rsid w:val="000331DF"/>
    <w:rsid w:val="00055E9B"/>
    <w:rsid w:val="0006672A"/>
    <w:rsid w:val="00225273"/>
    <w:rsid w:val="002745DC"/>
    <w:rsid w:val="002816BB"/>
    <w:rsid w:val="002B2D23"/>
    <w:rsid w:val="00374D2F"/>
    <w:rsid w:val="003A1E27"/>
    <w:rsid w:val="003A3B5B"/>
    <w:rsid w:val="005379CA"/>
    <w:rsid w:val="00577EB5"/>
    <w:rsid w:val="00622136"/>
    <w:rsid w:val="0062304E"/>
    <w:rsid w:val="00964432"/>
    <w:rsid w:val="009D7ED2"/>
    <w:rsid w:val="00AF48FE"/>
    <w:rsid w:val="00C43A1C"/>
    <w:rsid w:val="00C550EE"/>
    <w:rsid w:val="00C909DA"/>
    <w:rsid w:val="00CC61A6"/>
    <w:rsid w:val="00CE0F26"/>
    <w:rsid w:val="00CF5FFE"/>
    <w:rsid w:val="00D65D2A"/>
    <w:rsid w:val="00E97A91"/>
    <w:rsid w:val="00ED007B"/>
    <w:rsid w:val="00F40B4E"/>
    <w:rsid w:val="00F877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13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622136"/>
    <w:pPr>
      <w:ind w:leftChars="99" w:left="238" w:firstLineChars="204" w:firstLine="490"/>
    </w:pPr>
    <w:rPr>
      <w:rFonts w:ascii="Times New Roman" w:eastAsia="標楷體" w:hAnsi="Times New Roman"/>
      <w:szCs w:val="24"/>
    </w:rPr>
  </w:style>
  <w:style w:type="character" w:customStyle="1" w:styleId="a4">
    <w:name w:val="本文縮排 字元"/>
    <w:basedOn w:val="a0"/>
    <w:link w:val="a3"/>
    <w:semiHidden/>
    <w:rsid w:val="00622136"/>
    <w:rPr>
      <w:rFonts w:ascii="Times New Roman" w:eastAsia="標楷體" w:hAnsi="Times New Roman" w:cs="Times New Roman"/>
      <w:szCs w:val="24"/>
    </w:rPr>
  </w:style>
  <w:style w:type="paragraph" w:styleId="2">
    <w:name w:val="Body Text Indent 2"/>
    <w:basedOn w:val="a"/>
    <w:link w:val="20"/>
    <w:uiPriority w:val="99"/>
    <w:unhideWhenUsed/>
    <w:rsid w:val="00622136"/>
    <w:pPr>
      <w:spacing w:after="120" w:line="480" w:lineRule="auto"/>
      <w:ind w:leftChars="200" w:left="480"/>
    </w:pPr>
  </w:style>
  <w:style w:type="character" w:customStyle="1" w:styleId="20">
    <w:name w:val="本文縮排 2 字元"/>
    <w:basedOn w:val="a0"/>
    <w:link w:val="2"/>
    <w:uiPriority w:val="99"/>
    <w:rsid w:val="00622136"/>
    <w:rPr>
      <w:rFonts w:ascii="Calibri" w:eastAsia="新細明體" w:hAnsi="Calibri" w:cs="Times New Roman"/>
    </w:rPr>
  </w:style>
  <w:style w:type="paragraph" w:styleId="HTML">
    <w:name w:val="HTML Preformatted"/>
    <w:basedOn w:val="a"/>
    <w:link w:val="HTML0"/>
    <w:uiPriority w:val="99"/>
    <w:semiHidden/>
    <w:rsid w:val="006221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basedOn w:val="a0"/>
    <w:link w:val="HTML"/>
    <w:uiPriority w:val="99"/>
    <w:semiHidden/>
    <w:rsid w:val="00622136"/>
    <w:rPr>
      <w:rFonts w:ascii="細明體" w:eastAsia="細明體" w:hAnsi="細明體" w:cs="Times New Roman"/>
      <w:color w:val="333333"/>
      <w:kern w:val="0"/>
      <w:szCs w:val="24"/>
    </w:rPr>
  </w:style>
  <w:style w:type="paragraph" w:styleId="a5">
    <w:name w:val="List Paragraph"/>
    <w:basedOn w:val="a"/>
    <w:uiPriority w:val="34"/>
    <w:qFormat/>
    <w:rsid w:val="0006672A"/>
    <w:pPr>
      <w:ind w:leftChars="200" w:left="480"/>
    </w:pPr>
  </w:style>
  <w:style w:type="paragraph" w:styleId="a6">
    <w:name w:val="header"/>
    <w:basedOn w:val="a"/>
    <w:link w:val="a7"/>
    <w:uiPriority w:val="99"/>
    <w:semiHidden/>
    <w:unhideWhenUsed/>
    <w:rsid w:val="00CE0F26"/>
    <w:pPr>
      <w:tabs>
        <w:tab w:val="center" w:pos="4153"/>
        <w:tab w:val="right" w:pos="8306"/>
      </w:tabs>
      <w:snapToGrid w:val="0"/>
    </w:pPr>
    <w:rPr>
      <w:sz w:val="20"/>
      <w:szCs w:val="20"/>
    </w:rPr>
  </w:style>
  <w:style w:type="character" w:customStyle="1" w:styleId="a7">
    <w:name w:val="頁首 字元"/>
    <w:basedOn w:val="a0"/>
    <w:link w:val="a6"/>
    <w:uiPriority w:val="99"/>
    <w:semiHidden/>
    <w:rsid w:val="00CE0F26"/>
    <w:rPr>
      <w:rFonts w:ascii="Calibri" w:eastAsia="新細明體" w:hAnsi="Calibri" w:cs="Times New Roman"/>
      <w:sz w:val="20"/>
      <w:szCs w:val="20"/>
    </w:rPr>
  </w:style>
  <w:style w:type="paragraph" w:styleId="a8">
    <w:name w:val="footer"/>
    <w:basedOn w:val="a"/>
    <w:link w:val="a9"/>
    <w:uiPriority w:val="99"/>
    <w:semiHidden/>
    <w:unhideWhenUsed/>
    <w:rsid w:val="00CE0F26"/>
    <w:pPr>
      <w:tabs>
        <w:tab w:val="center" w:pos="4153"/>
        <w:tab w:val="right" w:pos="8306"/>
      </w:tabs>
      <w:snapToGrid w:val="0"/>
    </w:pPr>
    <w:rPr>
      <w:sz w:val="20"/>
      <w:szCs w:val="20"/>
    </w:rPr>
  </w:style>
  <w:style w:type="character" w:customStyle="1" w:styleId="a9">
    <w:name w:val="頁尾 字元"/>
    <w:basedOn w:val="a0"/>
    <w:link w:val="a8"/>
    <w:uiPriority w:val="99"/>
    <w:semiHidden/>
    <w:rsid w:val="00CE0F26"/>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0803</cp:lastModifiedBy>
  <cp:revision>4</cp:revision>
  <dcterms:created xsi:type="dcterms:W3CDTF">2016-02-17T07:25:00Z</dcterms:created>
  <dcterms:modified xsi:type="dcterms:W3CDTF">2016-02-26T07:06:00Z</dcterms:modified>
</cp:coreProperties>
</file>