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3" w:rsidRPr="005B7475" w:rsidRDefault="002D48C6" w:rsidP="009E763F">
      <w:pPr>
        <w:adjustRightInd w:val="0"/>
        <w:snapToGrid w:val="0"/>
        <w:spacing w:line="42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B7475">
        <w:rPr>
          <w:rFonts w:ascii="標楷體" w:eastAsia="標楷體" w:hAnsi="標楷體"/>
          <w:color w:val="000000"/>
          <w:sz w:val="28"/>
          <w:szCs w:val="28"/>
        </w:rPr>
        <w:t>臺灣證券交易所股份有限公司</w:t>
      </w:r>
      <w:hyperlink r:id="rId7" w:history="1">
        <w:r w:rsidR="00BB0F81" w:rsidRPr="00BB0F81">
          <w:rPr>
            <w:rFonts w:ascii="標楷體" w:eastAsia="標楷體" w:hAnsi="標楷體"/>
            <w:color w:val="000000"/>
            <w:sz w:val="28"/>
            <w:szCs w:val="28"/>
          </w:rPr>
          <w:t>證券經紀商申報委託人遲延交割及違約案件處理作業要點</w:t>
        </w:r>
      </w:hyperlink>
      <w:r w:rsidR="0064788D" w:rsidRPr="0064788D">
        <w:rPr>
          <w:rFonts w:ascii="標楷體" w:eastAsia="標楷體" w:hAnsi="標楷體" w:hint="eastAsia"/>
          <w:color w:val="000000"/>
          <w:sz w:val="28"/>
          <w:szCs w:val="28"/>
        </w:rPr>
        <w:t>部分條文</w:t>
      </w:r>
      <w:r w:rsidR="0064788D" w:rsidRPr="0064788D">
        <w:rPr>
          <w:rFonts w:ascii="標楷體" w:eastAsia="標楷體" w:hAnsi="標楷體"/>
          <w:color w:val="000000"/>
          <w:sz w:val="28"/>
          <w:szCs w:val="28"/>
        </w:rPr>
        <w:t>修正</w:t>
      </w:r>
      <w:r w:rsidR="0064788D" w:rsidRPr="0064788D">
        <w:rPr>
          <w:rFonts w:ascii="標楷體" w:eastAsia="標楷體" w:hAnsi="標楷體" w:hint="eastAsia"/>
          <w:color w:val="000000"/>
          <w:sz w:val="28"/>
          <w:szCs w:val="28"/>
        </w:rPr>
        <w:t>條文對照表</w:t>
      </w:r>
    </w:p>
    <w:tbl>
      <w:tblPr>
        <w:tblStyle w:val="a7"/>
        <w:tblW w:w="0" w:type="auto"/>
        <w:tblLook w:val="04A0"/>
      </w:tblPr>
      <w:tblGrid>
        <w:gridCol w:w="3267"/>
        <w:gridCol w:w="3267"/>
        <w:gridCol w:w="3268"/>
      </w:tblGrid>
      <w:tr w:rsidR="00446548" w:rsidTr="00CD309F">
        <w:tc>
          <w:tcPr>
            <w:tcW w:w="3267" w:type="dxa"/>
            <w:vAlign w:val="center"/>
          </w:tcPr>
          <w:p w:rsidR="00446548" w:rsidRPr="008C1462" w:rsidRDefault="00446548" w:rsidP="007D1641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8C1462">
              <w:rPr>
                <w:rFonts w:ascii="標楷體" w:eastAsia="標楷體" w:hAnsi="標楷體" w:cs="Times New Roman" w:hint="eastAsia"/>
                <w:color w:val="000000"/>
                <w:sz w:val="28"/>
              </w:rPr>
              <w:t>修正條文</w:t>
            </w:r>
          </w:p>
        </w:tc>
        <w:tc>
          <w:tcPr>
            <w:tcW w:w="3267" w:type="dxa"/>
            <w:vAlign w:val="center"/>
          </w:tcPr>
          <w:p w:rsidR="00446548" w:rsidRPr="008C1462" w:rsidRDefault="00446548" w:rsidP="007D1641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8C1462">
              <w:rPr>
                <w:rFonts w:ascii="標楷體" w:eastAsia="標楷體" w:hAnsi="標楷體" w:cs="Times New Roman" w:hint="eastAsia"/>
                <w:color w:val="000000"/>
                <w:sz w:val="28"/>
              </w:rPr>
              <w:t>現行條文</w:t>
            </w:r>
          </w:p>
        </w:tc>
        <w:tc>
          <w:tcPr>
            <w:tcW w:w="3268" w:type="dxa"/>
            <w:vAlign w:val="center"/>
          </w:tcPr>
          <w:p w:rsidR="00446548" w:rsidRPr="008C1462" w:rsidRDefault="00446548" w:rsidP="007D1641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8C1462">
              <w:rPr>
                <w:rFonts w:ascii="標楷體" w:eastAsia="標楷體" w:hAnsi="標楷體" w:cs="Times New Roman" w:hint="eastAsia"/>
                <w:color w:val="000000"/>
                <w:sz w:val="28"/>
              </w:rPr>
              <w:t>說明</w:t>
            </w:r>
          </w:p>
        </w:tc>
      </w:tr>
      <w:tr w:rsidR="00A124B8" w:rsidTr="00446548">
        <w:tc>
          <w:tcPr>
            <w:tcW w:w="3267" w:type="dxa"/>
          </w:tcPr>
          <w:p w:rsidR="00A124B8" w:rsidRPr="005B4EF1" w:rsidRDefault="00A124B8" w:rsidP="00463147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陸、違約通告作業：</w:t>
            </w:r>
          </w:p>
          <w:p w:rsidR="00A124B8" w:rsidRDefault="00A124B8" w:rsidP="00463147">
            <w:pPr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一、本公司接獲證券經紀商依第二條第一項第一款第一目、第二目規定之違約申報，即依據其申報內容轉知各證券經紀商，各證券經紀商應依下列規定辦理：</w:t>
            </w:r>
          </w:p>
          <w:p w:rsidR="00A124B8" w:rsidRPr="005B4EF1" w:rsidRDefault="00A124B8" w:rsidP="00463147">
            <w:pPr>
              <w:spacing w:line="440" w:lineRule="exact"/>
              <w:ind w:leftChars="259" w:left="1266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46548">
              <w:rPr>
                <w:rFonts w:ascii="標楷體" w:eastAsia="標楷體" w:hAnsi="標楷體" w:hint="eastAsia"/>
                <w:color w:val="000000"/>
                <w:sz w:val="28"/>
              </w:rPr>
              <w:t>（一）</w:t>
            </w: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於上午八時三十分自行收檔查詢前一營業日委託人違約資料，並即依營業細則第七十六條第三項規定辦理。</w:t>
            </w:r>
          </w:p>
          <w:p w:rsidR="00A124B8" w:rsidRPr="005B4EF1" w:rsidRDefault="00A124B8" w:rsidP="00463147">
            <w:pPr>
              <w:spacing w:line="440" w:lineRule="exact"/>
              <w:ind w:leftChars="200" w:left="1267" w:hangingChars="281" w:hanging="78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（二）於上午十一時三十分自行收檔查詢當日委託人違約資料，並至遲於上午十二時起依營業細則第七十六條第三項規定辦理。</w:t>
            </w:r>
          </w:p>
          <w:p w:rsidR="00A124B8" w:rsidRDefault="00A124B8" w:rsidP="00463147">
            <w:pPr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二、違約有下列情形之一者，本公司即轉</w:t>
            </w: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知各證券經紀商相關違約資訊供其風險管理控管，並納入前項第一款違約通告時間。</w:t>
            </w:r>
          </w:p>
          <w:p w:rsidR="009E763F" w:rsidRDefault="00A124B8" w:rsidP="009E763F">
            <w:pPr>
              <w:spacing w:line="440" w:lineRule="exact"/>
              <w:ind w:leftChars="200" w:left="1320" w:hangingChars="300" w:hanging="84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  <w:u w:val="single"/>
              </w:rPr>
            </w:pPr>
            <w:r w:rsidRPr="00446548">
              <w:rPr>
                <w:rFonts w:ascii="標楷體" w:eastAsia="標楷體" w:hAnsi="標楷體" w:hint="eastAsia"/>
                <w:color w:val="000000"/>
                <w:sz w:val="28"/>
              </w:rPr>
              <w:t>（一）</w:t>
            </w: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全體證券經紀商同種類有價證券買進、賣出違約金額合計達新</w:t>
            </w:r>
            <w:r w:rsidR="007A7269" w:rsidRPr="00E744B0"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幣一仟萬元以上</w:t>
            </w:r>
            <w:r w:rsidR="009E763F" w:rsidRPr="00281A5F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；</w:t>
            </w:r>
            <w:r w:rsidR="009E763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採外幣計價</w:t>
            </w:r>
            <w:r w:rsidR="009E763F" w:rsidRPr="009C61A2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之證券</w:t>
            </w:r>
            <w:r w:rsidR="009E763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或</w:t>
            </w:r>
            <w:r w:rsidR="009E763F" w:rsidRPr="00377CB0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採雙幣</w:t>
            </w:r>
            <w:r w:rsidR="009E763F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>計價之證券經換算合併新臺幣部位，金額達上開標準者。</w:t>
            </w:r>
          </w:p>
          <w:p w:rsidR="00014555" w:rsidRDefault="009E763F" w:rsidP="009E763F">
            <w:pPr>
              <w:spacing w:line="440" w:lineRule="exact"/>
              <w:ind w:leftChars="550" w:left="132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  <w:u w:val="single"/>
              </w:rPr>
              <w:t>前揭外幣與新臺幣之換算，以申報當日公告匯率為之。</w:t>
            </w:r>
          </w:p>
          <w:p w:rsidR="00A124B8" w:rsidRPr="005B4EF1" w:rsidRDefault="00E17E58" w:rsidP="00E744B0">
            <w:pPr>
              <w:spacing w:line="440" w:lineRule="exact"/>
              <w:ind w:leftChars="233" w:left="1399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（二</w:t>
            </w:r>
            <w:r w:rsidR="00E744B0" w:rsidRPr="005B4EF1"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  <w:r w:rsidR="00A124B8" w:rsidRPr="005B4EF1">
              <w:rPr>
                <w:rFonts w:ascii="標楷體" w:eastAsia="標楷體" w:hAnsi="標楷體" w:hint="eastAsia"/>
                <w:color w:val="000000"/>
                <w:sz w:val="28"/>
              </w:rPr>
              <w:t>委託人經代理人下單發生違約。</w:t>
            </w:r>
          </w:p>
          <w:p w:rsidR="00A124B8" w:rsidRPr="005B4EF1" w:rsidRDefault="00A124B8" w:rsidP="00BD78DA">
            <w:pPr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三、第一項違約申報如發生委託人權益損失或有其他糾紛，應由申報違約之證券經紀商負責。</w:t>
            </w:r>
          </w:p>
        </w:tc>
        <w:tc>
          <w:tcPr>
            <w:tcW w:w="3267" w:type="dxa"/>
          </w:tcPr>
          <w:p w:rsidR="00A124B8" w:rsidRPr="005B4EF1" w:rsidRDefault="00A124B8" w:rsidP="005B4EF1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陸、違約通告作業：</w:t>
            </w:r>
          </w:p>
          <w:p w:rsidR="00A124B8" w:rsidRDefault="00A124B8" w:rsidP="005B4EF1">
            <w:pPr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一、本公司接獲證券經紀商依第二條第一項第一款第一目、第二目規定之違約申報，即依據其申報內容轉知各證券經紀商，各證券經紀商應依下列規定辦理：</w:t>
            </w:r>
          </w:p>
          <w:p w:rsidR="00A124B8" w:rsidRPr="005B4EF1" w:rsidRDefault="00A124B8" w:rsidP="005B4EF1">
            <w:pPr>
              <w:spacing w:line="440" w:lineRule="exact"/>
              <w:ind w:leftChars="259" w:left="1266" w:hangingChars="230" w:hanging="64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46548">
              <w:rPr>
                <w:rFonts w:ascii="標楷體" w:eastAsia="標楷體" w:hAnsi="標楷體" w:hint="eastAsia"/>
                <w:color w:val="000000"/>
                <w:sz w:val="28"/>
              </w:rPr>
              <w:t>（一）</w:t>
            </w: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於上午八時三十分自行收檔查詢前一營業日委託人違約資料，並即依營業細則第七十六條第三項規定辦理。</w:t>
            </w:r>
          </w:p>
          <w:p w:rsidR="00A124B8" w:rsidRPr="005B4EF1" w:rsidRDefault="00A124B8" w:rsidP="005B4EF1">
            <w:pPr>
              <w:spacing w:line="440" w:lineRule="exact"/>
              <w:ind w:leftChars="200" w:left="1267" w:hangingChars="281" w:hanging="78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（二）於上午十一時三十分自行收檔查詢當日委託人違約資料，並至遲於上午十二時起依營業細則第七十六條第三項規定辦理。</w:t>
            </w:r>
          </w:p>
          <w:p w:rsidR="00A124B8" w:rsidRDefault="00A124B8" w:rsidP="005B4EF1">
            <w:pPr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二、違約有下列情形之一者，本公司即轉</w:t>
            </w: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知各證券經紀商相關違約資訊供其風險管理控管，並納入前項第一款違約通告時間。</w:t>
            </w:r>
          </w:p>
          <w:p w:rsidR="00A124B8" w:rsidRDefault="00A124B8" w:rsidP="009E763F">
            <w:pPr>
              <w:spacing w:line="440" w:lineRule="exact"/>
              <w:ind w:leftChars="233" w:left="1399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46548">
              <w:rPr>
                <w:rFonts w:ascii="標楷體" w:eastAsia="標楷體" w:hAnsi="標楷體" w:hint="eastAsia"/>
                <w:color w:val="000000"/>
                <w:sz w:val="28"/>
              </w:rPr>
              <w:t>（一）</w:t>
            </w: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全體證券經紀商同種類有價證券買進、賣出違約金額合計達新台幣一仟萬元以上。</w:t>
            </w:r>
          </w:p>
          <w:p w:rsidR="00A124B8" w:rsidRPr="005B4EF1" w:rsidRDefault="00A124B8" w:rsidP="005B4EF1">
            <w:pPr>
              <w:spacing w:line="440" w:lineRule="exact"/>
              <w:ind w:leftChars="200" w:left="132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（二）委託人經代理人下單發生違約。</w:t>
            </w:r>
          </w:p>
          <w:p w:rsidR="00A124B8" w:rsidRPr="005B4EF1" w:rsidRDefault="00A124B8" w:rsidP="005B4EF1">
            <w:pPr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5B4EF1">
              <w:rPr>
                <w:rFonts w:ascii="標楷體" w:eastAsia="標楷體" w:hAnsi="標楷體" w:hint="eastAsia"/>
                <w:color w:val="000000"/>
                <w:sz w:val="28"/>
              </w:rPr>
              <w:t>三、第一項違約申報如發生委託人權益損失或有其他糾紛，應由申報違約之證券經紀商負責。</w:t>
            </w:r>
          </w:p>
          <w:p w:rsidR="00A124B8" w:rsidRPr="005B4EF1" w:rsidRDefault="00A124B8" w:rsidP="005B7475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68" w:type="dxa"/>
          </w:tcPr>
          <w:p w:rsidR="001E6972" w:rsidRPr="001E6972" w:rsidRDefault="00651A20" w:rsidP="001E697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E6972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本公司</w:t>
            </w:r>
            <w:r w:rsidR="000C7F2A" w:rsidRPr="001E6972">
              <w:rPr>
                <w:rFonts w:ascii="標楷體" w:eastAsia="標楷體" w:hAnsi="標楷體" w:hint="eastAsia"/>
                <w:color w:val="000000"/>
                <w:sz w:val="28"/>
              </w:rPr>
              <w:t>於申報</w:t>
            </w:r>
            <w:r w:rsidR="00995DBB" w:rsidRPr="001E6972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 w:rsidR="000C7F2A" w:rsidRPr="001E6972">
              <w:rPr>
                <w:rFonts w:ascii="標楷體" w:eastAsia="標楷體" w:hAnsi="標楷體" w:hint="eastAsia"/>
                <w:color w:val="000000"/>
                <w:sz w:val="28"/>
              </w:rPr>
              <w:t>次</w:t>
            </w:r>
            <w:r w:rsidR="0057598E" w:rsidRPr="001E6972"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 w:rsidR="00A15D6E" w:rsidRPr="001E6972">
              <w:rPr>
                <w:rFonts w:ascii="標楷體" w:eastAsia="標楷體" w:hAnsi="標楷體" w:hint="eastAsia"/>
                <w:color w:val="000000"/>
                <w:sz w:val="28"/>
              </w:rPr>
              <w:t>傳送</w:t>
            </w:r>
            <w:r w:rsidR="00005A41" w:rsidRPr="001E6972">
              <w:rPr>
                <w:rFonts w:ascii="標楷體" w:eastAsia="標楷體" w:hAnsi="標楷體" w:hint="eastAsia"/>
                <w:color w:val="000000"/>
                <w:sz w:val="28"/>
              </w:rPr>
              <w:t>市場投資人違約資訊予證券商</w:t>
            </w:r>
            <w:r w:rsidR="00C77659" w:rsidRPr="001E6972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  <w:r w:rsidRPr="001E6972">
              <w:rPr>
                <w:rFonts w:ascii="標楷體" w:eastAsia="標楷體" w:hAnsi="標楷體" w:hint="eastAsia"/>
                <w:color w:val="000000"/>
                <w:sz w:val="28"/>
              </w:rPr>
              <w:t>配合加掛外幣</w:t>
            </w:r>
            <w:r w:rsidR="00D834B2" w:rsidRPr="001E6972">
              <w:rPr>
                <w:rFonts w:ascii="標楷體" w:eastAsia="標楷體" w:hAnsi="標楷體" w:hint="eastAsia"/>
                <w:color w:val="000000"/>
                <w:sz w:val="28"/>
              </w:rPr>
              <w:t>有價證券</w:t>
            </w:r>
            <w:r w:rsidRPr="001E6972"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 w:rsidR="00FD1E4B" w:rsidRPr="001E6972">
              <w:rPr>
                <w:rFonts w:ascii="標楷體" w:eastAsia="標楷體" w:hAnsi="標楷體" w:hint="eastAsia"/>
                <w:color w:val="000000"/>
                <w:sz w:val="28"/>
              </w:rPr>
              <w:t>其</w:t>
            </w:r>
            <w:r w:rsidR="00E76C69" w:rsidRPr="001E6972">
              <w:rPr>
                <w:rFonts w:ascii="標楷體" w:eastAsia="標楷體" w:hAnsi="標楷體" w:hint="eastAsia"/>
                <w:color w:val="000000"/>
                <w:sz w:val="28"/>
              </w:rPr>
              <w:t>違約金額</w:t>
            </w:r>
            <w:r w:rsidR="00074650" w:rsidRPr="001E6972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A124B8" w:rsidRPr="001E6972">
              <w:rPr>
                <w:rFonts w:ascii="標楷體" w:eastAsia="標楷體" w:hAnsi="標楷體" w:hint="eastAsia"/>
                <w:color w:val="000000"/>
                <w:sz w:val="28"/>
              </w:rPr>
              <w:t>新</w:t>
            </w:r>
            <w:r w:rsidR="00C05408" w:rsidRPr="001E6972"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r w:rsidR="00A124B8" w:rsidRPr="001E6972">
              <w:rPr>
                <w:rFonts w:ascii="標楷體" w:eastAsia="標楷體" w:hAnsi="標楷體" w:hint="eastAsia"/>
                <w:color w:val="000000"/>
                <w:sz w:val="28"/>
              </w:rPr>
              <w:t>幣與外幣匯率換算基準</w:t>
            </w:r>
            <w:r w:rsidR="00E76C69" w:rsidRPr="001E6972">
              <w:rPr>
                <w:rFonts w:ascii="標楷體" w:eastAsia="標楷體" w:hAnsi="標楷體" w:hint="eastAsia"/>
                <w:color w:val="000000"/>
                <w:sz w:val="28"/>
              </w:rPr>
              <w:t>以申報當日</w:t>
            </w:r>
            <w:r w:rsidR="00C47EFC" w:rsidRPr="0060477D">
              <w:rPr>
                <w:rFonts w:ascii="標楷體" w:eastAsia="標楷體" w:hAnsi="標楷體" w:hint="eastAsia"/>
                <w:snapToGrid w:val="0"/>
                <w:sz w:val="28"/>
              </w:rPr>
              <w:t>公告匯率</w:t>
            </w:r>
            <w:r w:rsidR="00E76C69" w:rsidRPr="0060477D">
              <w:rPr>
                <w:rFonts w:ascii="標楷體" w:eastAsia="標楷體" w:hAnsi="標楷體" w:hint="eastAsia"/>
                <w:sz w:val="28"/>
              </w:rPr>
              <w:t>計算</w:t>
            </w:r>
            <w:r w:rsidR="00A124B8" w:rsidRPr="0060477D">
              <w:rPr>
                <w:rFonts w:ascii="標楷體" w:eastAsia="標楷體" w:hAnsi="標楷體" w:hint="eastAsia"/>
                <w:sz w:val="28"/>
              </w:rPr>
              <w:t>。</w:t>
            </w:r>
            <w:r w:rsidR="001E6972" w:rsidRPr="0060477D">
              <w:rPr>
                <w:rFonts w:ascii="標楷體" w:eastAsia="標楷體" w:hAnsi="標楷體" w:hint="eastAsia"/>
                <w:sz w:val="28"/>
              </w:rPr>
              <w:t>本公司公告匯率係指國泰世華提供下午三時三十分匯率。</w:t>
            </w:r>
          </w:p>
          <w:p w:rsidR="005379C6" w:rsidRPr="00EF43F5" w:rsidRDefault="00CE0868" w:rsidP="005379C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43F5">
              <w:rPr>
                <w:rFonts w:ascii="標楷體" w:eastAsia="標楷體" w:hAnsi="標楷體" w:hint="eastAsia"/>
                <w:sz w:val="28"/>
              </w:rPr>
              <w:t>有價證券</w:t>
            </w:r>
            <w:proofErr w:type="gramStart"/>
            <w:r w:rsidRPr="00EF43F5">
              <w:rPr>
                <w:rFonts w:ascii="標楷體" w:eastAsia="標楷體" w:hAnsi="標楷體" w:hint="eastAsia"/>
                <w:sz w:val="28"/>
              </w:rPr>
              <w:t>採</w:t>
            </w:r>
            <w:proofErr w:type="gramEnd"/>
            <w:r w:rsidRPr="00EF43F5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Pr="00EF43F5">
              <w:rPr>
                <w:rFonts w:ascii="標楷體" w:eastAsia="標楷體" w:hAnsi="標楷體" w:hint="eastAsia"/>
                <w:sz w:val="28"/>
              </w:rPr>
              <w:t>雙幣</w:t>
            </w:r>
            <w:proofErr w:type="gramEnd"/>
            <w:r w:rsidRPr="00EF43F5">
              <w:rPr>
                <w:rFonts w:ascii="標楷體" w:eastAsia="標楷體" w:hAnsi="標楷體" w:hint="eastAsia"/>
                <w:sz w:val="28"/>
              </w:rPr>
              <w:t>」模式交易，其買進、賣出違約金額，外幣部</w:t>
            </w:r>
            <w:r w:rsidR="003322B0" w:rsidRPr="00EF43F5">
              <w:rPr>
                <w:rFonts w:ascii="標楷體" w:eastAsia="標楷體" w:hAnsi="標楷體" w:hint="eastAsia"/>
                <w:sz w:val="28"/>
              </w:rPr>
              <w:t>位</w:t>
            </w:r>
            <w:r w:rsidRPr="00EF43F5">
              <w:rPr>
                <w:rFonts w:ascii="標楷體" w:eastAsia="標楷體" w:hAnsi="標楷體" w:hint="eastAsia"/>
                <w:sz w:val="28"/>
              </w:rPr>
              <w:t>經匯率計算合併新臺幣部</w:t>
            </w:r>
            <w:r w:rsidR="003322B0" w:rsidRPr="00EF43F5">
              <w:rPr>
                <w:rFonts w:ascii="標楷體" w:eastAsia="標楷體" w:hAnsi="標楷體" w:hint="eastAsia"/>
                <w:sz w:val="28"/>
              </w:rPr>
              <w:t>位</w:t>
            </w:r>
            <w:r w:rsidRPr="00EF43F5">
              <w:rPr>
                <w:rFonts w:ascii="標楷體" w:eastAsia="標楷體" w:hAnsi="標楷體" w:hint="eastAsia"/>
                <w:sz w:val="28"/>
              </w:rPr>
              <w:t>金額</w:t>
            </w:r>
            <w:r w:rsidR="005379C6" w:rsidRPr="00EF43F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E0868" w:rsidRDefault="00CE0868" w:rsidP="00CE0868">
            <w:pPr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  <w:p w:rsidR="00651A20" w:rsidRPr="00CE0868" w:rsidRDefault="00651A20" w:rsidP="007432DA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51A20" w:rsidRDefault="00651A20" w:rsidP="007432DA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51A20" w:rsidRDefault="00651A20" w:rsidP="007432DA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A124B8" w:rsidRPr="00486623" w:rsidRDefault="00A124B8" w:rsidP="007432DA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D48C6" w:rsidRPr="0024386E" w:rsidRDefault="002D48C6" w:rsidP="00D61B96">
      <w:pPr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2D48C6" w:rsidRPr="0024386E" w:rsidSect="00D61B96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01" w:rsidRDefault="00476E01" w:rsidP="006E22F9">
      <w:r>
        <w:separator/>
      </w:r>
    </w:p>
  </w:endnote>
  <w:endnote w:type="continuationSeparator" w:id="0">
    <w:p w:rsidR="00476E01" w:rsidRDefault="00476E01" w:rsidP="006E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01" w:rsidRDefault="00476E01" w:rsidP="006E22F9">
      <w:r>
        <w:separator/>
      </w:r>
    </w:p>
  </w:footnote>
  <w:footnote w:type="continuationSeparator" w:id="0">
    <w:p w:rsidR="00476E01" w:rsidRDefault="00476E01" w:rsidP="006E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2FF"/>
    <w:multiLevelType w:val="hybridMultilevel"/>
    <w:tmpl w:val="89AE6E7E"/>
    <w:lvl w:ilvl="0" w:tplc="0680B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8C6"/>
    <w:rsid w:val="00005A41"/>
    <w:rsid w:val="000116B7"/>
    <w:rsid w:val="00014555"/>
    <w:rsid w:val="00024447"/>
    <w:rsid w:val="00041D95"/>
    <w:rsid w:val="00074650"/>
    <w:rsid w:val="00082E1B"/>
    <w:rsid w:val="000A1599"/>
    <w:rsid w:val="000A5E60"/>
    <w:rsid w:val="000C7F2A"/>
    <w:rsid w:val="00136CA5"/>
    <w:rsid w:val="00146530"/>
    <w:rsid w:val="001C5BF7"/>
    <w:rsid w:val="001E6972"/>
    <w:rsid w:val="0021635B"/>
    <w:rsid w:val="0024386E"/>
    <w:rsid w:val="002601BB"/>
    <w:rsid w:val="00281A5F"/>
    <w:rsid w:val="0028701A"/>
    <w:rsid w:val="00295A51"/>
    <w:rsid w:val="002D48C6"/>
    <w:rsid w:val="00306692"/>
    <w:rsid w:val="003263F1"/>
    <w:rsid w:val="003322B0"/>
    <w:rsid w:val="00350F1A"/>
    <w:rsid w:val="00365B21"/>
    <w:rsid w:val="00390C15"/>
    <w:rsid w:val="003936C3"/>
    <w:rsid w:val="00446548"/>
    <w:rsid w:val="00476E01"/>
    <w:rsid w:val="00486623"/>
    <w:rsid w:val="004A1360"/>
    <w:rsid w:val="004D3150"/>
    <w:rsid w:val="005379C6"/>
    <w:rsid w:val="0057364F"/>
    <w:rsid w:val="0057598E"/>
    <w:rsid w:val="005807FE"/>
    <w:rsid w:val="00594492"/>
    <w:rsid w:val="00597970"/>
    <w:rsid w:val="005A1768"/>
    <w:rsid w:val="005B4EF1"/>
    <w:rsid w:val="005B7475"/>
    <w:rsid w:val="005E30A2"/>
    <w:rsid w:val="005E6E4B"/>
    <w:rsid w:val="006016FB"/>
    <w:rsid w:val="0060477D"/>
    <w:rsid w:val="0064788D"/>
    <w:rsid w:val="00651A20"/>
    <w:rsid w:val="00657EC4"/>
    <w:rsid w:val="00657F30"/>
    <w:rsid w:val="00667A6C"/>
    <w:rsid w:val="006C0585"/>
    <w:rsid w:val="006E22F9"/>
    <w:rsid w:val="006F6B84"/>
    <w:rsid w:val="00710311"/>
    <w:rsid w:val="007233D9"/>
    <w:rsid w:val="007432DA"/>
    <w:rsid w:val="00794FE8"/>
    <w:rsid w:val="007A7269"/>
    <w:rsid w:val="007E6941"/>
    <w:rsid w:val="007F1309"/>
    <w:rsid w:val="00865943"/>
    <w:rsid w:val="008D5CBA"/>
    <w:rsid w:val="008F3A73"/>
    <w:rsid w:val="00903DAF"/>
    <w:rsid w:val="00995DBB"/>
    <w:rsid w:val="009A5910"/>
    <w:rsid w:val="009E763F"/>
    <w:rsid w:val="009F1F9B"/>
    <w:rsid w:val="00A0485A"/>
    <w:rsid w:val="00A0716A"/>
    <w:rsid w:val="00A0759F"/>
    <w:rsid w:val="00A124B8"/>
    <w:rsid w:val="00A13110"/>
    <w:rsid w:val="00A15D6E"/>
    <w:rsid w:val="00A23655"/>
    <w:rsid w:val="00A56E75"/>
    <w:rsid w:val="00A74A8C"/>
    <w:rsid w:val="00B03159"/>
    <w:rsid w:val="00B04ECE"/>
    <w:rsid w:val="00B108CF"/>
    <w:rsid w:val="00B20180"/>
    <w:rsid w:val="00BA37BD"/>
    <w:rsid w:val="00BB0F81"/>
    <w:rsid w:val="00BB3CDA"/>
    <w:rsid w:val="00BD78DA"/>
    <w:rsid w:val="00BF07E2"/>
    <w:rsid w:val="00BF5788"/>
    <w:rsid w:val="00C05408"/>
    <w:rsid w:val="00C47EFC"/>
    <w:rsid w:val="00C63C3A"/>
    <w:rsid w:val="00C77659"/>
    <w:rsid w:val="00CC42B8"/>
    <w:rsid w:val="00CE0868"/>
    <w:rsid w:val="00CE399E"/>
    <w:rsid w:val="00CE6C3C"/>
    <w:rsid w:val="00CF61D2"/>
    <w:rsid w:val="00D1033E"/>
    <w:rsid w:val="00D34A2E"/>
    <w:rsid w:val="00D47D21"/>
    <w:rsid w:val="00D61B96"/>
    <w:rsid w:val="00D6467E"/>
    <w:rsid w:val="00D834B2"/>
    <w:rsid w:val="00D95CC4"/>
    <w:rsid w:val="00E14516"/>
    <w:rsid w:val="00E17E58"/>
    <w:rsid w:val="00E2016F"/>
    <w:rsid w:val="00E40FD3"/>
    <w:rsid w:val="00E71180"/>
    <w:rsid w:val="00E744B0"/>
    <w:rsid w:val="00E76C69"/>
    <w:rsid w:val="00EF43F5"/>
    <w:rsid w:val="00F42F8D"/>
    <w:rsid w:val="00F512C6"/>
    <w:rsid w:val="00F6002C"/>
    <w:rsid w:val="00F95B85"/>
    <w:rsid w:val="00F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22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2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22F9"/>
    <w:rPr>
      <w:sz w:val="20"/>
      <w:szCs w:val="20"/>
    </w:rPr>
  </w:style>
  <w:style w:type="table" w:styleId="a7">
    <w:name w:val="Table Grid"/>
    <w:basedOn w:val="a1"/>
    <w:uiPriority w:val="59"/>
    <w:rsid w:val="0044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4EF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aw.com.tw/LawContent.aspx?LawID=G0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0425</dc:creator>
  <cp:lastModifiedBy>0803</cp:lastModifiedBy>
  <cp:revision>3</cp:revision>
  <cp:lastPrinted>2016-01-13T04:05:00Z</cp:lastPrinted>
  <dcterms:created xsi:type="dcterms:W3CDTF">2016-02-17T07:19:00Z</dcterms:created>
  <dcterms:modified xsi:type="dcterms:W3CDTF">2016-02-24T08:29:00Z</dcterms:modified>
</cp:coreProperties>
</file>