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15" w:rsidRPr="00B05987" w:rsidRDefault="00705806" w:rsidP="000861D1">
      <w:pPr>
        <w:spacing w:line="400" w:lineRule="exact"/>
        <w:jc w:val="center"/>
        <w:rPr>
          <w:rFonts w:ascii="標楷體" w:eastAsia="標楷體" w:hAnsi="標楷體"/>
          <w:b/>
          <w:snapToGrid w:val="0"/>
          <w:sz w:val="28"/>
          <w:szCs w:val="28"/>
        </w:rPr>
      </w:pPr>
      <w:r w:rsidRPr="00B05987">
        <w:rPr>
          <w:rFonts w:ascii="標楷體" w:eastAsia="標楷體" w:hAnsi="標楷體" w:hint="eastAsia"/>
          <w:b/>
          <w:snapToGrid w:val="0"/>
          <w:sz w:val="28"/>
          <w:szCs w:val="28"/>
        </w:rPr>
        <w:t>臺灣證券交</w:t>
      </w:r>
      <w:r w:rsidR="00B05987" w:rsidRPr="00B05987">
        <w:rPr>
          <w:rFonts w:ascii="標楷體" w:eastAsia="標楷體" w:hAnsi="標楷體" w:hint="eastAsia"/>
          <w:b/>
          <w:snapToGrid w:val="0"/>
          <w:sz w:val="28"/>
          <w:szCs w:val="28"/>
        </w:rPr>
        <w:t>易所股份有限公司受益憑證流動量提供者</w:t>
      </w:r>
      <w:proofErr w:type="gramStart"/>
      <w:r w:rsidR="00B05987" w:rsidRPr="00B05987">
        <w:rPr>
          <w:rFonts w:ascii="標楷體" w:eastAsia="標楷體" w:hAnsi="標楷體" w:hint="eastAsia"/>
          <w:b/>
          <w:snapToGrid w:val="0"/>
          <w:sz w:val="28"/>
          <w:szCs w:val="28"/>
        </w:rPr>
        <w:t>經手費折讓</w:t>
      </w:r>
      <w:proofErr w:type="gramEnd"/>
      <w:r w:rsidR="00B05987" w:rsidRPr="00B05987">
        <w:rPr>
          <w:rFonts w:ascii="標楷體" w:eastAsia="標楷體" w:hAnsi="標楷體" w:hint="eastAsia"/>
          <w:b/>
          <w:snapToGrid w:val="0"/>
          <w:sz w:val="28"/>
          <w:szCs w:val="28"/>
        </w:rPr>
        <w:t>及獎勵金核發標準</w:t>
      </w:r>
    </w:p>
    <w:p w:rsidR="00D77C1C" w:rsidRPr="00B05987" w:rsidRDefault="00BA6623" w:rsidP="000861D1">
      <w:pPr>
        <w:spacing w:line="400" w:lineRule="exact"/>
        <w:jc w:val="center"/>
        <w:rPr>
          <w:rFonts w:ascii="標楷體" w:eastAsia="標楷體" w:hAnsi="標楷體"/>
          <w:b/>
          <w:snapToGrid w:val="0"/>
          <w:sz w:val="28"/>
          <w:szCs w:val="28"/>
        </w:rPr>
      </w:pPr>
      <w:r w:rsidRPr="00CC6C69">
        <w:rPr>
          <w:rFonts w:ascii="標楷體" w:eastAsia="標楷體" w:hAnsi="標楷體" w:hint="eastAsia"/>
          <w:b/>
          <w:snapToGrid w:val="0"/>
          <w:sz w:val="28"/>
          <w:szCs w:val="28"/>
        </w:rPr>
        <w:t>第</w:t>
      </w:r>
      <w:r w:rsidR="00CC6C69" w:rsidRPr="00CC6C69">
        <w:rPr>
          <w:rFonts w:ascii="標楷體" w:eastAsia="標楷體" w:hAnsi="標楷體" w:hint="eastAsia"/>
          <w:b/>
          <w:snapToGrid w:val="0"/>
          <w:sz w:val="28"/>
          <w:szCs w:val="28"/>
        </w:rPr>
        <w:t>壹</w:t>
      </w:r>
      <w:r w:rsidRPr="00CC6C69">
        <w:rPr>
          <w:rFonts w:ascii="標楷體" w:eastAsia="標楷體" w:hAnsi="標楷體" w:hint="eastAsia"/>
          <w:b/>
          <w:snapToGrid w:val="0"/>
          <w:sz w:val="28"/>
          <w:szCs w:val="28"/>
        </w:rPr>
        <w:t>點</w:t>
      </w:r>
      <w:r>
        <w:rPr>
          <w:rFonts w:ascii="標楷體" w:eastAsia="標楷體" w:hAnsi="標楷體" w:hint="eastAsia"/>
          <w:b/>
          <w:snapToGrid w:val="0"/>
          <w:sz w:val="28"/>
          <w:szCs w:val="28"/>
        </w:rPr>
        <w:t>及第貳</w:t>
      </w:r>
      <w:r w:rsidR="00171B15" w:rsidRPr="00B05987">
        <w:rPr>
          <w:rFonts w:ascii="標楷體" w:eastAsia="標楷體" w:hAnsi="標楷體" w:hint="eastAsia"/>
          <w:b/>
          <w:snapToGrid w:val="0"/>
          <w:sz w:val="28"/>
          <w:szCs w:val="28"/>
        </w:rPr>
        <w:t>點</w:t>
      </w:r>
      <w:r w:rsidR="00705806" w:rsidRPr="00B05987">
        <w:rPr>
          <w:rFonts w:ascii="標楷體" w:eastAsia="標楷體" w:hAnsi="標楷體" w:hint="eastAsia"/>
          <w:b/>
          <w:snapToGrid w:val="0"/>
          <w:sz w:val="28"/>
          <w:szCs w:val="28"/>
        </w:rPr>
        <w:t>修正條文對照表</w:t>
      </w:r>
    </w:p>
    <w:tbl>
      <w:tblPr>
        <w:tblStyle w:val="a3"/>
        <w:tblW w:w="0" w:type="auto"/>
        <w:tblLook w:val="04A0"/>
      </w:tblPr>
      <w:tblGrid>
        <w:gridCol w:w="4079"/>
        <w:gridCol w:w="4080"/>
        <w:gridCol w:w="2523"/>
      </w:tblGrid>
      <w:tr w:rsidR="00FE03C0" w:rsidRPr="0075022B" w:rsidTr="00FE03C0">
        <w:tc>
          <w:tcPr>
            <w:tcW w:w="4079" w:type="dxa"/>
          </w:tcPr>
          <w:p w:rsidR="00FE03C0" w:rsidRPr="0075022B" w:rsidRDefault="00464F91" w:rsidP="000861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022B">
              <w:rPr>
                <w:rFonts w:ascii="標楷體" w:eastAsia="標楷體" w:hAnsi="標楷體"/>
                <w:szCs w:val="24"/>
              </w:rPr>
              <w:t>修正</w:t>
            </w:r>
            <w:r w:rsidR="00FE03C0" w:rsidRPr="0075022B">
              <w:rPr>
                <w:rFonts w:ascii="標楷體" w:eastAsia="標楷體" w:hAnsi="標楷體"/>
                <w:szCs w:val="24"/>
              </w:rPr>
              <w:t>條文</w:t>
            </w:r>
          </w:p>
        </w:tc>
        <w:tc>
          <w:tcPr>
            <w:tcW w:w="4080" w:type="dxa"/>
          </w:tcPr>
          <w:p w:rsidR="00FE03C0" w:rsidRPr="0075022B" w:rsidRDefault="00FE03C0" w:rsidP="000861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022B">
              <w:rPr>
                <w:rFonts w:ascii="標楷體" w:eastAsia="標楷體" w:hAnsi="標楷體" w:hint="eastAsia"/>
                <w:szCs w:val="24"/>
              </w:rPr>
              <w:t>現行</w:t>
            </w:r>
            <w:r w:rsidRPr="0075022B">
              <w:rPr>
                <w:rFonts w:ascii="標楷體" w:eastAsia="標楷體" w:hAnsi="標楷體"/>
                <w:szCs w:val="24"/>
              </w:rPr>
              <w:t>條文</w:t>
            </w:r>
          </w:p>
        </w:tc>
        <w:tc>
          <w:tcPr>
            <w:tcW w:w="2523" w:type="dxa"/>
          </w:tcPr>
          <w:p w:rsidR="00FE03C0" w:rsidRPr="0075022B" w:rsidRDefault="00FE03C0" w:rsidP="000861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022B"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2D2BF9" w:rsidRPr="0075022B" w:rsidTr="00FE03C0">
        <w:tc>
          <w:tcPr>
            <w:tcW w:w="4079" w:type="dxa"/>
          </w:tcPr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602" w:hanging="616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壹、</w:t>
            </w:r>
            <w:proofErr w:type="gramStart"/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經手費折讓</w:t>
            </w:r>
            <w:proofErr w:type="gramEnd"/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標準</w:t>
            </w:r>
          </w:p>
          <w:p w:rsidR="002D2BF9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一、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流動量提供者及其負責提供流動量之指數股票型基金受益憑證</w:t>
            </w:r>
            <w:r w:rsidR="00DA4A57">
              <w:rPr>
                <w:rFonts w:ascii="標楷體" w:eastAsia="標楷體" w:hAnsi="標楷體"/>
                <w:snapToGrid w:val="0"/>
                <w:szCs w:val="24"/>
                <w:u w:val="single"/>
              </w:rPr>
              <w:t>及</w:t>
            </w:r>
            <w:r w:rsidR="006E7A0D">
              <w:rPr>
                <w:rFonts w:ascii="標楷體" w:eastAsia="標楷體" w:hAnsi="標楷體"/>
                <w:snapToGrid w:val="0"/>
                <w:szCs w:val="24"/>
                <w:u w:val="single"/>
              </w:rPr>
              <w:t>其</w:t>
            </w:r>
            <w:r w:rsidR="00DA4A57">
              <w:rPr>
                <w:rFonts w:ascii="標楷體" w:eastAsia="標楷體" w:hAnsi="標楷體"/>
                <w:snapToGrid w:val="0"/>
                <w:szCs w:val="24"/>
                <w:u w:val="single"/>
              </w:rPr>
              <w:t>加掛</w:t>
            </w:r>
            <w:r w:rsidR="00DA4A57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ETF受益憑證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（以下皆簡稱 ETF</w:t>
            </w:r>
            <w:r w:rsidRPr="0075022B">
              <w:rPr>
                <w:rFonts w:ascii="標楷體" w:eastAsia="標楷體" w:hAnsi="標楷體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）當月績效須符合下列條件，</w:t>
            </w:r>
            <w:proofErr w:type="gramStart"/>
            <w:r w:rsidRPr="0075022B">
              <w:rPr>
                <w:rFonts w:ascii="標楷體" w:eastAsia="標楷體" w:hAnsi="標楷體"/>
                <w:snapToGrid w:val="0"/>
                <w:szCs w:val="24"/>
              </w:rPr>
              <w:t>本公司得折讓</w:t>
            </w:r>
            <w:proofErr w:type="gramEnd"/>
            <w:r w:rsidRPr="0075022B">
              <w:rPr>
                <w:rFonts w:ascii="標楷體" w:eastAsia="標楷體" w:hAnsi="標楷體"/>
                <w:snapToGrid w:val="0"/>
                <w:szCs w:val="24"/>
              </w:rPr>
              <w:t>經手費：</w:t>
            </w:r>
          </w:p>
          <w:p w:rsidR="007930BB" w:rsidRDefault="007930BB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</w:p>
          <w:p w:rsidR="00F8036F" w:rsidRPr="00F8036F" w:rsidRDefault="00F8036F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240" w:hangingChars="100" w:hanging="24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（一）ETF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之普通交易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須達下列標準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：</w:t>
            </w: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50" w:left="360" w:hangingChars="100" w:hanging="24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1.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最佳一檔買賣價差出現大於百分之一且持續超過30分鐘者，當月不超過2次。</w:t>
            </w: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150" w:left="36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最佳一檔買賣價差範圍，其計算公式如下：</w:t>
            </w: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150" w:left="36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(最佳一檔買賣價差)=[(未成交之最低賣出申報價格)－(未成交之最高買進申報價格)]／(未成交之最低賣出申報價格)。</w:t>
            </w: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50" w:left="360" w:hangingChars="100" w:hanging="24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2.揭示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價格除漲停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買進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或跌停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賣出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者外，市場行情揭示僅有買進或賣出揭示價格逾3分鐘之次數不超過2次，</w:t>
            </w:r>
            <w:proofErr w:type="gramStart"/>
            <w:r w:rsidRPr="0075022B">
              <w:rPr>
                <w:rFonts w:ascii="標楷體" w:eastAsia="標楷體" w:hAnsi="標楷體"/>
                <w:snapToGrid w:val="0"/>
                <w:szCs w:val="24"/>
              </w:rPr>
              <w:t>惟遇有</w:t>
            </w:r>
            <w:proofErr w:type="gramEnd"/>
            <w:r w:rsidRPr="0075022B">
              <w:rPr>
                <w:rFonts w:ascii="標楷體" w:eastAsia="標楷體" w:hAnsi="標楷體"/>
                <w:snapToGrid w:val="0"/>
                <w:szCs w:val="24"/>
              </w:rPr>
              <w:t>本公司營業細則第58條之3第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四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項之情事，須延緩撮合時間時，得排除上揭時間計算。</w:t>
            </w: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120" w:hangingChars="50" w:hanging="12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（二）ETF</w:t>
            </w:r>
            <w:r w:rsidR="004457D9"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流動量提供者之普通交易須達下列標準：</w:t>
            </w: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50" w:left="360" w:hangingChars="100" w:hanging="24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1.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流動量提供者於盤中遇該ETF</w:t>
            </w:r>
            <w:r w:rsidR="004457D9"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有本公司營業細則第58條之3第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四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項之情事時，於延緩撮合期間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未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申報8個交易單位以上之買進及賣出，每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期不超過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2次。</w:t>
            </w: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50" w:left="360" w:hangingChars="100" w:hanging="24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2.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流動量提供者買賣該ETF</w:t>
            </w:r>
            <w:r w:rsidR="004457D9"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普通交易之日平均週轉率，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於該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ETF</w:t>
            </w:r>
            <w:r w:rsidR="004457D9"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日平均資產總值達新台幣100億元以上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時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，須達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全體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股票日平均週轉率三分之一以上；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另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lastRenderedPageBreak/>
              <w:t>該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ETF</w:t>
            </w:r>
            <w:r w:rsidR="004457D9"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日平均資產總值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未達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新台幣100億元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時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，須達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全體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股票日平均週轉率六分之一以上。</w:t>
            </w:r>
          </w:p>
          <w:p w:rsidR="002D2BF9" w:rsidRPr="0075022B" w:rsidRDefault="00A73B42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50" w:left="360" w:hangingChars="100" w:hanging="24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 xml:space="preserve">  </w:t>
            </w:r>
            <w:r w:rsidR="002D2BF9" w:rsidRPr="0075022B">
              <w:rPr>
                <w:rFonts w:ascii="標楷體" w:eastAsia="標楷體" w:hAnsi="標楷體"/>
                <w:snapToGrid w:val="0"/>
                <w:szCs w:val="24"/>
              </w:rPr>
              <w:t>流動量提供者買賣該ETF</w:t>
            </w:r>
            <w:r w:rsidR="004457D9"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="002D2BF9" w:rsidRPr="0075022B">
              <w:rPr>
                <w:rFonts w:ascii="標楷體" w:eastAsia="標楷體" w:hAnsi="標楷體"/>
                <w:snapToGrid w:val="0"/>
                <w:szCs w:val="24"/>
              </w:rPr>
              <w:t>之日平均週轉率計算公式，為其</w:t>
            </w:r>
            <w:r w:rsidR="002D2BF9" w:rsidRPr="0075022B">
              <w:rPr>
                <w:rFonts w:ascii="標楷體" w:eastAsia="標楷體" w:hAnsi="標楷體" w:hint="eastAsia"/>
                <w:snapToGrid w:val="0"/>
                <w:szCs w:val="24"/>
              </w:rPr>
              <w:t>當月</w:t>
            </w:r>
            <w:r w:rsidR="002D2BF9" w:rsidRPr="0075022B">
              <w:rPr>
                <w:rFonts w:ascii="標楷體" w:eastAsia="標楷體" w:hAnsi="標楷體"/>
                <w:snapToGrid w:val="0"/>
                <w:szCs w:val="24"/>
              </w:rPr>
              <w:t>買賣該ETF</w:t>
            </w:r>
            <w:r w:rsidR="004457D9"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="002D2BF9" w:rsidRPr="0075022B">
              <w:rPr>
                <w:rFonts w:ascii="標楷體" w:eastAsia="標楷體" w:hAnsi="標楷體"/>
                <w:snapToGrid w:val="0"/>
                <w:szCs w:val="24"/>
              </w:rPr>
              <w:t>日平均成交量除以該ETF日平均上市單位數。</w:t>
            </w: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240" w:hangingChars="100" w:hanging="24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（三）壹、一、（二）2、及壹、二、（一）之日平均成交量，壹、二、（二）之流動量提供者當月買賣該ETF</w:t>
            </w:r>
            <w:r w:rsidR="004457D9"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成交量，貳、三之日平均買進及賣出總成交量以及獲獎勵金者當期賣出該ETF</w:t>
            </w:r>
            <w:r w:rsidR="004457D9"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之證券交易稅等之計算方式，限於流動量提供者當月於ETF</w:t>
            </w:r>
            <w:r w:rsidR="004457D9"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專戶買賣該ETF</w:t>
            </w:r>
            <w:r w:rsidR="004457D9"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之成交量，且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不含於同一盤以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該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專戶買賣，或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該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專戶與其他自有名義開立之帳戶相互買賣成交之數量。</w:t>
            </w:r>
          </w:p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360" w:hangingChars="150" w:hanging="36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二、當月流動量提供者買賣該ETF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proofErr w:type="gramStart"/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經手費折讓</w:t>
            </w:r>
            <w:proofErr w:type="gramEnd"/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標準</w:t>
            </w:r>
          </w:p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120" w:hangingChars="50" w:hanging="12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 xml:space="preserve">（一）普通交易之日平均成交量標準： </w:t>
            </w:r>
          </w:p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1.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ETF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日平均資產總值達新台幣100億元以上者：</w:t>
            </w: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26"/>
              <w:gridCol w:w="1306"/>
            </w:tblGrid>
            <w:tr w:rsidR="004D36F5" w:rsidRPr="0075022B" w:rsidTr="00B24449">
              <w:tc>
                <w:tcPr>
                  <w:tcW w:w="212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日平均成交量</w:t>
                  </w:r>
                </w:p>
              </w:tc>
              <w:tc>
                <w:tcPr>
                  <w:tcW w:w="130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proofErr w:type="gramStart"/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經手費折讓</w:t>
                  </w:r>
                  <w:proofErr w:type="gramEnd"/>
                </w:p>
              </w:tc>
            </w:tr>
            <w:tr w:rsidR="004D36F5" w:rsidRPr="0075022B" w:rsidTr="00B24449">
              <w:tc>
                <w:tcPr>
                  <w:tcW w:w="212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1000交易單位以上未滿2000交易單位</w:t>
                  </w:r>
                </w:p>
              </w:tc>
              <w:tc>
                <w:tcPr>
                  <w:tcW w:w="130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10%</w:t>
                  </w:r>
                </w:p>
              </w:tc>
            </w:tr>
            <w:tr w:rsidR="004D36F5" w:rsidRPr="0075022B" w:rsidTr="00B24449">
              <w:tc>
                <w:tcPr>
                  <w:tcW w:w="212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2000交易單位以上未滿 3000交易單位</w:t>
                  </w:r>
                </w:p>
              </w:tc>
              <w:tc>
                <w:tcPr>
                  <w:tcW w:w="130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20%</w:t>
                  </w:r>
                </w:p>
              </w:tc>
            </w:tr>
            <w:tr w:rsidR="004D36F5" w:rsidRPr="0075022B" w:rsidTr="00B24449">
              <w:tc>
                <w:tcPr>
                  <w:tcW w:w="212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3000交易單位以上未滿 4000交易單位</w:t>
                  </w:r>
                </w:p>
              </w:tc>
              <w:tc>
                <w:tcPr>
                  <w:tcW w:w="130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30%</w:t>
                  </w:r>
                </w:p>
              </w:tc>
            </w:tr>
            <w:tr w:rsidR="004D36F5" w:rsidRPr="0075022B" w:rsidTr="00B24449">
              <w:tc>
                <w:tcPr>
                  <w:tcW w:w="212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4000 交易單位以上未滿 5000交易單位</w:t>
                  </w:r>
                </w:p>
              </w:tc>
              <w:tc>
                <w:tcPr>
                  <w:tcW w:w="130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40%</w:t>
                  </w:r>
                </w:p>
              </w:tc>
            </w:tr>
            <w:tr w:rsidR="004D36F5" w:rsidRPr="0075022B" w:rsidTr="00B24449">
              <w:tc>
                <w:tcPr>
                  <w:tcW w:w="212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5000交易單位以上</w:t>
                  </w:r>
                </w:p>
              </w:tc>
              <w:tc>
                <w:tcPr>
                  <w:tcW w:w="130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50%</w:t>
                  </w:r>
                </w:p>
              </w:tc>
            </w:tr>
          </w:tbl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50" w:left="12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2.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ETF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之日平均資產總值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未達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新台幣100億元者：</w:t>
            </w: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26"/>
              <w:gridCol w:w="1306"/>
            </w:tblGrid>
            <w:tr w:rsidR="004D36F5" w:rsidRPr="0075022B" w:rsidTr="00B24449">
              <w:tc>
                <w:tcPr>
                  <w:tcW w:w="212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日平均成交量</w:t>
                  </w:r>
                </w:p>
              </w:tc>
              <w:tc>
                <w:tcPr>
                  <w:tcW w:w="130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proofErr w:type="gramStart"/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經手費折讓</w:t>
                  </w:r>
                  <w:proofErr w:type="gramEnd"/>
                </w:p>
              </w:tc>
            </w:tr>
            <w:tr w:rsidR="004D36F5" w:rsidRPr="0075022B" w:rsidTr="00B24449">
              <w:tc>
                <w:tcPr>
                  <w:tcW w:w="2126" w:type="dxa"/>
                  <w:vAlign w:val="bottom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lastRenderedPageBreak/>
                    <w:t>100交易單位以上未滿300交易單位</w:t>
                  </w:r>
                </w:p>
              </w:tc>
              <w:tc>
                <w:tcPr>
                  <w:tcW w:w="130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10%</w:t>
                  </w:r>
                </w:p>
              </w:tc>
            </w:tr>
            <w:tr w:rsidR="004D36F5" w:rsidRPr="0075022B" w:rsidTr="00B24449">
              <w:tc>
                <w:tcPr>
                  <w:tcW w:w="2126" w:type="dxa"/>
                  <w:vAlign w:val="bottom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300交易單位以上未滿500交易單位</w:t>
                  </w:r>
                </w:p>
              </w:tc>
              <w:tc>
                <w:tcPr>
                  <w:tcW w:w="130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20%</w:t>
                  </w:r>
                </w:p>
              </w:tc>
            </w:tr>
            <w:tr w:rsidR="004D36F5" w:rsidRPr="0075022B" w:rsidTr="00B24449">
              <w:tc>
                <w:tcPr>
                  <w:tcW w:w="2126" w:type="dxa"/>
                  <w:vAlign w:val="bottom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500交易單位以上未滿1000交易單位</w:t>
                  </w:r>
                </w:p>
              </w:tc>
              <w:tc>
                <w:tcPr>
                  <w:tcW w:w="130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30%</w:t>
                  </w:r>
                </w:p>
              </w:tc>
            </w:tr>
            <w:tr w:rsidR="004D36F5" w:rsidRPr="0075022B" w:rsidTr="00B24449">
              <w:tc>
                <w:tcPr>
                  <w:tcW w:w="2126" w:type="dxa"/>
                  <w:vAlign w:val="bottom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1000交易單位以上未滿1500交易單位</w:t>
                  </w:r>
                </w:p>
              </w:tc>
              <w:tc>
                <w:tcPr>
                  <w:tcW w:w="130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40%</w:t>
                  </w:r>
                </w:p>
              </w:tc>
            </w:tr>
            <w:tr w:rsidR="004D36F5" w:rsidRPr="0075022B" w:rsidTr="00B24449">
              <w:tc>
                <w:tcPr>
                  <w:tcW w:w="2126" w:type="dxa"/>
                  <w:vAlign w:val="bottom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1500交易單位以上</w:t>
                  </w:r>
                </w:p>
              </w:tc>
              <w:tc>
                <w:tcPr>
                  <w:tcW w:w="130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50%</w:t>
                  </w:r>
                </w:p>
              </w:tc>
            </w:tr>
          </w:tbl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（二）普通交易之成交量比重標準：</w:t>
            </w: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26"/>
              <w:gridCol w:w="1306"/>
            </w:tblGrid>
            <w:tr w:rsidR="004D36F5" w:rsidRPr="0075022B" w:rsidTr="00B24449">
              <w:tc>
                <w:tcPr>
                  <w:tcW w:w="212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月成交量比重</w:t>
                  </w:r>
                </w:p>
              </w:tc>
              <w:tc>
                <w:tcPr>
                  <w:tcW w:w="130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proofErr w:type="gramStart"/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經手費折讓</w:t>
                  </w:r>
                  <w:proofErr w:type="gramEnd"/>
                </w:p>
              </w:tc>
            </w:tr>
            <w:tr w:rsidR="004D36F5" w:rsidRPr="0075022B" w:rsidTr="00B24449">
              <w:tc>
                <w:tcPr>
                  <w:tcW w:w="2126" w:type="dxa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10%以上未滿30%</w:t>
                  </w:r>
                </w:p>
              </w:tc>
              <w:tc>
                <w:tcPr>
                  <w:tcW w:w="130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20%</w:t>
                  </w:r>
                </w:p>
              </w:tc>
            </w:tr>
            <w:tr w:rsidR="004D36F5" w:rsidRPr="0075022B" w:rsidTr="00B24449">
              <w:tc>
                <w:tcPr>
                  <w:tcW w:w="2126" w:type="dxa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30%以上未滿50%</w:t>
                  </w:r>
                </w:p>
              </w:tc>
              <w:tc>
                <w:tcPr>
                  <w:tcW w:w="130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30%</w:t>
                  </w:r>
                </w:p>
              </w:tc>
            </w:tr>
            <w:tr w:rsidR="004D36F5" w:rsidRPr="0075022B" w:rsidTr="00B24449">
              <w:tc>
                <w:tcPr>
                  <w:tcW w:w="2126" w:type="dxa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50%以上</w:t>
                  </w: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 xml:space="preserve"> </w:t>
                  </w: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未滿70%</w:t>
                  </w:r>
                </w:p>
              </w:tc>
              <w:tc>
                <w:tcPr>
                  <w:tcW w:w="130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50%</w:t>
                  </w:r>
                </w:p>
              </w:tc>
            </w:tr>
            <w:tr w:rsidR="004D36F5" w:rsidRPr="0075022B" w:rsidTr="00B24449">
              <w:tc>
                <w:tcPr>
                  <w:tcW w:w="2126" w:type="dxa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70%以上未滿90%</w:t>
                  </w:r>
                </w:p>
              </w:tc>
              <w:tc>
                <w:tcPr>
                  <w:tcW w:w="130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70%</w:t>
                  </w:r>
                </w:p>
              </w:tc>
            </w:tr>
            <w:tr w:rsidR="004D36F5" w:rsidRPr="0075022B" w:rsidTr="00B24449">
              <w:tc>
                <w:tcPr>
                  <w:tcW w:w="2126" w:type="dxa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90%以上</w:t>
                  </w:r>
                </w:p>
              </w:tc>
              <w:tc>
                <w:tcPr>
                  <w:tcW w:w="1306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100%</w:t>
                  </w:r>
                </w:p>
              </w:tc>
            </w:tr>
            <w:tr w:rsidR="004D36F5" w:rsidRPr="0075022B" w:rsidTr="00B24449">
              <w:tc>
                <w:tcPr>
                  <w:tcW w:w="3432" w:type="dxa"/>
                  <w:gridSpan w:val="2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proofErr w:type="gramStart"/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註</w:t>
                  </w:r>
                  <w:proofErr w:type="gramEnd"/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：(月成交量比重)＝(流動量提供者當月買賣該ETF成交量)÷(當月該ETF總成交量)。</w:t>
                  </w: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(總成交量=(買進成交量＋賣出成交量)／2)</w:t>
                  </w:r>
                </w:p>
              </w:tc>
            </w:tr>
          </w:tbl>
          <w:p w:rsidR="002D2BF9" w:rsidRPr="0075022B" w:rsidRDefault="004D36F5" w:rsidP="004A5FC1">
            <w:pPr>
              <w:spacing w:line="276" w:lineRule="auto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（三）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達</w:t>
            </w:r>
            <w:proofErr w:type="gramStart"/>
            <w:r w:rsidRPr="0075022B">
              <w:rPr>
                <w:rFonts w:ascii="標楷體" w:eastAsia="標楷體" w:hAnsi="標楷體"/>
                <w:snapToGrid w:val="0"/>
                <w:szCs w:val="24"/>
              </w:rPr>
              <w:t>前二項折讓</w:t>
            </w:r>
            <w:proofErr w:type="gramEnd"/>
            <w:r w:rsidRPr="0075022B">
              <w:rPr>
                <w:rFonts w:ascii="標楷體" w:eastAsia="標楷體" w:hAnsi="標楷體"/>
                <w:snapToGrid w:val="0"/>
                <w:szCs w:val="24"/>
              </w:rPr>
              <w:t>標準者，經手</w:t>
            </w:r>
            <w:proofErr w:type="gramStart"/>
            <w:r w:rsidRPr="0075022B">
              <w:rPr>
                <w:rFonts w:ascii="標楷體" w:eastAsia="標楷體" w:hAnsi="標楷體"/>
                <w:snapToGrid w:val="0"/>
                <w:szCs w:val="24"/>
              </w:rPr>
              <w:t>費折讓得</w:t>
            </w:r>
            <w:proofErr w:type="gramEnd"/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合併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計算，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逾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100%之折讓金額得抵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該流動量提供者所負責之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其他ETF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經手費。</w:t>
            </w:r>
          </w:p>
          <w:p w:rsidR="004D36F5" w:rsidRPr="0075022B" w:rsidRDefault="004D36F5" w:rsidP="004A5FC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0" w:type="dxa"/>
          </w:tcPr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602" w:hanging="616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lastRenderedPageBreak/>
              <w:t>壹、</w:t>
            </w:r>
            <w:proofErr w:type="gramStart"/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經手費折讓</w:t>
            </w:r>
            <w:proofErr w:type="gramEnd"/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標準</w:t>
            </w: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一、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流動量提供者及其負責提供流動量之指數股票型基金受益憑證</w:t>
            </w:r>
            <w:r w:rsidRPr="000316FB">
              <w:rPr>
                <w:rFonts w:ascii="標楷體" w:eastAsia="標楷體" w:hAnsi="標楷體" w:hint="eastAsia"/>
                <w:i/>
                <w:snapToGrid w:val="0"/>
                <w:szCs w:val="24"/>
                <w:u w:val="single"/>
              </w:rPr>
              <w:t>、</w:t>
            </w:r>
            <w:r w:rsidRPr="00024553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指數股票型期貨信託基金受益憑證</w:t>
            </w:r>
            <w:r w:rsidRPr="00024553">
              <w:rPr>
                <w:rFonts w:ascii="標楷體" w:eastAsia="標楷體" w:hAnsi="標楷體"/>
                <w:snapToGrid w:val="0"/>
                <w:szCs w:val="24"/>
                <w:u w:val="single"/>
              </w:rPr>
              <w:t>及境外指數股票型基金受益憑證、基金股份或投資單位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（以下皆簡稱 ETF）當月績效須符合下列條件，</w:t>
            </w:r>
            <w:proofErr w:type="gramStart"/>
            <w:r w:rsidRPr="0075022B">
              <w:rPr>
                <w:rFonts w:ascii="標楷體" w:eastAsia="標楷體" w:hAnsi="標楷體"/>
                <w:snapToGrid w:val="0"/>
                <w:szCs w:val="24"/>
              </w:rPr>
              <w:t>本公司得折讓</w:t>
            </w:r>
            <w:proofErr w:type="gramEnd"/>
            <w:r w:rsidRPr="0075022B">
              <w:rPr>
                <w:rFonts w:ascii="標楷體" w:eastAsia="標楷體" w:hAnsi="標楷體"/>
                <w:snapToGrid w:val="0"/>
                <w:szCs w:val="24"/>
              </w:rPr>
              <w:t>經手費：</w:t>
            </w: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（一）ETF之普通交易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須達下列標準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：</w:t>
            </w:r>
          </w:p>
          <w:p w:rsidR="0075022B" w:rsidRPr="0075022B" w:rsidRDefault="0075022B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50" w:left="360" w:hangingChars="100" w:hanging="24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1.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最佳一檔買賣價差出現大於百分之一且持續超過30分鐘者，當月不超過2次。</w:t>
            </w: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150" w:left="36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最佳一檔買賣價差範圍，其計算公式如下：</w:t>
            </w: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150" w:left="36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(最佳一檔買賣價差)=[(未成交之最低賣出申報價格)－(未成交之最高買進申報價格)]／(未成交之最低賣出申報價格)。</w:t>
            </w: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50" w:left="360" w:hangingChars="100" w:hanging="24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2.揭示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價格除漲停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買進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或跌停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賣出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者外，市場行情揭示僅有買進或賣出揭示價格逾3分鐘之次數不超過2次，</w:t>
            </w:r>
            <w:proofErr w:type="gramStart"/>
            <w:r w:rsidRPr="0075022B">
              <w:rPr>
                <w:rFonts w:ascii="標楷體" w:eastAsia="標楷體" w:hAnsi="標楷體"/>
                <w:snapToGrid w:val="0"/>
                <w:szCs w:val="24"/>
              </w:rPr>
              <w:t>惟遇有</w:t>
            </w:r>
            <w:proofErr w:type="gramEnd"/>
            <w:r w:rsidRPr="0075022B">
              <w:rPr>
                <w:rFonts w:ascii="標楷體" w:eastAsia="標楷體" w:hAnsi="標楷體"/>
                <w:snapToGrid w:val="0"/>
                <w:szCs w:val="24"/>
              </w:rPr>
              <w:t>本公司營業細則第58條之3第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四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項之情事，須延緩撮合時間時，得排除上揭時間計算。</w:t>
            </w: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120" w:hangingChars="50" w:hanging="12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（二）ETF流動量提供者之普通交易須達下列標準：</w:t>
            </w: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50" w:left="360" w:hangingChars="100" w:hanging="24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1.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流動量提供者於盤中遇該ETF有本公司營業細則第58條之3第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四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項之情事時，於延緩撮合期間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未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申報8個交易單位以上之買進及賣出，每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期不超過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2次。</w:t>
            </w: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50" w:left="360" w:hangingChars="100" w:hanging="24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2.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流動量提供者買賣該ETF普通交易之日平均週轉率，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於該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ETF日平均資產總值達新台幣100億元以上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時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，須達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全體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股票日平均週轉率三分之一以上；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另該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ETF日平均資產總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lastRenderedPageBreak/>
              <w:t>值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未達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新台幣100億元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時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，須達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全體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股票日平均週轉率六分之一以上。</w:t>
            </w:r>
          </w:p>
          <w:p w:rsidR="002D2BF9" w:rsidRPr="0075022B" w:rsidRDefault="00033B54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50" w:left="360" w:hangingChars="100" w:hanging="24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 xml:space="preserve">  </w:t>
            </w:r>
            <w:r w:rsidR="002D2BF9" w:rsidRPr="0075022B">
              <w:rPr>
                <w:rFonts w:ascii="標楷體" w:eastAsia="標楷體" w:hAnsi="標楷體"/>
                <w:snapToGrid w:val="0"/>
                <w:szCs w:val="24"/>
              </w:rPr>
              <w:t>流動量提供者買賣該ETF之日平均週轉率計算公式，為其</w:t>
            </w:r>
            <w:r w:rsidR="002D2BF9" w:rsidRPr="0075022B">
              <w:rPr>
                <w:rFonts w:ascii="標楷體" w:eastAsia="標楷體" w:hAnsi="標楷體" w:hint="eastAsia"/>
                <w:snapToGrid w:val="0"/>
                <w:szCs w:val="24"/>
              </w:rPr>
              <w:t>當月</w:t>
            </w:r>
            <w:r w:rsidR="002D2BF9" w:rsidRPr="0075022B">
              <w:rPr>
                <w:rFonts w:ascii="標楷體" w:eastAsia="標楷體" w:hAnsi="標楷體"/>
                <w:snapToGrid w:val="0"/>
                <w:szCs w:val="24"/>
              </w:rPr>
              <w:t>買賣該ETF日平均成交量除以該ETF日平均上市單位數。</w:t>
            </w: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240" w:hangingChars="100" w:hanging="24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（三）壹、一、（二）2、及壹、二、（一）之日平均成交量，壹、二、（二）之流動量提供者當月買賣該ETF成交量，貳、三之日平均買進及賣出總成交量以及獲獎勵金者當期賣出該ETF之證券交易稅等之計算方式，限於流動量提供者當月於ETF專戶買賣該ETF之成交量，且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不含於同一盤以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該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專戶買賣，或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該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專戶與其他自有名義開立之帳戶相互買賣成交之數量。</w:t>
            </w:r>
          </w:p>
          <w:p w:rsidR="002D2BF9" w:rsidRPr="0075022B" w:rsidRDefault="002D2BF9" w:rsidP="004A5FC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4D36F5" w:rsidRPr="0075022B" w:rsidRDefault="004D36F5" w:rsidP="007502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二、當月流動量提供者買賣該ETF</w:t>
            </w:r>
            <w:proofErr w:type="gramStart"/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經手費折讓</w:t>
            </w:r>
            <w:proofErr w:type="gramEnd"/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標準</w:t>
            </w:r>
          </w:p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120" w:hangingChars="50" w:hanging="12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 xml:space="preserve">（一）普通交易之日平均成交量標準： </w:t>
            </w:r>
          </w:p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1.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ETF日平均資產總值達新台幣100億元以上者：</w:t>
            </w:r>
          </w:p>
          <w:tbl>
            <w:tblPr>
              <w:tblW w:w="0" w:type="auto"/>
              <w:tblInd w:w="4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27"/>
              <w:gridCol w:w="1275"/>
            </w:tblGrid>
            <w:tr w:rsidR="004D36F5" w:rsidRPr="0075022B" w:rsidTr="00B24449">
              <w:tc>
                <w:tcPr>
                  <w:tcW w:w="2127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日平均成交量</w:t>
                  </w:r>
                </w:p>
              </w:tc>
              <w:tc>
                <w:tcPr>
                  <w:tcW w:w="1275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proofErr w:type="gramStart"/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經手費折讓</w:t>
                  </w:r>
                  <w:proofErr w:type="gramEnd"/>
                </w:p>
              </w:tc>
            </w:tr>
            <w:tr w:rsidR="004D36F5" w:rsidRPr="0075022B" w:rsidTr="00B24449">
              <w:tc>
                <w:tcPr>
                  <w:tcW w:w="2127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1000交易單位以上未滿2000交易單位</w:t>
                  </w:r>
                </w:p>
              </w:tc>
              <w:tc>
                <w:tcPr>
                  <w:tcW w:w="1275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10%</w:t>
                  </w:r>
                </w:p>
              </w:tc>
            </w:tr>
            <w:tr w:rsidR="004D36F5" w:rsidRPr="0075022B" w:rsidTr="00B24449">
              <w:tc>
                <w:tcPr>
                  <w:tcW w:w="2127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2000交易單位以上未滿 3000交易單位</w:t>
                  </w:r>
                </w:p>
              </w:tc>
              <w:tc>
                <w:tcPr>
                  <w:tcW w:w="1275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20%</w:t>
                  </w:r>
                </w:p>
              </w:tc>
            </w:tr>
            <w:tr w:rsidR="004D36F5" w:rsidRPr="0075022B" w:rsidTr="00B24449">
              <w:tc>
                <w:tcPr>
                  <w:tcW w:w="2127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3000交易單位以上未滿 4000交易單位</w:t>
                  </w:r>
                </w:p>
              </w:tc>
              <w:tc>
                <w:tcPr>
                  <w:tcW w:w="1275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30%</w:t>
                  </w:r>
                </w:p>
              </w:tc>
            </w:tr>
            <w:tr w:rsidR="004D36F5" w:rsidRPr="0075022B" w:rsidTr="00B24449">
              <w:tc>
                <w:tcPr>
                  <w:tcW w:w="2127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4000 交易單位以上未滿 5000交易單位</w:t>
                  </w:r>
                </w:p>
              </w:tc>
              <w:tc>
                <w:tcPr>
                  <w:tcW w:w="1275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40%</w:t>
                  </w:r>
                </w:p>
              </w:tc>
            </w:tr>
            <w:tr w:rsidR="004D36F5" w:rsidRPr="0075022B" w:rsidTr="00B24449">
              <w:tc>
                <w:tcPr>
                  <w:tcW w:w="2127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5000交易單位以上</w:t>
                  </w:r>
                </w:p>
              </w:tc>
              <w:tc>
                <w:tcPr>
                  <w:tcW w:w="1275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50%</w:t>
                  </w:r>
                </w:p>
              </w:tc>
            </w:tr>
          </w:tbl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50" w:left="12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2.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ETF之日平均資產總值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未達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新台幣100億元者：</w:t>
            </w:r>
          </w:p>
          <w:tbl>
            <w:tblPr>
              <w:tblW w:w="0" w:type="auto"/>
              <w:tblInd w:w="4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27"/>
              <w:gridCol w:w="1275"/>
            </w:tblGrid>
            <w:tr w:rsidR="004D36F5" w:rsidRPr="0075022B" w:rsidTr="00B24449">
              <w:tc>
                <w:tcPr>
                  <w:tcW w:w="2127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日平均成交量</w:t>
                  </w:r>
                </w:p>
              </w:tc>
              <w:tc>
                <w:tcPr>
                  <w:tcW w:w="1275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proofErr w:type="gramStart"/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經手費折讓</w:t>
                  </w:r>
                  <w:proofErr w:type="gramEnd"/>
                </w:p>
              </w:tc>
            </w:tr>
            <w:tr w:rsidR="004D36F5" w:rsidRPr="0075022B" w:rsidTr="00B24449">
              <w:tc>
                <w:tcPr>
                  <w:tcW w:w="2127" w:type="dxa"/>
                  <w:vAlign w:val="bottom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lastRenderedPageBreak/>
                    <w:t>100交易單位以上未滿300交易單位</w:t>
                  </w:r>
                </w:p>
              </w:tc>
              <w:tc>
                <w:tcPr>
                  <w:tcW w:w="1275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10%</w:t>
                  </w:r>
                </w:p>
              </w:tc>
            </w:tr>
            <w:tr w:rsidR="004D36F5" w:rsidRPr="0075022B" w:rsidTr="00B24449">
              <w:tc>
                <w:tcPr>
                  <w:tcW w:w="2127" w:type="dxa"/>
                  <w:vAlign w:val="bottom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300交易單位以上未滿500交易單位</w:t>
                  </w:r>
                </w:p>
              </w:tc>
              <w:tc>
                <w:tcPr>
                  <w:tcW w:w="1275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20%</w:t>
                  </w:r>
                </w:p>
              </w:tc>
            </w:tr>
            <w:tr w:rsidR="004D36F5" w:rsidRPr="0075022B" w:rsidTr="00B24449">
              <w:tc>
                <w:tcPr>
                  <w:tcW w:w="2127" w:type="dxa"/>
                  <w:vAlign w:val="bottom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500交易單位以上未滿1000交易單位</w:t>
                  </w:r>
                </w:p>
              </w:tc>
              <w:tc>
                <w:tcPr>
                  <w:tcW w:w="1275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30%</w:t>
                  </w:r>
                </w:p>
              </w:tc>
            </w:tr>
            <w:tr w:rsidR="004D36F5" w:rsidRPr="0075022B" w:rsidTr="00B24449">
              <w:tc>
                <w:tcPr>
                  <w:tcW w:w="2127" w:type="dxa"/>
                  <w:vAlign w:val="bottom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1000交易單位以上未滿1500交易單位</w:t>
                  </w:r>
                </w:p>
              </w:tc>
              <w:tc>
                <w:tcPr>
                  <w:tcW w:w="1275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40%</w:t>
                  </w:r>
                </w:p>
              </w:tc>
            </w:tr>
            <w:tr w:rsidR="004D36F5" w:rsidRPr="0075022B" w:rsidTr="00B24449">
              <w:tc>
                <w:tcPr>
                  <w:tcW w:w="2127" w:type="dxa"/>
                  <w:vAlign w:val="bottom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1500交易單位以上</w:t>
                  </w:r>
                </w:p>
              </w:tc>
              <w:tc>
                <w:tcPr>
                  <w:tcW w:w="1275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50%</w:t>
                  </w:r>
                </w:p>
              </w:tc>
            </w:tr>
          </w:tbl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（二）普通交易之成交量比重標準：</w:t>
            </w:r>
          </w:p>
          <w:tbl>
            <w:tblPr>
              <w:tblW w:w="0" w:type="auto"/>
              <w:tblInd w:w="4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27"/>
              <w:gridCol w:w="1275"/>
            </w:tblGrid>
            <w:tr w:rsidR="004D36F5" w:rsidRPr="0075022B" w:rsidTr="00B24449">
              <w:tc>
                <w:tcPr>
                  <w:tcW w:w="2127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月成交量比重</w:t>
                  </w:r>
                </w:p>
              </w:tc>
              <w:tc>
                <w:tcPr>
                  <w:tcW w:w="1275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proofErr w:type="gramStart"/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經手費折讓</w:t>
                  </w:r>
                  <w:proofErr w:type="gramEnd"/>
                </w:p>
              </w:tc>
            </w:tr>
            <w:tr w:rsidR="004D36F5" w:rsidRPr="0075022B" w:rsidTr="00B24449">
              <w:tc>
                <w:tcPr>
                  <w:tcW w:w="2127" w:type="dxa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10%以上未滿30%</w:t>
                  </w:r>
                </w:p>
              </w:tc>
              <w:tc>
                <w:tcPr>
                  <w:tcW w:w="1275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20%</w:t>
                  </w:r>
                </w:p>
              </w:tc>
            </w:tr>
            <w:tr w:rsidR="004D36F5" w:rsidRPr="0075022B" w:rsidTr="00B24449">
              <w:tc>
                <w:tcPr>
                  <w:tcW w:w="2127" w:type="dxa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30%以上未滿50%</w:t>
                  </w:r>
                </w:p>
              </w:tc>
              <w:tc>
                <w:tcPr>
                  <w:tcW w:w="1275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30%</w:t>
                  </w:r>
                </w:p>
              </w:tc>
            </w:tr>
            <w:tr w:rsidR="004D36F5" w:rsidRPr="0075022B" w:rsidTr="00B24449">
              <w:tc>
                <w:tcPr>
                  <w:tcW w:w="2127" w:type="dxa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50%以上</w:t>
                  </w: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 xml:space="preserve"> </w:t>
                  </w: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未滿70%</w:t>
                  </w:r>
                </w:p>
              </w:tc>
              <w:tc>
                <w:tcPr>
                  <w:tcW w:w="1275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50%</w:t>
                  </w:r>
                </w:p>
              </w:tc>
            </w:tr>
            <w:tr w:rsidR="004D36F5" w:rsidRPr="0075022B" w:rsidTr="00B24449">
              <w:tc>
                <w:tcPr>
                  <w:tcW w:w="2127" w:type="dxa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70%以上未滿90%</w:t>
                  </w:r>
                </w:p>
              </w:tc>
              <w:tc>
                <w:tcPr>
                  <w:tcW w:w="1275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70%</w:t>
                  </w:r>
                </w:p>
              </w:tc>
            </w:tr>
            <w:tr w:rsidR="004D36F5" w:rsidRPr="0075022B" w:rsidTr="00B24449">
              <w:tc>
                <w:tcPr>
                  <w:tcW w:w="2127" w:type="dxa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90%以上</w:t>
                  </w:r>
                </w:p>
              </w:tc>
              <w:tc>
                <w:tcPr>
                  <w:tcW w:w="1275" w:type="dxa"/>
                  <w:vAlign w:val="center"/>
                </w:tcPr>
                <w:p w:rsidR="004D36F5" w:rsidRPr="0075022B" w:rsidRDefault="004D36F5" w:rsidP="004A5FC1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100%</w:t>
                  </w:r>
                </w:p>
              </w:tc>
            </w:tr>
            <w:tr w:rsidR="004D36F5" w:rsidRPr="0075022B" w:rsidTr="00B24449">
              <w:tc>
                <w:tcPr>
                  <w:tcW w:w="3402" w:type="dxa"/>
                  <w:gridSpan w:val="2"/>
                </w:tcPr>
                <w:p w:rsidR="004D36F5" w:rsidRPr="0075022B" w:rsidRDefault="004D36F5" w:rsidP="004A5FC1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pacing w:val="-18"/>
                      <w:szCs w:val="24"/>
                    </w:rPr>
                  </w:pPr>
                  <w:proofErr w:type="gramStart"/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註</w:t>
                  </w:r>
                  <w:proofErr w:type="gramEnd"/>
                  <w:r w:rsidRPr="0075022B">
                    <w:rPr>
                      <w:rFonts w:ascii="標楷體" w:eastAsia="標楷體" w:hAnsi="標楷體"/>
                      <w:spacing w:val="-18"/>
                      <w:szCs w:val="24"/>
                    </w:rPr>
                    <w:t>：(月成交量比重)＝(流動量提供者當月買賣該ETF成交量)÷(當月該ETF總成交量)。</w:t>
                  </w:r>
                  <w:r w:rsidRPr="0075022B">
                    <w:rPr>
                      <w:rFonts w:ascii="標楷體" w:eastAsia="標楷體" w:hAnsi="標楷體" w:hint="eastAsia"/>
                      <w:spacing w:val="-18"/>
                      <w:szCs w:val="24"/>
                    </w:rPr>
                    <w:t>(總成交量=(買進成交量＋賣出成交量)／2)</w:t>
                  </w:r>
                </w:p>
              </w:tc>
            </w:tr>
          </w:tbl>
          <w:p w:rsidR="004D36F5" w:rsidRPr="0075022B" w:rsidRDefault="004D36F5" w:rsidP="004A5FC1">
            <w:pPr>
              <w:spacing w:line="276" w:lineRule="auto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（三）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達</w:t>
            </w:r>
            <w:proofErr w:type="gramStart"/>
            <w:r w:rsidRPr="0075022B">
              <w:rPr>
                <w:rFonts w:ascii="標楷體" w:eastAsia="標楷體" w:hAnsi="標楷體"/>
                <w:snapToGrid w:val="0"/>
                <w:szCs w:val="24"/>
              </w:rPr>
              <w:t>前二項折讓</w:t>
            </w:r>
            <w:proofErr w:type="gramEnd"/>
            <w:r w:rsidRPr="0075022B">
              <w:rPr>
                <w:rFonts w:ascii="標楷體" w:eastAsia="標楷體" w:hAnsi="標楷體"/>
                <w:snapToGrid w:val="0"/>
                <w:szCs w:val="24"/>
              </w:rPr>
              <w:t>標準者，經手</w:t>
            </w:r>
            <w:proofErr w:type="gramStart"/>
            <w:r w:rsidRPr="0075022B">
              <w:rPr>
                <w:rFonts w:ascii="標楷體" w:eastAsia="標楷體" w:hAnsi="標楷體"/>
                <w:snapToGrid w:val="0"/>
                <w:szCs w:val="24"/>
              </w:rPr>
              <w:t>費折讓得</w:t>
            </w:r>
            <w:proofErr w:type="gramEnd"/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合併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計算，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逾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100%之折讓金額得抵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該流動量提供者所負責之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其他ETF經手費。</w:t>
            </w:r>
          </w:p>
          <w:p w:rsidR="004D36F5" w:rsidRPr="0075022B" w:rsidRDefault="004D36F5" w:rsidP="004A5FC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3" w:type="dxa"/>
          </w:tcPr>
          <w:p w:rsidR="00C82D99" w:rsidRPr="009537F3" w:rsidRDefault="00024553" w:rsidP="00EF6E60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</w:t>
            </w:r>
            <w:r w:rsidR="009537F3" w:rsidRPr="001929CD">
              <w:rPr>
                <w:rFonts w:ascii="標楷體" w:eastAsia="標楷體" w:hAnsi="標楷體" w:hint="eastAsia"/>
              </w:rPr>
              <w:t>配合「受益憑證買賣辦法」第二條</w:t>
            </w:r>
            <w:r w:rsidR="009537F3">
              <w:rPr>
                <w:rFonts w:ascii="標楷體" w:eastAsia="標楷體" w:hAnsi="標楷體" w:hint="eastAsia"/>
              </w:rPr>
              <w:t>修正</w:t>
            </w:r>
            <w:r w:rsidR="009537F3" w:rsidRPr="00854922">
              <w:rPr>
                <w:rFonts w:ascii="標楷體" w:eastAsia="標楷體" w:hAnsi="標楷體" w:hint="eastAsia"/>
              </w:rPr>
              <w:t>，</w:t>
            </w:r>
            <w:r w:rsidR="009537F3">
              <w:rPr>
                <w:rFonts w:ascii="標楷體" w:eastAsia="標楷體" w:hAnsi="標楷體" w:hint="eastAsia"/>
              </w:rPr>
              <w:t>指數股票型基金受益憑證為</w:t>
            </w:r>
            <w:r w:rsidR="00171B15">
              <w:rPr>
                <w:rFonts w:ascii="標楷體" w:eastAsia="標楷體" w:hAnsi="標楷體" w:hint="eastAsia"/>
              </w:rPr>
              <w:t>ETF</w:t>
            </w:r>
            <w:r w:rsidR="009537F3">
              <w:rPr>
                <w:rFonts w:ascii="標楷體" w:eastAsia="標楷體" w:hAnsi="標楷體" w:hint="eastAsia"/>
              </w:rPr>
              <w:t>統稱</w:t>
            </w:r>
            <w:r w:rsidR="000316FB">
              <w:rPr>
                <w:rFonts w:ascii="標楷體" w:eastAsia="標楷體" w:hAnsi="標楷體"/>
              </w:rPr>
              <w:t>，</w:t>
            </w:r>
            <w:proofErr w:type="gramStart"/>
            <w:r w:rsidR="000316FB">
              <w:rPr>
                <w:rFonts w:ascii="標楷體" w:eastAsia="標楷體" w:hAnsi="標楷體"/>
              </w:rPr>
              <w:t>爰</w:t>
            </w:r>
            <w:r w:rsidR="009537F3">
              <w:rPr>
                <w:rFonts w:ascii="標楷體" w:eastAsia="標楷體" w:hAnsi="標楷體"/>
              </w:rPr>
              <w:t>酌修</w:t>
            </w:r>
            <w:proofErr w:type="gramEnd"/>
            <w:r w:rsidR="009537F3">
              <w:rPr>
                <w:rFonts w:ascii="標楷體" w:eastAsia="標楷體" w:hAnsi="標楷體"/>
              </w:rPr>
              <w:t>文字</w:t>
            </w:r>
            <w:r w:rsidR="00DA4A57">
              <w:rPr>
                <w:rFonts w:ascii="標楷體" w:eastAsia="標楷體" w:hAnsi="標楷體"/>
              </w:rPr>
              <w:t>並</w:t>
            </w:r>
            <w:r w:rsidR="00DA4A57" w:rsidRPr="0075022B">
              <w:rPr>
                <w:rFonts w:ascii="標楷體" w:eastAsia="標楷體" w:hAnsi="標楷體"/>
              </w:rPr>
              <w:t>增列加掛</w:t>
            </w:r>
            <w:r w:rsidR="00DA4A57" w:rsidRPr="0075022B">
              <w:rPr>
                <w:rFonts w:ascii="標楷體" w:eastAsia="標楷體" w:hAnsi="標楷體" w:hint="eastAsia"/>
              </w:rPr>
              <w:t>ETF受益憑證</w:t>
            </w:r>
            <w:proofErr w:type="gramStart"/>
            <w:r w:rsidR="00DA4A57" w:rsidRPr="0075022B">
              <w:rPr>
                <w:rFonts w:ascii="標楷體" w:eastAsia="標楷體" w:hAnsi="標楷體" w:hint="eastAsia"/>
              </w:rPr>
              <w:t>經手費折讓</w:t>
            </w:r>
            <w:proofErr w:type="gramEnd"/>
            <w:r w:rsidR="00DA4A57" w:rsidRPr="0075022B">
              <w:rPr>
                <w:rFonts w:ascii="標楷體" w:eastAsia="標楷體" w:hAnsi="標楷體" w:hint="eastAsia"/>
              </w:rPr>
              <w:t>相關規定。</w:t>
            </w:r>
            <w:r w:rsidR="00C82D99" w:rsidRPr="0075022B">
              <w:rPr>
                <w:rFonts w:ascii="標楷體" w:eastAsia="標楷體" w:hAnsi="標楷體" w:hint="eastAsia"/>
              </w:rPr>
              <w:t>。</w:t>
            </w:r>
          </w:p>
          <w:p w:rsidR="0074417B" w:rsidRPr="0075022B" w:rsidRDefault="0074417B" w:rsidP="0074417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75022B">
              <w:rPr>
                <w:rFonts w:ascii="標楷體" w:eastAsia="標楷體" w:hAnsi="標楷體" w:cs="新細明體" w:hint="eastAsia"/>
              </w:rPr>
              <w:t>二、</w:t>
            </w:r>
            <w:proofErr w:type="gramStart"/>
            <w:r w:rsidRPr="0075022B">
              <w:rPr>
                <w:rFonts w:ascii="標楷體" w:eastAsia="標楷體" w:hAnsi="標楷體" w:hint="eastAsia"/>
              </w:rPr>
              <w:t>酌修文字</w:t>
            </w:r>
            <w:proofErr w:type="gramEnd"/>
            <w:r w:rsidRPr="0075022B">
              <w:rPr>
                <w:rFonts w:ascii="標楷體" w:eastAsia="標楷體" w:hAnsi="標楷體" w:hint="eastAsia"/>
              </w:rPr>
              <w:t>。</w:t>
            </w:r>
          </w:p>
          <w:p w:rsidR="002D2BF9" w:rsidRPr="0075022B" w:rsidRDefault="002D2BF9" w:rsidP="000257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2BF9" w:rsidRPr="0075022B" w:rsidTr="00FE03C0">
        <w:tc>
          <w:tcPr>
            <w:tcW w:w="4079" w:type="dxa"/>
          </w:tcPr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602" w:hanging="616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lastRenderedPageBreak/>
              <w:t>貳、獎勵金核發標準</w:t>
            </w: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一、本公司提供2,000萬元作為ETF</w:t>
            </w:r>
            <w:r w:rsidR="004457D9"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流動量提供者制度之獎勵金。</w:t>
            </w:r>
          </w:p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二、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符合壹、</w:t>
            </w:r>
            <w:proofErr w:type="gramStart"/>
            <w:r w:rsidRPr="0075022B">
              <w:rPr>
                <w:rFonts w:ascii="標楷體" w:eastAsia="標楷體" w:hAnsi="標楷體"/>
                <w:snapToGrid w:val="0"/>
                <w:szCs w:val="24"/>
              </w:rPr>
              <w:t>一</w:t>
            </w:r>
            <w:proofErr w:type="gramEnd"/>
            <w:r w:rsidRPr="0075022B">
              <w:rPr>
                <w:rFonts w:ascii="標楷體" w:eastAsia="標楷體" w:hAnsi="標楷體"/>
                <w:snapToGrid w:val="0"/>
                <w:szCs w:val="24"/>
              </w:rPr>
              <w:t>之績效標準，且達下列條件，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流動量提供者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始可獲得獎勵金額：</w:t>
            </w:r>
          </w:p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（一）ETF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上市須滿一個月。</w:t>
            </w:r>
          </w:p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600" w:hangingChars="250" w:hanging="60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（二）每三</w:t>
            </w:r>
            <w:proofErr w:type="gramStart"/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個</w:t>
            </w:r>
            <w:proofErr w:type="gramEnd"/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月為一期，於當期該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ETF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之日平均資產總值達新台幣100億元以上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時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，每月日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lastRenderedPageBreak/>
              <w:t>平均成交數量須達2,500交易單位以上；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另當期該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ETF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之日平均資產總值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未達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新台幣100億元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時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，每月日平均成交數量須達100交易單位以上。</w:t>
            </w:r>
          </w:p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（三）當期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流動量提供者對該ETF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每日買賣相抵後仍有賣出餘額，依本公司營業細則第一○九條規定申</w:t>
            </w:r>
            <w:r w:rsidR="00171B15">
              <w:rPr>
                <w:rFonts w:ascii="標楷體" w:eastAsia="標楷體" w:hAnsi="標楷體"/>
                <w:snapToGrid w:val="0"/>
                <w:szCs w:val="24"/>
                <w:u w:val="single"/>
              </w:rPr>
              <w:t>請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借</w:t>
            </w:r>
            <w:proofErr w:type="gramStart"/>
            <w:r w:rsidRPr="0075022B">
              <w:rPr>
                <w:rFonts w:ascii="標楷體" w:eastAsia="標楷體" w:hAnsi="標楷體"/>
                <w:snapToGrid w:val="0"/>
                <w:szCs w:val="24"/>
              </w:rPr>
              <w:t>券</w:t>
            </w:r>
            <w:proofErr w:type="gramEnd"/>
            <w:r w:rsidRPr="0075022B">
              <w:rPr>
                <w:rFonts w:ascii="標楷體" w:eastAsia="標楷體" w:hAnsi="標楷體"/>
                <w:snapToGrid w:val="0"/>
                <w:szCs w:val="24"/>
              </w:rPr>
              <w:t>辦理交割之數量未超過該ETF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每申購單位之受益權單位數。</w:t>
            </w:r>
          </w:p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360" w:hangingChars="150" w:hanging="36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三、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每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期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計算全體ETF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之流動量提供者就其提供流動量之每種ETF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日平均買進及賣出總成交量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進行排名並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核發獎勵金，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於該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ETF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日平均資產總值達新台幣100億元以上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時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，第一名70萬元，第二名50萬元，第三名30萬元，第四名20萬元；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另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ETF當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期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日平均資產總值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未達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新台幣100億元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時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，第一名70萬元，第二名50萬元，第三名30萬元，第四名至第十二名各20萬元，惟獲獎者當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期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賣出該ETF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>受益憑證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之證券交易稅與</w:t>
            </w:r>
            <w:proofErr w:type="gramStart"/>
            <w:r w:rsidRPr="0075022B">
              <w:rPr>
                <w:rFonts w:ascii="標楷體" w:eastAsia="標楷體" w:hAnsi="標楷體"/>
                <w:snapToGrid w:val="0"/>
                <w:szCs w:val="24"/>
              </w:rPr>
              <w:t>獎勵金取其</w:t>
            </w:r>
            <w:proofErr w:type="gramEnd"/>
            <w:r w:rsidRPr="0075022B">
              <w:rPr>
                <w:rFonts w:ascii="標楷體" w:eastAsia="標楷體" w:hAnsi="標楷體"/>
                <w:snapToGrid w:val="0"/>
                <w:szCs w:val="24"/>
              </w:rPr>
              <w:t>低者作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為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獎勵金。</w:t>
            </w:r>
          </w:p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4080" w:type="dxa"/>
          </w:tcPr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602" w:hanging="616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lastRenderedPageBreak/>
              <w:t>貳、獎勵金核發標準</w:t>
            </w:r>
          </w:p>
          <w:p w:rsidR="002D2BF9" w:rsidRPr="0075022B" w:rsidRDefault="002D2BF9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一、本公司提供2,000萬元作為ETF流動量提供者制度之獎勵金。</w:t>
            </w:r>
          </w:p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</w:p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二、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符合壹、</w:t>
            </w:r>
            <w:proofErr w:type="gramStart"/>
            <w:r w:rsidRPr="0075022B">
              <w:rPr>
                <w:rFonts w:ascii="標楷體" w:eastAsia="標楷體" w:hAnsi="標楷體"/>
                <w:snapToGrid w:val="0"/>
                <w:szCs w:val="24"/>
              </w:rPr>
              <w:t>一</w:t>
            </w:r>
            <w:proofErr w:type="gramEnd"/>
            <w:r w:rsidRPr="0075022B">
              <w:rPr>
                <w:rFonts w:ascii="標楷體" w:eastAsia="標楷體" w:hAnsi="標楷體"/>
                <w:snapToGrid w:val="0"/>
                <w:szCs w:val="24"/>
              </w:rPr>
              <w:t>之績效標準，且達下列條件，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流動量提供者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始可獲得獎勵金額：</w:t>
            </w:r>
          </w:p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（一）ETF上市須滿一個月。</w:t>
            </w:r>
          </w:p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600" w:hangingChars="250" w:hanging="60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（二）每三</w:t>
            </w:r>
            <w:proofErr w:type="gramStart"/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個</w:t>
            </w:r>
            <w:proofErr w:type="gramEnd"/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月為一期，於當期該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ETF之日平均資產總值達新台幣100億元以上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時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，每月日平均成交數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lastRenderedPageBreak/>
              <w:t>量須達2,500交易單位以上；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另當期該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ETF之日平均資產總值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未達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新台幣100億元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時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，每月日平均成交數量須達100交易單位以上。</w:t>
            </w:r>
          </w:p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（三）當期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流動量提供者對該ETF每日買賣相抵後仍有賣出餘額，依本公司營業細則第一○九條規定申</w:t>
            </w:r>
            <w:r w:rsidRPr="00D62AD8">
              <w:rPr>
                <w:rFonts w:ascii="標楷體" w:eastAsia="標楷體" w:hAnsi="標楷體"/>
                <w:snapToGrid w:val="0"/>
                <w:szCs w:val="24"/>
              </w:rPr>
              <w:t>報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借</w:t>
            </w:r>
            <w:proofErr w:type="gramStart"/>
            <w:r w:rsidRPr="0075022B">
              <w:rPr>
                <w:rFonts w:ascii="標楷體" w:eastAsia="標楷體" w:hAnsi="標楷體"/>
                <w:snapToGrid w:val="0"/>
                <w:szCs w:val="24"/>
              </w:rPr>
              <w:t>券</w:t>
            </w:r>
            <w:proofErr w:type="gramEnd"/>
            <w:r w:rsidRPr="0075022B">
              <w:rPr>
                <w:rFonts w:ascii="標楷體" w:eastAsia="標楷體" w:hAnsi="標楷體"/>
                <w:snapToGrid w:val="0"/>
                <w:szCs w:val="24"/>
              </w:rPr>
              <w:t>辦理交割之數量未超過該ETF每申購單位之受益權單位數。</w:t>
            </w:r>
          </w:p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</w:p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360" w:hangingChars="150" w:hanging="36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三、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每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期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計算全體ETF之流動量提供者就其提供流動量之每種ETF日平均買進及賣出總成交量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進行排名並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核發獎勵金，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於該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ETF日平均資產總值達新台幣100億元以上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時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，第一名70萬元，第二名50萬元，第三名30萬元，第四名20萬元；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另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ETF當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期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日平均資產總值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未達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新台幣100億元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時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，第一名70萬元，第二名50萬元，第三名30萬元，第四名至第十二名各20萬元，惟獲獎者當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期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賣出該ETF之證券交易稅與</w:t>
            </w:r>
            <w:proofErr w:type="gramStart"/>
            <w:r w:rsidRPr="0075022B">
              <w:rPr>
                <w:rFonts w:ascii="標楷體" w:eastAsia="標楷體" w:hAnsi="標楷體"/>
                <w:snapToGrid w:val="0"/>
                <w:szCs w:val="24"/>
              </w:rPr>
              <w:t>獎勵金取其</w:t>
            </w:r>
            <w:proofErr w:type="gramEnd"/>
            <w:r w:rsidRPr="0075022B">
              <w:rPr>
                <w:rFonts w:ascii="標楷體" w:eastAsia="標楷體" w:hAnsi="標楷體"/>
                <w:snapToGrid w:val="0"/>
                <w:szCs w:val="24"/>
              </w:rPr>
              <w:t>低者作</w:t>
            </w:r>
            <w:r w:rsidRPr="0075022B">
              <w:rPr>
                <w:rFonts w:ascii="標楷體" w:eastAsia="標楷體" w:hAnsi="標楷體" w:hint="eastAsia"/>
                <w:snapToGrid w:val="0"/>
                <w:szCs w:val="24"/>
              </w:rPr>
              <w:t>為</w:t>
            </w:r>
            <w:r w:rsidRPr="0075022B">
              <w:rPr>
                <w:rFonts w:ascii="標楷體" w:eastAsia="標楷體" w:hAnsi="標楷體"/>
                <w:snapToGrid w:val="0"/>
                <w:szCs w:val="24"/>
              </w:rPr>
              <w:t>獎勵金。</w:t>
            </w:r>
          </w:p>
          <w:p w:rsidR="004D36F5" w:rsidRPr="0075022B" w:rsidRDefault="004D36F5" w:rsidP="004A5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2523" w:type="dxa"/>
          </w:tcPr>
          <w:p w:rsidR="002D2BF9" w:rsidRPr="0075022B" w:rsidRDefault="004D36F5" w:rsidP="000257D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75022B">
              <w:rPr>
                <w:rFonts w:ascii="標楷體" w:eastAsia="標楷體" w:hAnsi="標楷體"/>
                <w:szCs w:val="24"/>
              </w:rPr>
              <w:lastRenderedPageBreak/>
              <w:t>酌修文字</w:t>
            </w:r>
            <w:proofErr w:type="gramEnd"/>
            <w:r w:rsidRPr="0075022B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746138" w:rsidRPr="0075022B" w:rsidRDefault="00746138" w:rsidP="000257DD">
      <w:pPr>
        <w:rPr>
          <w:szCs w:val="24"/>
        </w:rPr>
      </w:pPr>
    </w:p>
    <w:sectPr w:rsidR="00746138" w:rsidRPr="0075022B" w:rsidSect="00746138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F1" w:rsidRDefault="007105F1" w:rsidP="00CF0559">
      <w:r>
        <w:separator/>
      </w:r>
    </w:p>
  </w:endnote>
  <w:endnote w:type="continuationSeparator" w:id="0">
    <w:p w:rsidR="007105F1" w:rsidRDefault="007105F1" w:rsidP="00CF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1083"/>
      <w:docPartObj>
        <w:docPartGallery w:val="Page Numbers (Bottom of Page)"/>
        <w:docPartUnique/>
      </w:docPartObj>
    </w:sdtPr>
    <w:sdtContent>
      <w:p w:rsidR="000F4048" w:rsidRDefault="0079215C">
        <w:pPr>
          <w:pStyle w:val="aa"/>
          <w:jc w:val="right"/>
        </w:pPr>
        <w:fldSimple w:instr=" PAGE   \* MERGEFORMAT ">
          <w:r w:rsidR="00CC6C69" w:rsidRPr="00CC6C69">
            <w:rPr>
              <w:noProof/>
              <w:lang w:val="zh-TW"/>
            </w:rPr>
            <w:t>1</w:t>
          </w:r>
        </w:fldSimple>
      </w:p>
    </w:sdtContent>
  </w:sdt>
  <w:p w:rsidR="000F4048" w:rsidRDefault="000F40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F1" w:rsidRDefault="007105F1" w:rsidP="00CF0559">
      <w:r>
        <w:separator/>
      </w:r>
    </w:p>
  </w:footnote>
  <w:footnote w:type="continuationSeparator" w:id="0">
    <w:p w:rsidR="007105F1" w:rsidRDefault="007105F1" w:rsidP="00CF0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D82"/>
    <w:multiLevelType w:val="hybridMultilevel"/>
    <w:tmpl w:val="C7B282A4"/>
    <w:lvl w:ilvl="0" w:tplc="E95E6966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138"/>
    <w:rsid w:val="00024553"/>
    <w:rsid w:val="00024C19"/>
    <w:rsid w:val="000257DD"/>
    <w:rsid w:val="000316FB"/>
    <w:rsid w:val="000317DB"/>
    <w:rsid w:val="00033B54"/>
    <w:rsid w:val="000615F4"/>
    <w:rsid w:val="00082953"/>
    <w:rsid w:val="000861D1"/>
    <w:rsid w:val="00092AF4"/>
    <w:rsid w:val="000A1CC8"/>
    <w:rsid w:val="000A7EBF"/>
    <w:rsid w:val="000B6B6F"/>
    <w:rsid w:val="000D4405"/>
    <w:rsid w:val="000E0AE0"/>
    <w:rsid w:val="000F4048"/>
    <w:rsid w:val="00126502"/>
    <w:rsid w:val="00135B8F"/>
    <w:rsid w:val="00136ADB"/>
    <w:rsid w:val="00155FE0"/>
    <w:rsid w:val="0016075F"/>
    <w:rsid w:val="00171B15"/>
    <w:rsid w:val="00195CED"/>
    <w:rsid w:val="00196ADD"/>
    <w:rsid w:val="001A66BB"/>
    <w:rsid w:val="001B758E"/>
    <w:rsid w:val="001C36D6"/>
    <w:rsid w:val="001E4D7B"/>
    <w:rsid w:val="00210075"/>
    <w:rsid w:val="00211A13"/>
    <w:rsid w:val="00231D9B"/>
    <w:rsid w:val="00261953"/>
    <w:rsid w:val="00265D46"/>
    <w:rsid w:val="002671EE"/>
    <w:rsid w:val="0029542E"/>
    <w:rsid w:val="00296F9D"/>
    <w:rsid w:val="002B495C"/>
    <w:rsid w:val="002C71C6"/>
    <w:rsid w:val="002D2BF9"/>
    <w:rsid w:val="002E02B8"/>
    <w:rsid w:val="002E5F46"/>
    <w:rsid w:val="002F0894"/>
    <w:rsid w:val="002F5268"/>
    <w:rsid w:val="003504BA"/>
    <w:rsid w:val="00353FB0"/>
    <w:rsid w:val="00372BA2"/>
    <w:rsid w:val="00442450"/>
    <w:rsid w:val="004457D9"/>
    <w:rsid w:val="00445E89"/>
    <w:rsid w:val="00447645"/>
    <w:rsid w:val="00464F91"/>
    <w:rsid w:val="00485EF2"/>
    <w:rsid w:val="004A5FC1"/>
    <w:rsid w:val="004C4B05"/>
    <w:rsid w:val="004D36F5"/>
    <w:rsid w:val="004F77C8"/>
    <w:rsid w:val="0053510B"/>
    <w:rsid w:val="00553994"/>
    <w:rsid w:val="00553CAB"/>
    <w:rsid w:val="00557D51"/>
    <w:rsid w:val="0058081F"/>
    <w:rsid w:val="005942A3"/>
    <w:rsid w:val="005B07B5"/>
    <w:rsid w:val="005C30A9"/>
    <w:rsid w:val="005D5455"/>
    <w:rsid w:val="006026A8"/>
    <w:rsid w:val="00606D72"/>
    <w:rsid w:val="00646978"/>
    <w:rsid w:val="006774C9"/>
    <w:rsid w:val="00686604"/>
    <w:rsid w:val="00691BCF"/>
    <w:rsid w:val="006A1C34"/>
    <w:rsid w:val="006A651A"/>
    <w:rsid w:val="006A6C14"/>
    <w:rsid w:val="006B424F"/>
    <w:rsid w:val="006B5383"/>
    <w:rsid w:val="006C28AF"/>
    <w:rsid w:val="006E1AAA"/>
    <w:rsid w:val="006E6535"/>
    <w:rsid w:val="006E7A0D"/>
    <w:rsid w:val="006F0984"/>
    <w:rsid w:val="006F4206"/>
    <w:rsid w:val="0070056A"/>
    <w:rsid w:val="007044EE"/>
    <w:rsid w:val="00705806"/>
    <w:rsid w:val="007105F1"/>
    <w:rsid w:val="00711D5D"/>
    <w:rsid w:val="00712A8B"/>
    <w:rsid w:val="0074417B"/>
    <w:rsid w:val="00744393"/>
    <w:rsid w:val="00746138"/>
    <w:rsid w:val="0075022B"/>
    <w:rsid w:val="00762D64"/>
    <w:rsid w:val="0079215C"/>
    <w:rsid w:val="007930BB"/>
    <w:rsid w:val="007A6CC0"/>
    <w:rsid w:val="007C52DC"/>
    <w:rsid w:val="007D2E5C"/>
    <w:rsid w:val="00811C04"/>
    <w:rsid w:val="00844428"/>
    <w:rsid w:val="008719E6"/>
    <w:rsid w:val="0088040F"/>
    <w:rsid w:val="008D09C9"/>
    <w:rsid w:val="008D36C5"/>
    <w:rsid w:val="008D612E"/>
    <w:rsid w:val="008D7C94"/>
    <w:rsid w:val="00940636"/>
    <w:rsid w:val="0095037D"/>
    <w:rsid w:val="009537F3"/>
    <w:rsid w:val="00961C7D"/>
    <w:rsid w:val="009A73F0"/>
    <w:rsid w:val="009D0753"/>
    <w:rsid w:val="009D6870"/>
    <w:rsid w:val="009F1357"/>
    <w:rsid w:val="00A10B8B"/>
    <w:rsid w:val="00A1281A"/>
    <w:rsid w:val="00A25D7B"/>
    <w:rsid w:val="00A45192"/>
    <w:rsid w:val="00A55C9C"/>
    <w:rsid w:val="00A73B42"/>
    <w:rsid w:val="00A90E77"/>
    <w:rsid w:val="00AA2E9F"/>
    <w:rsid w:val="00AC1144"/>
    <w:rsid w:val="00AE5585"/>
    <w:rsid w:val="00B04CA9"/>
    <w:rsid w:val="00B05301"/>
    <w:rsid w:val="00B05987"/>
    <w:rsid w:val="00B24449"/>
    <w:rsid w:val="00B25D75"/>
    <w:rsid w:val="00B424B3"/>
    <w:rsid w:val="00B843BC"/>
    <w:rsid w:val="00B84D1E"/>
    <w:rsid w:val="00BA3F9A"/>
    <w:rsid w:val="00BA52DD"/>
    <w:rsid w:val="00BA6623"/>
    <w:rsid w:val="00BA6EFD"/>
    <w:rsid w:val="00BB5FE1"/>
    <w:rsid w:val="00BE2B43"/>
    <w:rsid w:val="00C15109"/>
    <w:rsid w:val="00C3167A"/>
    <w:rsid w:val="00C35A3D"/>
    <w:rsid w:val="00C42C76"/>
    <w:rsid w:val="00C42E36"/>
    <w:rsid w:val="00C43B0B"/>
    <w:rsid w:val="00C55D37"/>
    <w:rsid w:val="00C82D99"/>
    <w:rsid w:val="00C93589"/>
    <w:rsid w:val="00CA1B00"/>
    <w:rsid w:val="00CC111F"/>
    <w:rsid w:val="00CC5D07"/>
    <w:rsid w:val="00CC6C69"/>
    <w:rsid w:val="00CF0559"/>
    <w:rsid w:val="00CF64C9"/>
    <w:rsid w:val="00D101F4"/>
    <w:rsid w:val="00D1152B"/>
    <w:rsid w:val="00D2130D"/>
    <w:rsid w:val="00D33982"/>
    <w:rsid w:val="00D34E61"/>
    <w:rsid w:val="00D36C9E"/>
    <w:rsid w:val="00D62AD8"/>
    <w:rsid w:val="00D67154"/>
    <w:rsid w:val="00D7075B"/>
    <w:rsid w:val="00D77C1C"/>
    <w:rsid w:val="00D95DDF"/>
    <w:rsid w:val="00D961A5"/>
    <w:rsid w:val="00D97A92"/>
    <w:rsid w:val="00DA4A57"/>
    <w:rsid w:val="00DB693D"/>
    <w:rsid w:val="00DD7A11"/>
    <w:rsid w:val="00DF601F"/>
    <w:rsid w:val="00E1739F"/>
    <w:rsid w:val="00E44A69"/>
    <w:rsid w:val="00ED0725"/>
    <w:rsid w:val="00EE4007"/>
    <w:rsid w:val="00EE6E17"/>
    <w:rsid w:val="00EF6E60"/>
    <w:rsid w:val="00F16792"/>
    <w:rsid w:val="00F45C2C"/>
    <w:rsid w:val="00F47AB6"/>
    <w:rsid w:val="00F64DFA"/>
    <w:rsid w:val="00F71B25"/>
    <w:rsid w:val="00F76021"/>
    <w:rsid w:val="00F8036F"/>
    <w:rsid w:val="00F862B1"/>
    <w:rsid w:val="00FA5472"/>
    <w:rsid w:val="00FB77D3"/>
    <w:rsid w:val="00FC457E"/>
    <w:rsid w:val="00FD4563"/>
    <w:rsid w:val="00FE03C0"/>
    <w:rsid w:val="00FF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746138"/>
    <w:pPr>
      <w:widowControl/>
      <w:jc w:val="both"/>
    </w:pPr>
    <w:rPr>
      <w:rFonts w:ascii="標楷體" w:eastAsia="標楷體" w:hAnsi="標楷體" w:cs="Times New Roman"/>
      <w:kern w:val="0"/>
      <w:szCs w:val="24"/>
    </w:rPr>
  </w:style>
  <w:style w:type="character" w:customStyle="1" w:styleId="a5">
    <w:name w:val="本文 字元"/>
    <w:basedOn w:val="a0"/>
    <w:link w:val="a4"/>
    <w:semiHidden/>
    <w:rsid w:val="00746138"/>
    <w:rPr>
      <w:rFonts w:ascii="標楷體" w:eastAsia="標楷體" w:hAnsi="標楷體" w:cs="Times New Roman"/>
      <w:kern w:val="0"/>
      <w:szCs w:val="24"/>
    </w:rPr>
  </w:style>
  <w:style w:type="paragraph" w:styleId="a6">
    <w:name w:val="Body Text Indent"/>
    <w:basedOn w:val="a"/>
    <w:link w:val="a7"/>
    <w:semiHidden/>
    <w:rsid w:val="00746138"/>
    <w:pPr>
      <w:widowControl/>
      <w:ind w:firstLine="540"/>
      <w:jc w:val="both"/>
    </w:pPr>
    <w:rPr>
      <w:rFonts w:ascii="標楷體" w:eastAsia="標楷體" w:hAnsi="標楷體" w:cs="Times New Roman"/>
      <w:kern w:val="0"/>
      <w:szCs w:val="24"/>
    </w:rPr>
  </w:style>
  <w:style w:type="character" w:customStyle="1" w:styleId="a7">
    <w:name w:val="本文縮排 字元"/>
    <w:basedOn w:val="a0"/>
    <w:link w:val="a6"/>
    <w:semiHidden/>
    <w:rsid w:val="00746138"/>
    <w:rPr>
      <w:rFonts w:ascii="標楷體" w:eastAsia="標楷體" w:hAnsi="標楷體" w:cs="Times New Roman"/>
      <w:kern w:val="0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F0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F055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F0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F0559"/>
    <w:rPr>
      <w:sz w:val="20"/>
      <w:szCs w:val="20"/>
    </w:rPr>
  </w:style>
  <w:style w:type="paragraph" w:styleId="ac">
    <w:name w:val="List Paragraph"/>
    <w:basedOn w:val="a"/>
    <w:uiPriority w:val="34"/>
    <w:qFormat/>
    <w:rsid w:val="00705806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DB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B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A8CBF-3A85-4A7A-80E6-A073A6D1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591</Words>
  <Characters>3369</Characters>
  <Application>Microsoft Office Word</Application>
  <DocSecurity>0</DocSecurity>
  <Lines>28</Lines>
  <Paragraphs>7</Paragraphs>
  <ScaleCrop>false</ScaleCrop>
  <Company>Toshiba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0803</dc:creator>
  <cp:lastModifiedBy>00</cp:lastModifiedBy>
  <cp:revision>5</cp:revision>
  <cp:lastPrinted>2015-11-27T06:29:00Z</cp:lastPrinted>
  <dcterms:created xsi:type="dcterms:W3CDTF">2016-02-17T07:23:00Z</dcterms:created>
  <dcterms:modified xsi:type="dcterms:W3CDTF">2016-03-08T07:15:00Z</dcterms:modified>
</cp:coreProperties>
</file>