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A7" w:rsidRPr="00AA0BF2" w:rsidRDefault="001537A4" w:rsidP="00061CFE">
      <w:pPr>
        <w:jc w:val="center"/>
        <w:rPr>
          <w:rFonts w:ascii="MS Mincho" w:eastAsia="MS Mincho" w:hAnsi="MS Mincho" w:cs="Times New Roman"/>
          <w:b/>
          <w:sz w:val="28"/>
          <w:szCs w:val="28"/>
          <w:lang w:eastAsia="ja-JP"/>
        </w:rPr>
      </w:pPr>
      <w:r w:rsidRPr="00AA0BF2">
        <w:rPr>
          <w:rFonts w:ascii="MS Mincho" w:eastAsia="MS Mincho" w:hAnsi="MS Mincho" w:cs="Times New Roman"/>
          <w:b/>
          <w:sz w:val="28"/>
          <w:szCs w:val="28"/>
          <w:lang w:eastAsia="ja-JP"/>
        </w:rPr>
        <w:t>2015</w:t>
      </w:r>
      <w:r w:rsidR="00061CFE" w:rsidRPr="00AA0BF2">
        <w:rPr>
          <w:rFonts w:ascii="MS Mincho" w:eastAsia="MS Mincho" w:hAnsi="MS Mincho" w:cs="Times New Roman"/>
          <w:b/>
          <w:sz w:val="28"/>
          <w:szCs w:val="28"/>
          <w:lang w:eastAsia="ja-JP"/>
        </w:rPr>
        <w:t>年6月1</w:t>
      </w:r>
      <w:r w:rsidR="00537BAF" w:rsidRPr="00AA0BF2">
        <w:rPr>
          <w:rFonts w:ascii="MS Mincho" w:eastAsia="MS Mincho" w:hAnsi="MS Mincho" w:cs="Times New Roman"/>
          <w:b/>
          <w:sz w:val="28"/>
          <w:szCs w:val="28"/>
          <w:lang w:eastAsia="ja-JP"/>
        </w:rPr>
        <w:t>日</w:t>
      </w:r>
      <w:bookmarkStart w:id="0" w:name="OLE_LINK1"/>
      <w:bookmarkStart w:id="1" w:name="OLE_LINK2"/>
      <w:r w:rsidR="007830FB" w:rsidRPr="00AA0BF2">
        <w:rPr>
          <w:rFonts w:ascii="MS Mincho" w:eastAsia="MS Mincho" w:hAnsi="MS Mincho" w:cs="Times New Roman"/>
          <w:b/>
          <w:sz w:val="28"/>
          <w:szCs w:val="28"/>
          <w:lang w:eastAsia="ja-JP"/>
        </w:rPr>
        <w:t>より、</w:t>
      </w:r>
      <w:r w:rsidR="00FE18B0" w:rsidRPr="00AA0BF2">
        <w:rPr>
          <w:rFonts w:ascii="MS Mincho" w:eastAsia="MS Mincho" w:hAnsi="MS Mincho" w:cs="Times New Roman"/>
          <w:b/>
          <w:bCs/>
          <w:sz w:val="28"/>
          <w:szCs w:val="28"/>
          <w:lang w:eastAsia="ja-JP"/>
        </w:rPr>
        <w:t>現物株式取引</w:t>
      </w:r>
      <w:r w:rsidR="00FE18B0" w:rsidRPr="00AA0BF2">
        <w:rPr>
          <w:rFonts w:ascii="MS Mincho" w:eastAsia="MS Mincho" w:hAnsi="MS Mincho" w:cs="Times New Roman"/>
          <w:b/>
          <w:sz w:val="28"/>
          <w:szCs w:val="28"/>
          <w:lang w:eastAsia="ja-JP"/>
        </w:rPr>
        <w:t>の</w:t>
      </w:r>
      <w:r w:rsidR="00FE18B0" w:rsidRPr="00AA0BF2">
        <w:rPr>
          <w:rFonts w:ascii="MS Mincho" w:eastAsia="MS Mincho" w:hAnsi="MS Mincho" w:cs="Times New Roman"/>
          <w:b/>
          <w:bCs/>
          <w:sz w:val="28"/>
          <w:szCs w:val="28"/>
          <w:lang w:eastAsia="ja-JP"/>
        </w:rPr>
        <w:t>決済</w:t>
      </w:r>
      <w:r w:rsidR="007830FB" w:rsidRPr="00AA0BF2">
        <w:rPr>
          <w:rFonts w:ascii="MS Mincho" w:eastAsia="MS Mincho" w:hAnsi="MS Mincho" w:cs="Times New Roman"/>
          <w:b/>
          <w:sz w:val="28"/>
          <w:szCs w:val="28"/>
          <w:lang w:eastAsia="ja-JP"/>
        </w:rPr>
        <w:t>による</w:t>
      </w:r>
    </w:p>
    <w:p w:rsidR="00061CFE" w:rsidRPr="00AA0BF2" w:rsidRDefault="007830FB" w:rsidP="00061CFE">
      <w:pPr>
        <w:jc w:val="center"/>
        <w:rPr>
          <w:rFonts w:ascii="MS Mincho" w:eastAsia="MS Mincho" w:hAnsi="MS Mincho" w:cs="Times New Roman"/>
          <w:b/>
          <w:sz w:val="28"/>
          <w:szCs w:val="28"/>
          <w:lang w:eastAsia="ja-JP"/>
        </w:rPr>
      </w:pPr>
      <w:r w:rsidRPr="00AA0BF2">
        <w:rPr>
          <w:rFonts w:ascii="MS Mincho" w:eastAsia="MS Mincho" w:hAnsi="MS Mincho" w:cs="Times New Roman"/>
          <w:b/>
          <w:sz w:val="28"/>
          <w:szCs w:val="28"/>
          <w:lang w:eastAsia="ja-JP"/>
        </w:rPr>
        <w:t>デイトレート</w:t>
      </w:r>
      <w:r w:rsidR="00EA26A7" w:rsidRPr="00AA0BF2">
        <w:rPr>
          <w:rFonts w:ascii="MS Mincho" w:eastAsia="MS Mincho" w:hAnsi="MS Mincho" w:cs="Times New Roman"/>
          <w:b/>
          <w:sz w:val="28"/>
          <w:szCs w:val="28"/>
          <w:lang w:eastAsia="ja-JP"/>
        </w:rPr>
        <w:t>取引の</w:t>
      </w:r>
      <w:r w:rsidRPr="00AA0BF2">
        <w:rPr>
          <w:rFonts w:ascii="MS Mincho" w:eastAsia="MS Mincho" w:hAnsi="MS Mincho" w:cs="Times New Roman"/>
          <w:b/>
          <w:sz w:val="28"/>
          <w:szCs w:val="28"/>
          <w:lang w:eastAsia="ja-JP"/>
        </w:rPr>
        <w:t>範囲</w:t>
      </w:r>
      <w:bookmarkEnd w:id="0"/>
      <w:bookmarkEnd w:id="1"/>
      <w:r w:rsidRPr="00AA0BF2">
        <w:rPr>
          <w:rFonts w:ascii="MS Mincho" w:eastAsia="MS Mincho" w:hAnsi="MS Mincho" w:cs="Times New Roman"/>
          <w:b/>
          <w:sz w:val="28"/>
          <w:szCs w:val="28"/>
          <w:lang w:eastAsia="ja-JP"/>
        </w:rPr>
        <w:t>拡大</w:t>
      </w:r>
    </w:p>
    <w:p w:rsidR="00EA26A7" w:rsidRPr="00AA0BF2" w:rsidRDefault="007830FB" w:rsidP="00EA26A7">
      <w:pPr>
        <w:ind w:firstLineChars="100" w:firstLine="280"/>
        <w:rPr>
          <w:rFonts w:ascii="MS Mincho" w:eastAsia="MS Mincho" w:hAnsi="MS Mincho" w:cs="Times New Roman"/>
          <w:sz w:val="28"/>
          <w:szCs w:val="28"/>
          <w:lang w:eastAsia="ja-JP"/>
        </w:rPr>
      </w:pPr>
      <w:r w:rsidRPr="00AA0BF2">
        <w:rPr>
          <w:rFonts w:ascii="MS Mincho" w:eastAsia="MS Mincho" w:hAnsi="MS Mincho" w:cs="Times New Roman"/>
          <w:sz w:val="28"/>
          <w:szCs w:val="28"/>
          <w:lang w:eastAsia="ja-JP"/>
        </w:rPr>
        <w:t>2014</w:t>
      </w:r>
      <w:r w:rsidR="00061CFE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年</w:t>
      </w:r>
      <w:r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に開放された</w:t>
      </w:r>
      <w:r w:rsidR="00FE18B0" w:rsidRPr="00AA0BF2">
        <w:rPr>
          <w:rFonts w:ascii="MS Mincho" w:eastAsia="MS Mincho" w:hAnsi="MS Mincho" w:cs="Times New Roman"/>
          <w:bCs/>
          <w:sz w:val="28"/>
          <w:szCs w:val="28"/>
          <w:lang w:eastAsia="ja-JP"/>
        </w:rPr>
        <w:t>現物株式取引</w:t>
      </w:r>
      <w:r w:rsidR="00FE18B0" w:rsidRPr="00AA0BF2">
        <w:rPr>
          <w:rFonts w:ascii="MS Mincho" w:eastAsia="MS Mincho" w:hAnsi="MS Mincho" w:cs="Times New Roman"/>
          <w:sz w:val="28"/>
          <w:szCs w:val="28"/>
          <w:lang w:eastAsia="ja-JP"/>
        </w:rPr>
        <w:t>の</w:t>
      </w:r>
      <w:r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決済によるデイトレート</w:t>
      </w:r>
      <w:r w:rsidR="00EA26A7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取引は</w:t>
      </w:r>
      <w:r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現在</w:t>
      </w:r>
      <w:r w:rsidR="00EA26A7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、</w:t>
      </w:r>
      <w:r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台湾50・中型100・</w:t>
      </w:r>
      <w:r w:rsidR="0016696D" w:rsidRPr="00AA0BF2">
        <w:rPr>
          <w:rFonts w:ascii="MS Mincho" w:eastAsia="MS Mincho" w:hAnsi="MS Mincho"/>
          <w:sz w:val="28"/>
          <w:szCs w:val="28"/>
          <w:lang w:eastAsia="ja-JP"/>
        </w:rPr>
        <w:t>証券グレタイ売買センター</w:t>
      </w:r>
      <w:r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の「富櫃五十指数」成分の</w:t>
      </w:r>
      <w:r w:rsidR="005D3C68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証券</w:t>
      </w:r>
      <w:r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に限って行われてき</w:t>
      </w:r>
      <w:r w:rsidR="00EA26A7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まし</w:t>
      </w:r>
      <w:r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た。</w:t>
      </w:r>
    </w:p>
    <w:p w:rsidR="007830FB" w:rsidRPr="00AA0BF2" w:rsidRDefault="007830FB" w:rsidP="00EA26A7">
      <w:pPr>
        <w:ind w:firstLineChars="100" w:firstLine="280"/>
        <w:rPr>
          <w:rFonts w:ascii="MS Mincho" w:eastAsia="MS Mincho" w:hAnsi="MS Mincho" w:cs="Times New Roman"/>
          <w:sz w:val="28"/>
          <w:szCs w:val="28"/>
          <w:lang w:eastAsia="ja-JP"/>
        </w:rPr>
      </w:pPr>
      <w:r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この</w:t>
      </w:r>
      <w:r w:rsidR="007F4511" w:rsidRPr="00AA0BF2">
        <w:rPr>
          <w:rFonts w:ascii="MS Mincho" w:eastAsia="MS Mincho" w:hAnsi="MS Mincho" w:cs="Times New Roman"/>
          <w:bCs/>
          <w:sz w:val="28"/>
          <w:szCs w:val="28"/>
          <w:lang w:eastAsia="ja-JP"/>
        </w:rPr>
        <w:t>現物株式取引</w:t>
      </w:r>
      <w:r w:rsidR="007F4511" w:rsidRPr="00AA0BF2">
        <w:rPr>
          <w:rFonts w:ascii="MS Mincho" w:eastAsia="MS Mincho" w:hAnsi="MS Mincho" w:cs="Times New Roman"/>
          <w:sz w:val="28"/>
          <w:szCs w:val="28"/>
          <w:lang w:eastAsia="ja-JP"/>
        </w:rPr>
        <w:t>の</w:t>
      </w:r>
      <w:r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決済によるデイトレートの範囲が2015年6月1日より拡大され、台湾50・中型100・</w:t>
      </w:r>
      <w:r w:rsidR="006F48A2" w:rsidRPr="00AA0BF2">
        <w:rPr>
          <w:rFonts w:ascii="MS Mincho" w:eastAsia="MS Mincho" w:hAnsi="MS Mincho"/>
          <w:sz w:val="28"/>
          <w:szCs w:val="28"/>
          <w:lang w:eastAsia="ja-JP"/>
        </w:rPr>
        <w:t>証券グレタイ売買センター</w:t>
      </w:r>
      <w:r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の「富櫃五十指数」成分の</w:t>
      </w:r>
      <w:r w:rsidR="005D3C68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証券</w:t>
      </w:r>
      <w:r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のほか、</w:t>
      </w:r>
      <w:r w:rsidR="007F02AB" w:rsidRPr="00AA0BF2">
        <w:rPr>
          <w:rFonts w:ascii="MS Mincho" w:eastAsia="MS Mincho" w:hAnsi="MS Mincho" w:cs="Times New Roman" w:hint="eastAsia"/>
          <w:b/>
          <w:sz w:val="28"/>
          <w:szCs w:val="28"/>
          <w:lang w:eastAsia="ja-JP"/>
        </w:rPr>
        <w:t>ワラント</w:t>
      </w:r>
      <w:r w:rsidRPr="00AA0BF2">
        <w:rPr>
          <w:rFonts w:ascii="MS Mincho" w:eastAsia="MS Mincho" w:hAnsi="MS Mincho" w:cs="Times New Roman" w:hint="eastAsia"/>
          <w:b/>
          <w:sz w:val="28"/>
          <w:szCs w:val="28"/>
          <w:lang w:eastAsia="ja-JP"/>
        </w:rPr>
        <w:t>付証券（A級発行人発行の</w:t>
      </w:r>
      <w:r w:rsidR="007F02AB" w:rsidRPr="00AA0BF2">
        <w:rPr>
          <w:rFonts w:ascii="MS Mincho" w:eastAsia="MS Mincho" w:hAnsi="MS Mincho" w:cs="Times New Roman" w:hint="eastAsia"/>
          <w:b/>
          <w:sz w:val="28"/>
          <w:szCs w:val="28"/>
          <w:lang w:eastAsia="ja-JP"/>
        </w:rPr>
        <w:t>ワラント</w:t>
      </w:r>
      <w:r w:rsidRPr="00AA0BF2">
        <w:rPr>
          <w:rFonts w:ascii="MS Mincho" w:eastAsia="MS Mincho" w:hAnsi="MS Mincho" w:cs="Times New Roman" w:hint="eastAsia"/>
          <w:b/>
          <w:sz w:val="28"/>
          <w:szCs w:val="28"/>
          <w:lang w:eastAsia="ja-JP"/>
        </w:rPr>
        <w:t>付証券含む）・台湾証券取引所もしくは中華民国</w:t>
      </w:r>
      <w:r w:rsidR="006F48A2" w:rsidRPr="00AA0BF2">
        <w:rPr>
          <w:rFonts w:ascii="MS Mincho" w:eastAsia="MS Mincho" w:hAnsi="MS Mincho" w:cs="Times New Roman" w:hint="eastAsia"/>
          <w:b/>
          <w:sz w:val="28"/>
          <w:szCs w:val="28"/>
          <w:lang w:eastAsia="ja-JP"/>
        </w:rPr>
        <w:t>証券グレタイ売買センター</w:t>
      </w:r>
      <w:r w:rsidRPr="00AA0BF2">
        <w:rPr>
          <w:rFonts w:ascii="MS Mincho" w:eastAsia="MS Mincho" w:hAnsi="MS Mincho" w:cs="Times New Roman" w:hint="eastAsia"/>
          <w:b/>
          <w:sz w:val="28"/>
          <w:szCs w:val="28"/>
          <w:lang w:eastAsia="ja-JP"/>
        </w:rPr>
        <w:t>より公告されたもの</w:t>
      </w:r>
      <w:r w:rsidR="007F4511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、</w:t>
      </w:r>
      <w:r w:rsidRPr="00AA0BF2">
        <w:rPr>
          <w:rFonts w:ascii="MS Mincho" w:eastAsia="MS Mincho" w:hAnsi="MS Mincho" w:cs="Times New Roman" w:hint="eastAsia"/>
          <w:b/>
          <w:sz w:val="28"/>
          <w:szCs w:val="28"/>
          <w:lang w:eastAsia="ja-JP"/>
        </w:rPr>
        <w:t>全ての上場証券</w:t>
      </w:r>
      <w:r w:rsidR="007F4511" w:rsidRPr="00AA0BF2">
        <w:rPr>
          <w:rFonts w:ascii="MS Mincho" w:eastAsia="MS Mincho" w:hAnsi="MS Mincho" w:cs="Times New Roman" w:hint="eastAsia"/>
          <w:b/>
          <w:sz w:val="28"/>
          <w:szCs w:val="28"/>
          <w:lang w:eastAsia="ja-JP"/>
        </w:rPr>
        <w:t>、</w:t>
      </w:r>
      <w:r w:rsidRPr="00AA0BF2">
        <w:rPr>
          <w:rFonts w:ascii="MS Mincho" w:eastAsia="MS Mincho" w:hAnsi="MS Mincho" w:cs="Times New Roman" w:hint="eastAsia"/>
          <w:b/>
          <w:sz w:val="28"/>
          <w:szCs w:val="28"/>
          <w:lang w:eastAsia="ja-JP"/>
        </w:rPr>
        <w:t>上場投資信託（ETF）</w:t>
      </w:r>
      <w:r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についても、</w:t>
      </w:r>
      <w:r w:rsidR="007F4511" w:rsidRPr="00AA0BF2">
        <w:rPr>
          <w:rFonts w:ascii="MS Mincho" w:eastAsia="MS Mincho" w:hAnsi="MS Mincho" w:cs="Times New Roman"/>
          <w:bCs/>
          <w:sz w:val="28"/>
          <w:szCs w:val="28"/>
          <w:lang w:eastAsia="ja-JP"/>
        </w:rPr>
        <w:t>現物株式取引</w:t>
      </w:r>
      <w:r w:rsidR="007F4511" w:rsidRPr="00AA0BF2">
        <w:rPr>
          <w:rFonts w:ascii="MS Mincho" w:eastAsia="MS Mincho" w:hAnsi="MS Mincho" w:cs="Times New Roman"/>
          <w:sz w:val="28"/>
          <w:szCs w:val="28"/>
          <w:lang w:eastAsia="ja-JP"/>
        </w:rPr>
        <w:t>の</w:t>
      </w:r>
      <w:r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決済によるデイトレートが可能となりました。</w:t>
      </w:r>
    </w:p>
    <w:p w:rsidR="007830FB" w:rsidRPr="00AA0BF2" w:rsidRDefault="007830FB" w:rsidP="00061CFE">
      <w:pPr>
        <w:rPr>
          <w:rFonts w:ascii="MS Mincho" w:eastAsia="MS Mincho" w:hAnsi="MS Mincho" w:cs="Times New Roman"/>
          <w:sz w:val="28"/>
          <w:szCs w:val="28"/>
          <w:lang w:eastAsia="ja-JP"/>
        </w:rPr>
      </w:pPr>
    </w:p>
    <w:p w:rsidR="000A1B7F" w:rsidRPr="00AA0BF2" w:rsidRDefault="007F02AB" w:rsidP="00DD57AD">
      <w:pPr>
        <w:pStyle w:val="a3"/>
        <w:numPr>
          <w:ilvl w:val="0"/>
          <w:numId w:val="1"/>
        </w:numPr>
        <w:tabs>
          <w:tab w:val="left" w:pos="709"/>
        </w:tabs>
        <w:spacing w:afterLines="50" w:line="480" w:lineRule="exact"/>
        <w:ind w:leftChars="0"/>
        <w:rPr>
          <w:rFonts w:ascii="MS Mincho" w:eastAsia="MS Mincho" w:hAnsi="MS Mincho" w:cs="Times New Roman"/>
          <w:b/>
          <w:sz w:val="28"/>
          <w:szCs w:val="28"/>
          <w:lang w:eastAsia="ja-JP"/>
        </w:rPr>
      </w:pPr>
      <w:r w:rsidRPr="00AA0BF2">
        <w:rPr>
          <w:rFonts w:ascii="MS Mincho" w:eastAsia="MS Mincho" w:hAnsi="MS Mincho" w:cs="Times New Roman" w:hint="eastAsia"/>
          <w:b/>
          <w:sz w:val="28"/>
          <w:szCs w:val="28"/>
          <w:lang w:eastAsia="ja-JP"/>
        </w:rPr>
        <w:t>ワラント</w:t>
      </w:r>
      <w:r w:rsidR="00193B7F" w:rsidRPr="00AA0BF2">
        <w:rPr>
          <w:rFonts w:ascii="MS Mincho" w:eastAsia="MS Mincho" w:hAnsi="MS Mincho" w:cs="Times New Roman" w:hint="eastAsia"/>
          <w:b/>
          <w:sz w:val="28"/>
          <w:szCs w:val="28"/>
          <w:lang w:eastAsia="ja-JP"/>
        </w:rPr>
        <w:t>付</w:t>
      </w:r>
      <w:r w:rsidR="005D3C68" w:rsidRPr="00AA0BF2">
        <w:rPr>
          <w:rFonts w:ascii="MS Mincho" w:eastAsia="MS Mincho" w:hAnsi="MS Mincho" w:cs="Times New Roman" w:hint="eastAsia"/>
          <w:b/>
          <w:sz w:val="28"/>
          <w:szCs w:val="28"/>
          <w:lang w:eastAsia="ja-JP"/>
        </w:rPr>
        <w:t>証券</w:t>
      </w:r>
      <w:r w:rsidRPr="00AA0BF2">
        <w:rPr>
          <w:rFonts w:ascii="MS Mincho" w:eastAsia="MS Mincho" w:hAnsi="MS Mincho" w:cs="Times New Roman" w:hint="eastAsia"/>
          <w:b/>
          <w:sz w:val="28"/>
          <w:szCs w:val="28"/>
          <w:lang w:eastAsia="ja-JP"/>
        </w:rPr>
        <w:t>の</w:t>
      </w:r>
      <w:r w:rsidR="00193B7F" w:rsidRPr="00AA0BF2">
        <w:rPr>
          <w:rFonts w:ascii="MS Mincho" w:eastAsia="MS Mincho" w:hAnsi="MS Mincho" w:cs="Times New Roman" w:hint="eastAsia"/>
          <w:b/>
          <w:sz w:val="28"/>
          <w:szCs w:val="28"/>
          <w:lang w:eastAsia="ja-JP"/>
        </w:rPr>
        <w:t>対象</w:t>
      </w:r>
      <w:r w:rsidR="00EA26A7" w:rsidRPr="00AA0BF2">
        <w:rPr>
          <w:rFonts w:ascii="MS Mincho" w:eastAsia="MS Mincho" w:hAnsi="MS Mincho" w:cs="Times New Roman" w:hint="eastAsia"/>
          <w:b/>
          <w:sz w:val="28"/>
          <w:szCs w:val="28"/>
          <w:lang w:eastAsia="ja-JP"/>
        </w:rPr>
        <w:t>選定</w:t>
      </w:r>
      <w:r w:rsidRPr="00AA0BF2">
        <w:rPr>
          <w:rFonts w:ascii="MS Mincho" w:eastAsia="MS Mincho" w:hAnsi="MS Mincho" w:cs="Times New Roman" w:hint="eastAsia"/>
          <w:b/>
          <w:sz w:val="28"/>
          <w:szCs w:val="28"/>
          <w:lang w:eastAsia="ja-JP"/>
        </w:rPr>
        <w:t>方式</w:t>
      </w:r>
      <w:r w:rsidR="003C558C" w:rsidRPr="00AA0BF2">
        <w:rPr>
          <w:rFonts w:ascii="MS Mincho" w:eastAsia="MS Mincho" w:hAnsi="MS Mincho" w:cs="Times New Roman" w:hint="eastAsia"/>
          <w:b/>
          <w:sz w:val="28"/>
          <w:szCs w:val="28"/>
          <w:lang w:eastAsia="ja-JP"/>
        </w:rPr>
        <w:t>：</w:t>
      </w:r>
    </w:p>
    <w:p w:rsidR="00EA26A7" w:rsidRPr="00AA0BF2" w:rsidRDefault="00193B7F" w:rsidP="00EA26A7">
      <w:pPr>
        <w:ind w:firstLineChars="100" w:firstLine="280"/>
        <w:rPr>
          <w:rFonts w:ascii="MS Mincho" w:eastAsia="MS Mincho" w:hAnsi="MS Mincho" w:cs="Times New Roman"/>
          <w:sz w:val="28"/>
          <w:szCs w:val="28"/>
          <w:lang w:eastAsia="ja-JP"/>
        </w:rPr>
      </w:pPr>
      <w:r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ワラント付証券の対象となる</w:t>
      </w:r>
      <w:r w:rsidR="00EA26A7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証券の選定</w:t>
      </w:r>
      <w:r w:rsidR="007F02AB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基準は、市価</w:t>
      </w:r>
      <w:r w:rsidR="00964F84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、</w:t>
      </w:r>
      <w:r w:rsidR="007F02AB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流動性</w:t>
      </w:r>
      <w:r w:rsidR="00964F84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及び</w:t>
      </w:r>
      <w:r w:rsidR="007F02AB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財務状況により、3月・6月・9月・12月の年4回の審査</w:t>
      </w:r>
      <w:r w:rsidR="00EA26A7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で</w:t>
      </w:r>
      <w:r w:rsidR="007F02AB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決定され、翌月第1営業日から発効します。</w:t>
      </w:r>
    </w:p>
    <w:p w:rsidR="00061CFE" w:rsidRPr="00AA0BF2" w:rsidRDefault="007F02AB" w:rsidP="00EA26A7">
      <w:pPr>
        <w:ind w:firstLineChars="100" w:firstLine="280"/>
        <w:rPr>
          <w:rFonts w:ascii="MS Mincho" w:eastAsia="MS Mincho" w:hAnsi="MS Mincho" w:cs="Times New Roman"/>
          <w:sz w:val="28"/>
          <w:szCs w:val="28"/>
          <w:lang w:eastAsia="ja-JP"/>
        </w:rPr>
      </w:pPr>
      <w:r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また、毎年5月・8月・11月中旬</w:t>
      </w:r>
      <w:r w:rsidR="00AE4570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に</w:t>
      </w:r>
      <w:r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四半期</w:t>
      </w:r>
      <w:r w:rsidR="00AE4570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報告</w:t>
      </w:r>
      <w:r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、半年</w:t>
      </w:r>
      <w:r w:rsidR="00AE4570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報告を</w:t>
      </w:r>
      <w:r w:rsidR="000D3BC4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基</w:t>
      </w:r>
      <w:r w:rsidR="00AE4570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にした</w:t>
      </w:r>
      <w:r w:rsidR="00061CFE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調整</w:t>
      </w:r>
      <w:r w:rsidR="00AE4570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が行われます</w:t>
      </w:r>
      <w:r w:rsidR="00061CFE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。</w:t>
      </w:r>
    </w:p>
    <w:p w:rsidR="00EA26A7" w:rsidRPr="00AA0BF2" w:rsidRDefault="00EA26A7" w:rsidP="00EA26A7">
      <w:pPr>
        <w:ind w:firstLineChars="100" w:firstLine="280"/>
        <w:rPr>
          <w:rFonts w:ascii="MS Mincho" w:eastAsia="MS Mincho" w:hAnsi="MS Mincho" w:cs="Times New Roman"/>
          <w:sz w:val="28"/>
          <w:szCs w:val="28"/>
          <w:lang w:eastAsia="ja-JP"/>
        </w:rPr>
      </w:pPr>
    </w:p>
    <w:p w:rsidR="00061CFE" w:rsidRPr="00AA0BF2" w:rsidRDefault="0009563E" w:rsidP="00DD57AD">
      <w:pPr>
        <w:pStyle w:val="a3"/>
        <w:numPr>
          <w:ilvl w:val="0"/>
          <w:numId w:val="1"/>
        </w:numPr>
        <w:tabs>
          <w:tab w:val="left" w:pos="709"/>
        </w:tabs>
        <w:spacing w:afterLines="50" w:line="480" w:lineRule="exact"/>
        <w:ind w:leftChars="0" w:hanging="622"/>
        <w:rPr>
          <w:rFonts w:ascii="MS Mincho" w:eastAsia="MS Mincho" w:hAnsi="MS Mincho" w:cs="Times New Roman"/>
          <w:sz w:val="28"/>
          <w:szCs w:val="28"/>
          <w:lang w:eastAsia="ja-JP"/>
        </w:rPr>
      </w:pPr>
      <w:r w:rsidRPr="00AA0BF2">
        <w:rPr>
          <w:rFonts w:ascii="MS Mincho" w:eastAsia="MS Mincho" w:hAnsi="MS Mincho" w:cs="Times New Roman" w:hint="eastAsia"/>
          <w:b/>
          <w:sz w:val="28"/>
          <w:szCs w:val="28"/>
          <w:lang w:eastAsia="ja-JP"/>
        </w:rPr>
        <w:t>デイトレート</w:t>
      </w:r>
      <w:r w:rsidR="00DE5BB0" w:rsidRPr="00AA0BF2">
        <w:rPr>
          <w:rFonts w:ascii="MS Mincho" w:eastAsia="MS Mincho" w:hAnsi="MS Mincho" w:cs="Times New Roman" w:hint="eastAsia"/>
          <w:b/>
          <w:sz w:val="28"/>
          <w:szCs w:val="28"/>
          <w:lang w:eastAsia="ja-JP"/>
        </w:rPr>
        <w:t>対象</w:t>
      </w:r>
      <w:r w:rsidR="005D3C68" w:rsidRPr="00AA0BF2">
        <w:rPr>
          <w:rFonts w:ascii="MS Mincho" w:eastAsia="MS Mincho" w:hAnsi="MS Mincho" w:cs="Times New Roman" w:hint="eastAsia"/>
          <w:b/>
          <w:sz w:val="28"/>
          <w:szCs w:val="28"/>
          <w:lang w:eastAsia="ja-JP"/>
        </w:rPr>
        <w:t>証券</w:t>
      </w:r>
      <w:r w:rsidR="00DE5BB0" w:rsidRPr="00AA0BF2">
        <w:rPr>
          <w:rFonts w:ascii="MS Mincho" w:eastAsia="MS Mincho" w:hAnsi="MS Mincho" w:cs="Times New Roman" w:hint="eastAsia"/>
          <w:b/>
          <w:sz w:val="28"/>
          <w:szCs w:val="28"/>
          <w:lang w:eastAsia="ja-JP"/>
        </w:rPr>
        <w:t>の発効</w:t>
      </w:r>
      <w:r w:rsidR="005D3C68" w:rsidRPr="00AA0BF2">
        <w:rPr>
          <w:rFonts w:ascii="MS Mincho" w:eastAsia="MS Mincho" w:hAnsi="MS Mincho" w:cs="Times New Roman" w:hint="eastAsia"/>
          <w:b/>
          <w:sz w:val="28"/>
          <w:szCs w:val="28"/>
          <w:lang w:eastAsia="ja-JP"/>
        </w:rPr>
        <w:t>日時について</w:t>
      </w:r>
      <w:r w:rsidR="00061CFE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：</w:t>
      </w:r>
    </w:p>
    <w:p w:rsidR="0068009C" w:rsidRPr="00AA0BF2" w:rsidRDefault="00DE5BB0" w:rsidP="00DD57AD">
      <w:pPr>
        <w:pStyle w:val="a3"/>
        <w:numPr>
          <w:ilvl w:val="0"/>
          <w:numId w:val="7"/>
        </w:numPr>
        <w:tabs>
          <w:tab w:val="left" w:pos="426"/>
        </w:tabs>
        <w:spacing w:afterLines="50"/>
        <w:ind w:leftChars="0"/>
        <w:rPr>
          <w:rFonts w:ascii="MS Mincho" w:eastAsia="MS Mincho" w:hAnsi="MS Mincho" w:cs="Times New Roman"/>
          <w:sz w:val="28"/>
          <w:szCs w:val="28"/>
          <w:lang w:eastAsia="ja-JP"/>
        </w:rPr>
      </w:pPr>
      <w:r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ワラント</w:t>
      </w:r>
      <w:r w:rsidR="00193B7F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付証券の対象となる</w:t>
      </w:r>
      <w:r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証券</w:t>
      </w:r>
    </w:p>
    <w:p w:rsidR="00642F67" w:rsidRPr="00AA0BF2" w:rsidRDefault="005D3C68" w:rsidP="00DD57AD">
      <w:pPr>
        <w:pStyle w:val="a3"/>
        <w:tabs>
          <w:tab w:val="left" w:pos="426"/>
        </w:tabs>
        <w:spacing w:afterLines="50"/>
        <w:ind w:leftChars="0" w:firstLineChars="100" w:firstLine="280"/>
        <w:rPr>
          <w:rFonts w:ascii="MS Mincho" w:eastAsia="MS Mincho" w:hAnsi="MS Mincho" w:cs="Times New Roman"/>
          <w:sz w:val="28"/>
          <w:szCs w:val="28"/>
          <w:lang w:eastAsia="ja-JP"/>
        </w:rPr>
      </w:pPr>
      <w:r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ワラント対象の証券は、市価・流動性の審査のほか、財務状況を</w:t>
      </w:r>
      <w:r w:rsidR="00642F67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選定</w:t>
      </w:r>
      <w:r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基準として用い、上場企業の財務諸表提出締め切り</w:t>
      </w:r>
      <w:r w:rsidR="00642F67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を</w:t>
      </w:r>
      <w:r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午前0時までと</w:t>
      </w:r>
      <w:r w:rsidR="00642F67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しています</w:t>
      </w:r>
      <w:r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。</w:t>
      </w:r>
    </w:p>
    <w:p w:rsidR="005D3C68" w:rsidRPr="00AA0BF2" w:rsidRDefault="005D3C68" w:rsidP="00DD57AD">
      <w:pPr>
        <w:pStyle w:val="a3"/>
        <w:tabs>
          <w:tab w:val="left" w:pos="426"/>
        </w:tabs>
        <w:spacing w:afterLines="50"/>
        <w:ind w:leftChars="0" w:firstLineChars="100" w:firstLine="280"/>
        <w:rPr>
          <w:rFonts w:ascii="MS Mincho" w:eastAsia="MS Mincho" w:hAnsi="MS Mincho" w:cs="Times New Roman"/>
          <w:sz w:val="28"/>
          <w:szCs w:val="28"/>
          <w:lang w:eastAsia="ja-JP"/>
        </w:rPr>
      </w:pPr>
      <w:r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対象となる証券全体の公告</w:t>
      </w:r>
      <w:r w:rsidR="00642F67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のための</w:t>
      </w:r>
      <w:r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作業時間を考慮し</w:t>
      </w:r>
      <w:r w:rsidR="00642F67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たうえで</w:t>
      </w:r>
      <w:r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、2015年6月1日より、台湾50・中型100・</w:t>
      </w:r>
      <w:r w:rsidR="006F48A2" w:rsidRPr="00AA0BF2">
        <w:rPr>
          <w:rFonts w:ascii="MS Mincho" w:eastAsia="MS Mincho" w:hAnsi="MS Mincho"/>
          <w:sz w:val="28"/>
          <w:szCs w:val="28"/>
          <w:lang w:eastAsia="ja-JP"/>
        </w:rPr>
        <w:t>証券グレタイ売買センター</w:t>
      </w:r>
      <w:r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の「富櫃五十指数」成分の証券を除</w:t>
      </w:r>
      <w:r w:rsidR="00642F67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く</w:t>
      </w:r>
      <w:r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、その他のワラント</w:t>
      </w:r>
      <w:r w:rsidR="00642F67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付</w:t>
      </w:r>
      <w:r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対象証券については、</w:t>
      </w:r>
      <w:r w:rsidR="00153FB5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ワラント対象</w:t>
      </w:r>
      <w:r w:rsidR="00642F67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の</w:t>
      </w:r>
      <w:r w:rsidR="00153FB5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発効</w:t>
      </w:r>
      <w:r w:rsidR="00642F67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から一営業日後にデイトレート取引の対象となります</w:t>
      </w:r>
      <w:r w:rsidR="00153FB5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。</w:t>
      </w:r>
    </w:p>
    <w:p w:rsidR="003F1F23" w:rsidRPr="00AA0BF2" w:rsidRDefault="00153FB5" w:rsidP="00DD57AD">
      <w:pPr>
        <w:pStyle w:val="a3"/>
        <w:tabs>
          <w:tab w:val="left" w:pos="426"/>
        </w:tabs>
        <w:spacing w:afterLines="50"/>
        <w:ind w:leftChars="0" w:firstLineChars="100" w:firstLine="280"/>
        <w:rPr>
          <w:rFonts w:ascii="MS Mincho" w:eastAsia="MS Mincho" w:hAnsi="MS Mincho" w:cs="Times New Roman"/>
          <w:sz w:val="28"/>
          <w:szCs w:val="28"/>
          <w:lang w:eastAsia="ja-JP"/>
        </w:rPr>
      </w:pPr>
      <w:r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例えば、2015年7月1日に、第三四半期の調整によってワラント対象</w:t>
      </w:r>
      <w:r w:rsidR="001A4C7B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となる</w:t>
      </w:r>
      <w:r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証券</w:t>
      </w:r>
      <w:r w:rsidR="001A4C7B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が発効し、</w:t>
      </w:r>
      <w:r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7月2日</w:t>
      </w:r>
      <w:r w:rsidR="001A4C7B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から</w:t>
      </w:r>
      <w:r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デイトレート取引の対象</w:t>
      </w:r>
      <w:r w:rsidR="001A4C7B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には、</w:t>
      </w:r>
      <w:r w:rsidR="003D5CD5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当該</w:t>
      </w:r>
      <w:r w:rsidR="001A4C7B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四半期の調整結果が適用されます</w:t>
      </w:r>
      <w:r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。</w:t>
      </w:r>
    </w:p>
    <w:p w:rsidR="00153FB5" w:rsidRPr="00AA0BF2" w:rsidRDefault="00153FB5" w:rsidP="00DD57AD">
      <w:pPr>
        <w:pStyle w:val="a3"/>
        <w:tabs>
          <w:tab w:val="left" w:pos="426"/>
        </w:tabs>
        <w:spacing w:afterLines="50"/>
        <w:ind w:leftChars="0" w:firstLineChars="100" w:firstLine="280"/>
        <w:rPr>
          <w:rFonts w:ascii="MS Mincho" w:eastAsia="MS Mincho" w:hAnsi="MS Mincho" w:cs="Times New Roman"/>
          <w:sz w:val="28"/>
          <w:szCs w:val="28"/>
          <w:lang w:eastAsia="ja-JP"/>
        </w:rPr>
      </w:pPr>
      <w:r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7月1日のデイトレート取引の対象は、台湾50・中型100・</w:t>
      </w:r>
      <w:r w:rsidR="006F48A2" w:rsidRPr="00AA0BF2">
        <w:rPr>
          <w:rFonts w:ascii="MS Mincho" w:eastAsia="MS Mincho" w:hAnsi="MS Mincho"/>
          <w:sz w:val="28"/>
          <w:szCs w:val="28"/>
          <w:lang w:eastAsia="ja-JP"/>
        </w:rPr>
        <w:t>証券グレタイ売買センター</w:t>
      </w:r>
      <w:r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の「富櫃五十指数」成分の証券のほか、前四半期のワラント証券が</w:t>
      </w:r>
      <w:r w:rsidR="003F1F23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対象となります。</w:t>
      </w:r>
    </w:p>
    <w:p w:rsidR="003F1F23" w:rsidRPr="00AA0BF2" w:rsidRDefault="003F1F23" w:rsidP="00DD57AD">
      <w:pPr>
        <w:pStyle w:val="a3"/>
        <w:tabs>
          <w:tab w:val="left" w:pos="426"/>
        </w:tabs>
        <w:spacing w:afterLines="50"/>
        <w:ind w:leftChars="0" w:firstLineChars="100" w:firstLine="280"/>
        <w:rPr>
          <w:rFonts w:ascii="MS Mincho" w:eastAsia="MS Mincho" w:hAnsi="MS Mincho" w:cs="Times New Roman"/>
          <w:sz w:val="28"/>
          <w:szCs w:val="28"/>
          <w:lang w:eastAsia="ja-JP"/>
        </w:rPr>
      </w:pPr>
    </w:p>
    <w:p w:rsidR="00642F67" w:rsidRPr="00AA0BF2" w:rsidRDefault="00C06030" w:rsidP="00A4355D">
      <w:pPr>
        <w:pStyle w:val="a3"/>
        <w:numPr>
          <w:ilvl w:val="0"/>
          <w:numId w:val="7"/>
        </w:numPr>
        <w:tabs>
          <w:tab w:val="left" w:pos="851"/>
        </w:tabs>
        <w:ind w:leftChars="0"/>
        <w:rPr>
          <w:rFonts w:ascii="MS Mincho" w:eastAsia="MS Mincho" w:hAnsi="MS Mincho" w:cs="Times New Roman"/>
          <w:sz w:val="28"/>
          <w:szCs w:val="28"/>
        </w:rPr>
      </w:pPr>
      <w:r w:rsidRPr="00AA0BF2">
        <w:rPr>
          <w:rFonts w:ascii="MS Mincho" w:eastAsia="MS Mincho" w:hAnsi="MS Mincho" w:cs="Times New Roman" w:hint="eastAsia"/>
          <w:sz w:val="28"/>
          <w:szCs w:val="28"/>
        </w:rPr>
        <w:lastRenderedPageBreak/>
        <w:t>上場投資信託（ETF）</w:t>
      </w:r>
    </w:p>
    <w:p w:rsidR="006648EC" w:rsidRPr="00AA0BF2" w:rsidRDefault="0045365E" w:rsidP="006648EC">
      <w:pPr>
        <w:pStyle w:val="a3"/>
        <w:tabs>
          <w:tab w:val="left" w:pos="851"/>
        </w:tabs>
        <w:ind w:leftChars="0" w:firstLineChars="100" w:firstLine="280"/>
        <w:rPr>
          <w:rFonts w:ascii="MS Mincho" w:eastAsia="MS Mincho" w:hAnsi="MS Mincho" w:cs="MS Mincho"/>
          <w:sz w:val="28"/>
          <w:szCs w:val="28"/>
          <w:lang w:eastAsia="ja-JP"/>
        </w:rPr>
      </w:pPr>
      <w:r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上場投資信託（ETF）</w:t>
      </w:r>
      <w:r w:rsidR="006648EC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は、</w:t>
      </w:r>
      <w:r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上場</w:t>
      </w:r>
      <w:r w:rsidR="006648EC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による</w:t>
      </w:r>
      <w:r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信用取引が可能</w:t>
      </w:r>
      <w:r w:rsidR="006648EC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になることで</w:t>
      </w:r>
      <w:r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、投資家は上場投資信託（ETF）を</w:t>
      </w:r>
      <w:r w:rsidR="00B4159B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資金と相殺させることが</w:t>
      </w:r>
      <w:r w:rsidR="006648EC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出来るように</w:t>
      </w:r>
      <w:r w:rsidR="00B4159B" w:rsidRPr="00AA0BF2">
        <w:rPr>
          <w:rFonts w:ascii="MS Mincho" w:eastAsia="MS Mincho" w:hAnsi="MS Mincho" w:cs="MS Mincho" w:hint="eastAsia"/>
          <w:sz w:val="28"/>
          <w:szCs w:val="28"/>
          <w:lang w:eastAsia="ja-JP"/>
        </w:rPr>
        <w:t>なり</w:t>
      </w:r>
      <w:r w:rsidRPr="00AA0BF2">
        <w:rPr>
          <w:rFonts w:ascii="MS Mincho" w:eastAsia="MS Mincho" w:hAnsi="MS Mincho" w:cs="MS Mincho" w:hint="eastAsia"/>
          <w:sz w:val="28"/>
          <w:szCs w:val="28"/>
          <w:lang w:eastAsia="ja-JP"/>
        </w:rPr>
        <w:t>ます。</w:t>
      </w:r>
    </w:p>
    <w:p w:rsidR="00061CFE" w:rsidRPr="00AA0BF2" w:rsidRDefault="0045365E" w:rsidP="006648EC">
      <w:pPr>
        <w:pStyle w:val="a3"/>
        <w:tabs>
          <w:tab w:val="left" w:pos="851"/>
        </w:tabs>
        <w:ind w:leftChars="0" w:firstLineChars="100" w:firstLine="280"/>
        <w:rPr>
          <w:rFonts w:ascii="MS Mincho" w:eastAsia="MS Mincho" w:hAnsi="MS Mincho" w:cs="Times New Roman"/>
          <w:sz w:val="28"/>
          <w:szCs w:val="28"/>
          <w:lang w:eastAsia="ja-JP"/>
        </w:rPr>
      </w:pPr>
      <w:r w:rsidRPr="00AA0BF2">
        <w:rPr>
          <w:rFonts w:ascii="MS Mincho" w:eastAsia="MS Mincho" w:hAnsi="MS Mincho" w:cs="MS Mincho" w:hint="eastAsia"/>
          <w:sz w:val="28"/>
          <w:szCs w:val="28"/>
          <w:lang w:eastAsia="ja-JP"/>
        </w:rPr>
        <w:t>そのため、2015年6月1日より、全ての</w:t>
      </w:r>
      <w:r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上場投資信託（ETF）は</w:t>
      </w:r>
      <w:r w:rsidR="00C215D5" w:rsidRPr="00AA0BF2">
        <w:rPr>
          <w:rFonts w:ascii="MS Mincho" w:eastAsia="MS Mincho" w:hAnsi="MS Mincho" w:cs="Times New Roman"/>
          <w:bCs/>
          <w:sz w:val="28"/>
          <w:szCs w:val="28"/>
          <w:lang w:eastAsia="ja-JP"/>
        </w:rPr>
        <w:t>現物株式取引</w:t>
      </w:r>
      <w:r w:rsidR="00C215D5" w:rsidRPr="00AA0BF2">
        <w:rPr>
          <w:rFonts w:ascii="MS Mincho" w:eastAsia="MS Mincho" w:hAnsi="MS Mincho" w:cs="Times New Roman"/>
          <w:sz w:val="28"/>
          <w:szCs w:val="28"/>
          <w:lang w:eastAsia="ja-JP"/>
        </w:rPr>
        <w:t>の</w:t>
      </w:r>
      <w:r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決済によるデイトレートが可能となり</w:t>
      </w:r>
      <w:r w:rsidR="00B4159B"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、また</w:t>
      </w:r>
      <w:r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新たに上場する上場投資信託（ETF）の場合は、上場初日から</w:t>
      </w:r>
      <w:r w:rsidR="00C215D5" w:rsidRPr="00AA0BF2">
        <w:rPr>
          <w:rFonts w:ascii="MS Mincho" w:eastAsia="MS Mincho" w:hAnsi="MS Mincho" w:cs="Times New Roman"/>
          <w:bCs/>
          <w:sz w:val="28"/>
          <w:szCs w:val="28"/>
          <w:lang w:eastAsia="ja-JP"/>
        </w:rPr>
        <w:t>現物株式取引</w:t>
      </w:r>
      <w:r w:rsidR="00C215D5" w:rsidRPr="00AA0BF2">
        <w:rPr>
          <w:rFonts w:ascii="MS Mincho" w:eastAsia="MS Mincho" w:hAnsi="MS Mincho" w:cs="Times New Roman"/>
          <w:sz w:val="28"/>
          <w:szCs w:val="28"/>
          <w:lang w:eastAsia="ja-JP"/>
        </w:rPr>
        <w:t>の</w:t>
      </w:r>
      <w:bookmarkStart w:id="2" w:name="_GoBack"/>
      <w:bookmarkEnd w:id="2"/>
      <w:r w:rsidRPr="00AA0BF2">
        <w:rPr>
          <w:rFonts w:ascii="MS Mincho" w:eastAsia="MS Mincho" w:hAnsi="MS Mincho" w:cs="Times New Roman" w:hint="eastAsia"/>
          <w:sz w:val="28"/>
          <w:szCs w:val="28"/>
          <w:lang w:eastAsia="ja-JP"/>
        </w:rPr>
        <w:t>決済によるデイトレートが可能です。</w:t>
      </w:r>
    </w:p>
    <w:sectPr w:rsidR="00061CFE" w:rsidRPr="00AA0BF2" w:rsidSect="00344BF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B1B" w:rsidRDefault="00507B1B" w:rsidP="00061CFE">
      <w:r>
        <w:separator/>
      </w:r>
    </w:p>
  </w:endnote>
  <w:endnote w:type="continuationSeparator" w:id="0">
    <w:p w:rsidR="00507B1B" w:rsidRDefault="00507B1B" w:rsidP="00061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6954"/>
      <w:docPartObj>
        <w:docPartGallery w:val="Page Numbers (Bottom of Page)"/>
        <w:docPartUnique/>
      </w:docPartObj>
    </w:sdtPr>
    <w:sdtContent>
      <w:p w:rsidR="00061CFE" w:rsidRDefault="00BE7D0A">
        <w:pPr>
          <w:pStyle w:val="a4"/>
          <w:jc w:val="center"/>
        </w:pPr>
        <w:r w:rsidRPr="00BE7D0A">
          <w:fldChar w:fldCharType="begin"/>
        </w:r>
        <w:r w:rsidR="006A2779">
          <w:instrText xml:space="preserve"> PAGE   \* MERGEFORMAT </w:instrText>
        </w:r>
        <w:r w:rsidRPr="00BE7D0A">
          <w:fldChar w:fldCharType="separate"/>
        </w:r>
        <w:r w:rsidR="00DD57AD" w:rsidRPr="00DD57A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061CFE" w:rsidRDefault="00061C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B1B" w:rsidRDefault="00507B1B" w:rsidP="00061CFE">
      <w:r>
        <w:separator/>
      </w:r>
    </w:p>
  </w:footnote>
  <w:footnote w:type="continuationSeparator" w:id="0">
    <w:p w:rsidR="00507B1B" w:rsidRDefault="00507B1B" w:rsidP="00061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198"/>
    <w:multiLevelType w:val="hybridMultilevel"/>
    <w:tmpl w:val="907A32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04B5083"/>
    <w:multiLevelType w:val="hybridMultilevel"/>
    <w:tmpl w:val="1A28D808"/>
    <w:lvl w:ilvl="0" w:tplc="4D6A6484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2D5ADE"/>
    <w:multiLevelType w:val="hybridMultilevel"/>
    <w:tmpl w:val="5CA81BE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963932"/>
    <w:multiLevelType w:val="hybridMultilevel"/>
    <w:tmpl w:val="F378F456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F1966A8"/>
    <w:multiLevelType w:val="hybridMultilevel"/>
    <w:tmpl w:val="ACB07C16"/>
    <w:lvl w:ilvl="0" w:tplc="D5BC1AD0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D7880CA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466291"/>
    <w:multiLevelType w:val="hybridMultilevel"/>
    <w:tmpl w:val="26D05352"/>
    <w:lvl w:ilvl="0" w:tplc="76E6C4B2">
      <w:start w:val="1"/>
      <w:numFmt w:val="decimal"/>
      <w:lvlText w:val="%1."/>
      <w:lvlJc w:val="left"/>
      <w:pPr>
        <w:ind w:left="15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F1471FF"/>
    <w:multiLevelType w:val="hybridMultilevel"/>
    <w:tmpl w:val="0548F1F0"/>
    <w:lvl w:ilvl="0" w:tplc="312E1F6C">
      <w:start w:val="1"/>
      <w:numFmt w:val="upperRoman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CC46F66"/>
    <w:multiLevelType w:val="hybridMultilevel"/>
    <w:tmpl w:val="A5A8C84C"/>
    <w:lvl w:ilvl="0" w:tplc="4EA22CB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E3377E2"/>
    <w:multiLevelType w:val="hybridMultilevel"/>
    <w:tmpl w:val="C0B8D228"/>
    <w:lvl w:ilvl="0" w:tplc="FDA8A60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BC751A5"/>
    <w:multiLevelType w:val="hybridMultilevel"/>
    <w:tmpl w:val="A9F0F1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D870738"/>
    <w:multiLevelType w:val="hybridMultilevel"/>
    <w:tmpl w:val="1D8E4B6C"/>
    <w:lvl w:ilvl="0" w:tplc="D58E28E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FDA8A604">
      <w:start w:val="1"/>
      <w:numFmt w:val="decimal"/>
      <w:lvlText w:val="(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CFE"/>
    <w:rsid w:val="00061CFE"/>
    <w:rsid w:val="0009563E"/>
    <w:rsid w:val="000A1B7F"/>
    <w:rsid w:val="000B0B6C"/>
    <w:rsid w:val="000D3BC4"/>
    <w:rsid w:val="00121B23"/>
    <w:rsid w:val="001537A4"/>
    <w:rsid w:val="00153FB5"/>
    <w:rsid w:val="0016696D"/>
    <w:rsid w:val="00184782"/>
    <w:rsid w:val="00193B7F"/>
    <w:rsid w:val="001A4C7B"/>
    <w:rsid w:val="00217718"/>
    <w:rsid w:val="00250346"/>
    <w:rsid w:val="00274C7E"/>
    <w:rsid w:val="002B4638"/>
    <w:rsid w:val="00320602"/>
    <w:rsid w:val="00344BF1"/>
    <w:rsid w:val="00354B87"/>
    <w:rsid w:val="003918E3"/>
    <w:rsid w:val="00397C29"/>
    <w:rsid w:val="003C558C"/>
    <w:rsid w:val="003D51AE"/>
    <w:rsid w:val="003D5CD5"/>
    <w:rsid w:val="003F1F23"/>
    <w:rsid w:val="00421BD7"/>
    <w:rsid w:val="00442F37"/>
    <w:rsid w:val="0045365E"/>
    <w:rsid w:val="004676A1"/>
    <w:rsid w:val="00507B1B"/>
    <w:rsid w:val="00537BAF"/>
    <w:rsid w:val="00562F32"/>
    <w:rsid w:val="00595B5A"/>
    <w:rsid w:val="005D3C68"/>
    <w:rsid w:val="00605E27"/>
    <w:rsid w:val="00615094"/>
    <w:rsid w:val="006405C7"/>
    <w:rsid w:val="00642F67"/>
    <w:rsid w:val="006648EC"/>
    <w:rsid w:val="0067532D"/>
    <w:rsid w:val="0068009C"/>
    <w:rsid w:val="00694E85"/>
    <w:rsid w:val="006A2779"/>
    <w:rsid w:val="006A3DA3"/>
    <w:rsid w:val="006F48A2"/>
    <w:rsid w:val="007830FB"/>
    <w:rsid w:val="007C637C"/>
    <w:rsid w:val="007D3B18"/>
    <w:rsid w:val="007F02AB"/>
    <w:rsid w:val="007F4511"/>
    <w:rsid w:val="00801FB0"/>
    <w:rsid w:val="00891381"/>
    <w:rsid w:val="00947A6F"/>
    <w:rsid w:val="00964F84"/>
    <w:rsid w:val="009D0956"/>
    <w:rsid w:val="00A4355D"/>
    <w:rsid w:val="00A92545"/>
    <w:rsid w:val="00A972E8"/>
    <w:rsid w:val="00AA0BF2"/>
    <w:rsid w:val="00AE4570"/>
    <w:rsid w:val="00B4159B"/>
    <w:rsid w:val="00BE7D0A"/>
    <w:rsid w:val="00BF4C63"/>
    <w:rsid w:val="00C06030"/>
    <w:rsid w:val="00C215D5"/>
    <w:rsid w:val="00C4729E"/>
    <w:rsid w:val="00DC5FC1"/>
    <w:rsid w:val="00DD57AD"/>
    <w:rsid w:val="00DE1512"/>
    <w:rsid w:val="00DE5BB0"/>
    <w:rsid w:val="00E20983"/>
    <w:rsid w:val="00E42CB5"/>
    <w:rsid w:val="00E43037"/>
    <w:rsid w:val="00E6423A"/>
    <w:rsid w:val="00EA26A7"/>
    <w:rsid w:val="00EB219A"/>
    <w:rsid w:val="00EC303F"/>
    <w:rsid w:val="00F13DCD"/>
    <w:rsid w:val="00F17841"/>
    <w:rsid w:val="00FA609E"/>
    <w:rsid w:val="00FD3A8C"/>
    <w:rsid w:val="00FE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CFE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61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61CFE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61CFE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061CF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61CF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C5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C5FC1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397C2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F4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F48A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6F48A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F48A2"/>
  </w:style>
  <w:style w:type="character" w:customStyle="1" w:styleId="af0">
    <w:name w:val="註解文字 字元"/>
    <w:basedOn w:val="a0"/>
    <w:link w:val="af"/>
    <w:uiPriority w:val="99"/>
    <w:semiHidden/>
    <w:rsid w:val="006F48A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48A2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F48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CFE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61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61CFE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61CFE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061CF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61CFE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DC5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DC5FC1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397C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9950B-DF71-4FA1-B07C-A96F4057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2</cp:revision>
  <cp:lastPrinted>2015-05-05T01:49:00Z</cp:lastPrinted>
  <dcterms:created xsi:type="dcterms:W3CDTF">2015-06-01T09:12:00Z</dcterms:created>
  <dcterms:modified xsi:type="dcterms:W3CDTF">2015-06-01T09:12:00Z</dcterms:modified>
</cp:coreProperties>
</file>