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1F2F" w14:textId="7B492673" w:rsidR="00577248" w:rsidRDefault="00C97168" w:rsidP="00577248">
      <w:pPr>
        <w:adjustRightInd w:val="0"/>
        <w:snapToGrid w:val="0"/>
        <w:spacing w:line="300" w:lineRule="auto"/>
        <w:jc w:val="center"/>
        <w:rPr>
          <w:rFonts w:ascii="標楷體" w:eastAsia="標楷體" w:hAnsi="標楷體" w:cs="Times New Roman"/>
          <w:b/>
          <w:color w:val="000000"/>
          <w:sz w:val="32"/>
          <w:szCs w:val="36"/>
        </w:rPr>
      </w:pPr>
      <w:r w:rsidRPr="00577248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臺灣證券交易所股份有限公司</w:t>
      </w:r>
      <w:bookmarkStart w:id="0" w:name="_GoBack"/>
      <w:r w:rsidR="00914742" w:rsidRPr="00914742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變更交易方法有價證券交易作業辦法</w:t>
      </w:r>
      <w:bookmarkEnd w:id="0"/>
    </w:p>
    <w:p w14:paraId="537D5C05" w14:textId="4B3DA4AC" w:rsidR="00C97168" w:rsidRDefault="00914742" w:rsidP="00577248">
      <w:pPr>
        <w:adjustRightInd w:val="0"/>
        <w:snapToGrid w:val="0"/>
        <w:spacing w:line="300" w:lineRule="auto"/>
        <w:jc w:val="center"/>
      </w:pPr>
      <w:r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第三條</w:t>
      </w:r>
      <w:r w:rsidR="00C97168" w:rsidRPr="00577248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修正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條文</w:t>
      </w:r>
      <w:r w:rsidR="00C97168" w:rsidRPr="00577248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對照表</w:t>
      </w:r>
    </w:p>
    <w:tbl>
      <w:tblPr>
        <w:tblStyle w:val="a4"/>
        <w:tblW w:w="9640" w:type="dxa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22"/>
      </w:tblGrid>
      <w:tr w:rsidR="00C97168" w:rsidRPr="00577248" w14:paraId="11A036B4" w14:textId="77777777" w:rsidTr="00934DF8">
        <w:tc>
          <w:tcPr>
            <w:tcW w:w="3209" w:type="dxa"/>
          </w:tcPr>
          <w:p w14:paraId="0B40110C" w14:textId="77777777" w:rsidR="00C97168" w:rsidRPr="00577248" w:rsidRDefault="00C97168" w:rsidP="005772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7724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修正條文</w:t>
            </w:r>
          </w:p>
        </w:tc>
        <w:tc>
          <w:tcPr>
            <w:tcW w:w="3209" w:type="dxa"/>
          </w:tcPr>
          <w:p w14:paraId="33DABC0C" w14:textId="77777777" w:rsidR="00C97168" w:rsidRPr="00577248" w:rsidRDefault="00C97168" w:rsidP="005772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7724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現行條文</w:t>
            </w:r>
          </w:p>
        </w:tc>
        <w:tc>
          <w:tcPr>
            <w:tcW w:w="3222" w:type="dxa"/>
          </w:tcPr>
          <w:p w14:paraId="696CE529" w14:textId="77777777" w:rsidR="00C97168" w:rsidRPr="00577248" w:rsidRDefault="00C97168" w:rsidP="005772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7724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說明</w:t>
            </w:r>
          </w:p>
        </w:tc>
      </w:tr>
      <w:tr w:rsidR="00C97168" w:rsidRPr="009D1087" w14:paraId="1DEDA885" w14:textId="77777777" w:rsidTr="00934DF8">
        <w:tc>
          <w:tcPr>
            <w:tcW w:w="3209" w:type="dxa"/>
          </w:tcPr>
          <w:p w14:paraId="65944284" w14:textId="607EF970" w:rsidR="009B5F72" w:rsidRPr="009B5F72" w:rsidRDefault="009B5F72" w:rsidP="009B5F72">
            <w:pPr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第</w:t>
            </w:r>
            <w:r w:rsidR="009F5474">
              <w:rPr>
                <w:rFonts w:ascii="標楷體" w:eastAsia="標楷體" w:hAnsi="標楷體" w:hint="eastAsia"/>
                <w:szCs w:val="24"/>
              </w:rPr>
              <w:t>三</w:t>
            </w:r>
            <w:r w:rsidRPr="009B5F72">
              <w:rPr>
                <w:rFonts w:ascii="標楷體" w:eastAsia="標楷體" w:hAnsi="標楷體" w:hint="eastAsia"/>
                <w:szCs w:val="24"/>
              </w:rPr>
              <w:t xml:space="preserve">條 </w:t>
            </w:r>
          </w:p>
          <w:p w14:paraId="03C8BB0B" w14:textId="77777777" w:rsidR="009B5F72" w:rsidRPr="009B5F72" w:rsidRDefault="009B5F72" w:rsidP="00BC5E92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列為變更交易方法之有價證券，證券經紀商於接受委託買賣時，應先收足款券，始得辦理買賣申報。</w:t>
            </w:r>
          </w:p>
          <w:p w14:paraId="3D833AAB" w14:textId="048983C5" w:rsidR="009B5F72" w:rsidRPr="009B5F72" w:rsidRDefault="009B5F72" w:rsidP="00BC5E92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有保管機構代理之機構投資人或政府基金，申報賣出單一變更交易方法之有價證券，當日累計金額未達新臺幣伍仟萬元以上者，得不適用前項之規定。</w:t>
            </w:r>
          </w:p>
          <w:p w14:paraId="6E6E831E" w14:textId="77777777" w:rsidR="009B5F72" w:rsidRPr="009B5F72" w:rsidRDefault="009B5F72" w:rsidP="00BC5E92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第一項有價證券之交易方式得經本公司公告採行分盤集合競價方式，約每三十分鐘以人工管制之撮合終端機執行撮合作業一次為原則，並得視交易情形因應公告調整撮合時間。</w:t>
            </w:r>
          </w:p>
          <w:p w14:paraId="4CA4845A" w14:textId="20A8FD4D" w:rsidR="00C97168" w:rsidRPr="00BE3DB9" w:rsidRDefault="009B5F72" w:rsidP="00BC5E92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第一項應先收足款券措施不適用於違約專戶、認購（售）權證流動量提供者專戶或認購（售）權證避險專戶（不含帳號編碼前三碼為「九二九」帳戶）買賣變更交易方法有價證券者，另第一項及第三項措施不適用於</w:t>
            </w:r>
            <w:r w:rsidRPr="00BC5E92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盤後</w:t>
            </w:r>
            <w:r w:rsidRPr="009B5F72">
              <w:rPr>
                <w:rFonts w:ascii="標楷體" w:eastAsia="標楷體" w:hAnsi="標楷體" w:hint="eastAsia"/>
                <w:szCs w:val="24"/>
              </w:rPr>
              <w:t>零股交易。</w:t>
            </w:r>
          </w:p>
        </w:tc>
        <w:tc>
          <w:tcPr>
            <w:tcW w:w="3209" w:type="dxa"/>
          </w:tcPr>
          <w:p w14:paraId="77F9A754" w14:textId="4C455FEC" w:rsidR="009B5F72" w:rsidRPr="009B5F72" w:rsidRDefault="009B5F72" w:rsidP="009B5F72">
            <w:pPr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第</w:t>
            </w:r>
            <w:r w:rsidR="009F5474">
              <w:rPr>
                <w:rFonts w:ascii="標楷體" w:eastAsia="標楷體" w:hAnsi="標楷體" w:hint="eastAsia"/>
                <w:szCs w:val="24"/>
              </w:rPr>
              <w:t>三</w:t>
            </w:r>
            <w:r w:rsidRPr="009B5F72">
              <w:rPr>
                <w:rFonts w:ascii="標楷體" w:eastAsia="標楷體" w:hAnsi="標楷體" w:hint="eastAsia"/>
                <w:szCs w:val="24"/>
              </w:rPr>
              <w:t xml:space="preserve">條 </w:t>
            </w:r>
          </w:p>
          <w:p w14:paraId="581BCECD" w14:textId="5113DA27" w:rsidR="009B5F72" w:rsidRPr="009B5F72" w:rsidRDefault="009B5F72" w:rsidP="00BC5E92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列為變更交易方法之有價證券，證券經紀商於接受委託買賣時，應先收足款券，始得辦理買賣申報。</w:t>
            </w:r>
          </w:p>
          <w:p w14:paraId="66F3028A" w14:textId="2DE9B05A" w:rsidR="009B5F72" w:rsidRPr="009B5F72" w:rsidRDefault="009B5F72" w:rsidP="00BC5E92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有保管機構代理之機構投資人或政府基金，申報賣出單一變更交易方法之有價證券，當日累計金額未達新臺幣伍仟萬元以上者，得不適用前項之規定。</w:t>
            </w:r>
          </w:p>
          <w:p w14:paraId="16411BA6" w14:textId="75F5043F" w:rsidR="009B5F72" w:rsidRPr="009B5F72" w:rsidRDefault="009B5F72" w:rsidP="00BC5E92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第一項有價證券之交易方式得經本公司公告採行分盤集合競價方式，約每三十分鐘以人工管制之撮合終端機執行撮合作業一次為原則，並得視交易情形因應公告調整撮合時間。</w:t>
            </w:r>
          </w:p>
          <w:p w14:paraId="622AE4DB" w14:textId="3A432F7B" w:rsidR="00C97168" w:rsidRPr="00BE3DB9" w:rsidRDefault="009B5F72" w:rsidP="00BC5E92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B5F72">
              <w:rPr>
                <w:rFonts w:ascii="標楷體" w:eastAsia="標楷體" w:hAnsi="標楷體" w:hint="eastAsia"/>
                <w:szCs w:val="24"/>
              </w:rPr>
              <w:t>第一項應先收足款券措施不適用於違約專戶、認購（售）權證流動量提供者專戶或認購（售）權證避險專戶（不含帳號編碼前三碼為「九二九」帳戶）買賣變更交易方法有價證券者，另第一項及第三項措施不適用於零股交易。</w:t>
            </w:r>
          </w:p>
        </w:tc>
        <w:tc>
          <w:tcPr>
            <w:tcW w:w="3222" w:type="dxa"/>
          </w:tcPr>
          <w:p w14:paraId="1634AD7E" w14:textId="62CFBC31" w:rsidR="008869F0" w:rsidRPr="00CD5AD9" w:rsidRDefault="006152A6" w:rsidP="00DA48BB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D5AD9">
              <w:rPr>
                <w:rFonts w:ascii="標楷體" w:eastAsia="標楷體" w:hAnsi="標楷體" w:hint="eastAsia"/>
                <w:szCs w:val="24"/>
              </w:rPr>
              <w:t>配合開放零股交易時間</w:t>
            </w:r>
            <w:r w:rsidR="00F451BD" w:rsidRPr="00CD5AD9">
              <w:rPr>
                <w:rFonts w:ascii="標楷體" w:eastAsia="標楷體" w:hAnsi="標楷體" w:hint="eastAsia"/>
                <w:szCs w:val="24"/>
              </w:rPr>
              <w:t>，</w:t>
            </w:r>
            <w:r w:rsidR="00103950" w:rsidRPr="00CD5AD9">
              <w:rPr>
                <w:rFonts w:ascii="標楷體" w:eastAsia="標楷體" w:hAnsi="標楷體" w:hint="eastAsia"/>
                <w:szCs w:val="24"/>
              </w:rPr>
              <w:t>考量</w:t>
            </w:r>
            <w:r w:rsidR="00996BEF" w:rsidRPr="00CD5AD9">
              <w:rPr>
                <w:rFonts w:ascii="標楷體" w:eastAsia="標楷體" w:hAnsi="標楷體" w:hint="eastAsia"/>
                <w:szCs w:val="24"/>
              </w:rPr>
              <w:t>上午九時至下午一時三十分零股交易</w:t>
            </w:r>
            <w:r w:rsidR="00CD5AD9" w:rsidRPr="00CD5AD9">
              <w:rPr>
                <w:rFonts w:ascii="標楷體" w:eastAsia="標楷體" w:hAnsi="標楷體" w:hint="eastAsia"/>
                <w:szCs w:val="24"/>
              </w:rPr>
              <w:t>係採多次分盤集合競價交易，增加委託成交機會，</w:t>
            </w:r>
            <w:r w:rsidR="00F15B09" w:rsidRPr="00CD5AD9">
              <w:rPr>
                <w:rFonts w:ascii="標楷體" w:eastAsia="標楷體" w:hAnsi="標楷體" w:hint="eastAsia"/>
                <w:szCs w:val="24"/>
              </w:rPr>
              <w:t>與盤後零股交易採一盤撮合之方式不同，</w:t>
            </w:r>
            <w:r w:rsidR="00BA7F8E" w:rsidRPr="00CD5AD9">
              <w:rPr>
                <w:rFonts w:ascii="標楷體" w:eastAsia="標楷體" w:hAnsi="標楷體" w:hint="eastAsia"/>
                <w:szCs w:val="24"/>
              </w:rPr>
              <w:t>為提醒投資人注意風險，</w:t>
            </w:r>
            <w:r w:rsidR="000F40E0">
              <w:rPr>
                <w:rFonts w:ascii="標楷體" w:eastAsia="標楷體" w:hAnsi="標楷體" w:hint="eastAsia"/>
                <w:szCs w:val="24"/>
              </w:rPr>
              <w:t>爰</w:t>
            </w:r>
            <w:r w:rsidR="00BA7F8E" w:rsidRPr="00CD5AD9">
              <w:rPr>
                <w:rFonts w:ascii="標楷體" w:eastAsia="標楷體" w:hAnsi="標楷體" w:hint="eastAsia"/>
                <w:szCs w:val="24"/>
              </w:rPr>
              <w:t>比照普通交易，變更交易方法有價證券申報買賣前證券商應收足款券。</w:t>
            </w:r>
          </w:p>
          <w:p w14:paraId="790311C8" w14:textId="0AFC8899" w:rsidR="00D91CD7" w:rsidRPr="008869F0" w:rsidRDefault="00103950" w:rsidP="00BC5E92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C5E92">
              <w:rPr>
                <w:rFonts w:ascii="標楷體" w:eastAsia="標楷體" w:hAnsi="標楷體" w:hint="eastAsia"/>
                <w:szCs w:val="24"/>
              </w:rPr>
              <w:t>由於</w:t>
            </w:r>
            <w:r w:rsidR="00746D27" w:rsidRPr="00CD5AD9">
              <w:rPr>
                <w:rFonts w:ascii="標楷體" w:eastAsia="標楷體" w:hAnsi="標楷體" w:hint="eastAsia"/>
                <w:szCs w:val="24"/>
              </w:rPr>
              <w:t>上午九時至下午一時三十分</w:t>
            </w:r>
            <w:r w:rsidR="00746D27">
              <w:rPr>
                <w:rFonts w:ascii="標楷體" w:eastAsia="標楷體" w:hAnsi="標楷體" w:hint="eastAsia"/>
                <w:szCs w:val="24"/>
              </w:rPr>
              <w:t>之</w:t>
            </w:r>
            <w:r w:rsidR="00746D27" w:rsidRPr="00CD5AD9">
              <w:rPr>
                <w:rFonts w:ascii="標楷體" w:eastAsia="標楷體" w:hAnsi="標楷體" w:hint="eastAsia"/>
                <w:szCs w:val="24"/>
              </w:rPr>
              <w:t>零股交易</w:t>
            </w:r>
            <w:r w:rsidR="00BA7F8E" w:rsidRPr="00BC5E92">
              <w:rPr>
                <w:rFonts w:ascii="標楷體" w:eastAsia="標楷體" w:hAnsi="標楷體" w:hint="eastAsia"/>
                <w:szCs w:val="24"/>
              </w:rPr>
              <w:t>係採證券商自願參與性質，為避免影響未參與證券商</w:t>
            </w:r>
            <w:r w:rsidR="00985456" w:rsidRPr="00BC5E92">
              <w:rPr>
                <w:rFonts w:ascii="標楷體" w:eastAsia="標楷體" w:hAnsi="標楷體" w:hint="eastAsia"/>
                <w:szCs w:val="24"/>
              </w:rPr>
              <w:t>既有</w:t>
            </w:r>
            <w:r w:rsidR="00BA7F8E" w:rsidRPr="00BC5E92">
              <w:rPr>
                <w:rFonts w:ascii="標楷體" w:eastAsia="標楷體" w:hAnsi="標楷體" w:hint="eastAsia"/>
                <w:szCs w:val="24"/>
              </w:rPr>
              <w:t>作業，</w:t>
            </w:r>
            <w:r w:rsidR="00634443" w:rsidRPr="00BC5E92">
              <w:rPr>
                <w:rFonts w:ascii="標楷體" w:eastAsia="標楷體" w:hAnsi="標楷體" w:hint="eastAsia"/>
                <w:szCs w:val="24"/>
              </w:rPr>
              <w:t>爰維持</w:t>
            </w:r>
            <w:r w:rsidR="007E3116" w:rsidRPr="00BC5E92">
              <w:rPr>
                <w:rFonts w:ascii="標楷體" w:eastAsia="標楷體" w:hAnsi="標楷體" w:hint="eastAsia"/>
                <w:szCs w:val="24"/>
              </w:rPr>
              <w:t>盤後零股</w:t>
            </w:r>
            <w:r w:rsidR="000C6BA8" w:rsidRPr="00BC5E92">
              <w:rPr>
                <w:rFonts w:ascii="標楷體" w:eastAsia="標楷體" w:hAnsi="標楷體" w:hint="eastAsia"/>
                <w:szCs w:val="24"/>
              </w:rPr>
              <w:t>不預收款券</w:t>
            </w:r>
            <w:r w:rsidR="00C46199" w:rsidRPr="00BC5E92">
              <w:rPr>
                <w:rFonts w:ascii="標楷體" w:eastAsia="標楷體" w:hAnsi="標楷體" w:hint="eastAsia"/>
                <w:szCs w:val="24"/>
              </w:rPr>
              <w:t>，</w:t>
            </w:r>
            <w:r w:rsidR="008574F4" w:rsidRPr="00BC5E92">
              <w:rPr>
                <w:rFonts w:ascii="標楷體" w:eastAsia="標楷體" w:hAnsi="標楷體" w:hint="eastAsia"/>
                <w:szCs w:val="24"/>
              </w:rPr>
              <w:t>酌修文字，以利區別</w:t>
            </w:r>
            <w:r w:rsidR="00D91CD7" w:rsidRPr="00BC5E9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29A8BB0" w14:textId="0AA47006" w:rsidR="005D50A5" w:rsidRPr="00255A90" w:rsidRDefault="005D50A5" w:rsidP="00934DF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5589A1B" w14:textId="77777777" w:rsidR="00C97168" w:rsidRPr="003D2CE7" w:rsidRDefault="00C97168"/>
    <w:p w14:paraId="131CFC11" w14:textId="2725984F" w:rsidR="00C97168" w:rsidRDefault="00C97168"/>
    <w:p w14:paraId="6850CF23" w14:textId="6FF6CF42" w:rsidR="00C75A16" w:rsidRDefault="00C75A16"/>
    <w:p w14:paraId="6A7A09C4" w14:textId="692C6A56" w:rsidR="00C75A16" w:rsidRDefault="00C75A16"/>
    <w:p w14:paraId="67F85016" w14:textId="547526AC" w:rsidR="00C75A16" w:rsidRDefault="00C75A16"/>
    <w:p w14:paraId="2D597093" w14:textId="1191E30A" w:rsidR="00C75A16" w:rsidRDefault="00C75A16"/>
    <w:p w14:paraId="24BFC2FD" w14:textId="31A62FC2" w:rsidR="00C75A16" w:rsidRDefault="00C75A16"/>
    <w:p w14:paraId="104739BB" w14:textId="77777777" w:rsidR="00C75A16" w:rsidRDefault="00C75A16" w:rsidP="00C75A16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577248">
        <w:rPr>
          <w:rFonts w:ascii="標楷體" w:eastAsia="標楷體" w:hAnsi="標楷體" w:hint="eastAsia"/>
          <w:b/>
          <w:color w:val="000000"/>
          <w:sz w:val="32"/>
          <w:szCs w:val="36"/>
        </w:rPr>
        <w:t>臺灣證券交易所股份有限公司</w:t>
      </w:r>
      <w:r w:rsidRPr="004E3C26">
        <w:rPr>
          <w:rFonts w:ascii="標楷體" w:eastAsia="標楷體" w:hAnsi="標楷體" w:hint="eastAsia"/>
          <w:b/>
          <w:color w:val="000000"/>
          <w:sz w:val="32"/>
          <w:szCs w:val="36"/>
        </w:rPr>
        <w:t>交易系統與交易傳輸系統發生故障</w:t>
      </w:r>
    </w:p>
    <w:p w14:paraId="177E6353" w14:textId="4CC87F54" w:rsidR="00C75A16" w:rsidRDefault="00C75A16" w:rsidP="00C75A16">
      <w:pPr>
        <w:adjustRightInd w:val="0"/>
        <w:snapToGrid w:val="0"/>
        <w:spacing w:line="300" w:lineRule="auto"/>
        <w:jc w:val="center"/>
      </w:pPr>
      <w:r w:rsidRPr="004E3C26">
        <w:rPr>
          <w:rFonts w:ascii="標楷體" w:eastAsia="標楷體" w:hAnsi="標楷體" w:hint="eastAsia"/>
          <w:b/>
          <w:color w:val="000000"/>
          <w:sz w:val="32"/>
          <w:szCs w:val="36"/>
        </w:rPr>
        <w:t>或中斷之處理措施</w:t>
      </w:r>
      <w:r>
        <w:rPr>
          <w:rFonts w:ascii="標楷體" w:eastAsia="標楷體" w:hAnsi="標楷體" w:hint="eastAsia"/>
          <w:b/>
          <w:color w:val="000000"/>
          <w:sz w:val="32"/>
          <w:szCs w:val="36"/>
        </w:rPr>
        <w:t>第二</w:t>
      </w:r>
      <w:r w:rsidRPr="004E69D9">
        <w:rPr>
          <w:rFonts w:ascii="標楷體" w:eastAsia="標楷體" w:hAnsi="標楷體" w:hint="eastAsia"/>
          <w:b/>
          <w:color w:val="000000"/>
          <w:sz w:val="32"/>
          <w:szCs w:val="36"/>
        </w:rPr>
        <w:t>條</w:t>
      </w:r>
      <w:r w:rsidRPr="00577248">
        <w:rPr>
          <w:rFonts w:ascii="標楷體" w:eastAsia="標楷體" w:hAnsi="標楷體" w:hint="eastAsia"/>
          <w:b/>
          <w:color w:val="000000"/>
          <w:sz w:val="32"/>
          <w:szCs w:val="36"/>
        </w:rPr>
        <w:t>修正</w:t>
      </w:r>
      <w:r>
        <w:rPr>
          <w:rFonts w:ascii="標楷體" w:eastAsia="標楷體" w:hAnsi="標楷體" w:hint="eastAsia"/>
          <w:b/>
          <w:color w:val="000000"/>
          <w:sz w:val="32"/>
          <w:szCs w:val="36"/>
        </w:rPr>
        <w:t>條文</w:t>
      </w:r>
      <w:r w:rsidRPr="00577248">
        <w:rPr>
          <w:rFonts w:ascii="標楷體" w:eastAsia="標楷體" w:hAnsi="標楷體" w:hint="eastAsia"/>
          <w:b/>
          <w:color w:val="000000"/>
          <w:sz w:val="32"/>
          <w:szCs w:val="36"/>
        </w:rPr>
        <w:t>對照表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C75A16" w:rsidRPr="00133DFB" w14:paraId="319C2ECF" w14:textId="77777777" w:rsidTr="00247608">
        <w:tc>
          <w:tcPr>
            <w:tcW w:w="3213" w:type="dxa"/>
            <w:shd w:val="clear" w:color="auto" w:fill="auto"/>
          </w:tcPr>
          <w:p w14:paraId="66B516F4" w14:textId="77777777" w:rsidR="00C75A16" w:rsidRPr="00133DFB" w:rsidRDefault="00C75A16" w:rsidP="0024760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33D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修正條文</w:t>
            </w:r>
          </w:p>
        </w:tc>
        <w:tc>
          <w:tcPr>
            <w:tcW w:w="3213" w:type="dxa"/>
            <w:shd w:val="clear" w:color="auto" w:fill="auto"/>
          </w:tcPr>
          <w:p w14:paraId="4C3E8A7F" w14:textId="77777777" w:rsidR="00C75A16" w:rsidRPr="00133DFB" w:rsidRDefault="00C75A16" w:rsidP="0024760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33D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現行條文</w:t>
            </w:r>
          </w:p>
        </w:tc>
        <w:tc>
          <w:tcPr>
            <w:tcW w:w="3214" w:type="dxa"/>
            <w:shd w:val="clear" w:color="auto" w:fill="auto"/>
          </w:tcPr>
          <w:p w14:paraId="16540DA5" w14:textId="77777777" w:rsidR="00C75A16" w:rsidRPr="00133DFB" w:rsidRDefault="00C75A16" w:rsidP="0024760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33DF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說明</w:t>
            </w:r>
          </w:p>
        </w:tc>
      </w:tr>
      <w:tr w:rsidR="00C75A16" w:rsidRPr="00C5081F" w14:paraId="2A28AA3F" w14:textId="77777777" w:rsidTr="00247608">
        <w:tc>
          <w:tcPr>
            <w:tcW w:w="3213" w:type="dxa"/>
            <w:shd w:val="clear" w:color="auto" w:fill="auto"/>
          </w:tcPr>
          <w:p w14:paraId="4FBC9A0F" w14:textId="77777777" w:rsidR="00C75A16" w:rsidRPr="00426332" w:rsidRDefault="00C75A16" w:rsidP="00247608">
            <w:pPr>
              <w:ind w:left="516" w:hangingChars="215" w:hanging="516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26332">
              <w:rPr>
                <w:rFonts w:ascii="標楷體" w:eastAsia="標楷體" w:hAnsi="標楷體" w:hint="eastAsia"/>
                <w:szCs w:val="24"/>
              </w:rPr>
              <w:t>因交易系統與交易資訊傳輸系統發生故障或中斷致發生下列情事時，本公司確認後二十分鐘內，對外發布系統故障或中斷資訊，經本公司於資訊發布後四十分鐘內查明故障或中斷狀況，確定無法於短期內恢復交易時，應於二十分鐘內宣布暫停交易：</w:t>
            </w:r>
          </w:p>
          <w:p w14:paraId="116F09A5" w14:textId="77777777" w:rsidR="00C75A16" w:rsidRPr="00426332" w:rsidRDefault="00C75A16" w:rsidP="0024760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(一)部分暫停交易：</w:t>
            </w:r>
          </w:p>
          <w:p w14:paraId="6BD1AA66" w14:textId="77777777" w:rsidR="00C75A16" w:rsidRPr="00426332" w:rsidRDefault="00C75A16" w:rsidP="00247608">
            <w:pPr>
              <w:ind w:left="583" w:hangingChars="243" w:hanging="583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任何有價證券無法撮合或撮合顯有錯誤時。</w:t>
            </w:r>
          </w:p>
          <w:p w14:paraId="6582F261" w14:textId="77777777" w:rsidR="00C75A16" w:rsidRPr="00426332" w:rsidRDefault="00C75A16" w:rsidP="00247608">
            <w:pPr>
              <w:ind w:left="619" w:hangingChars="258" w:hanging="619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(二)全部暫停交易(有下列情事之一者)：</w:t>
            </w:r>
          </w:p>
          <w:p w14:paraId="6B995FA8" w14:textId="77777777" w:rsidR="00C75A16" w:rsidRPr="00426332" w:rsidRDefault="00C75A16" w:rsidP="00247608">
            <w:pPr>
              <w:ind w:left="970" w:hangingChars="404" w:hanging="97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 1全部證券商均無法輸入委託資料。</w:t>
            </w:r>
          </w:p>
          <w:p w14:paraId="75F7A9DD" w14:textId="77777777" w:rsidR="00C75A16" w:rsidRPr="00426332" w:rsidRDefault="00C75A16" w:rsidP="00247608">
            <w:pPr>
              <w:ind w:left="970" w:hangingChars="404" w:hanging="97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 2全部證券商均無法接收成交回報。</w:t>
            </w:r>
          </w:p>
          <w:p w14:paraId="393C6A9D" w14:textId="77777777" w:rsidR="00C75A16" w:rsidRPr="00426332" w:rsidRDefault="00C75A16" w:rsidP="00247608">
            <w:pPr>
              <w:ind w:left="970" w:hangingChars="404" w:hanging="97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 3 全部有價證券均無法撮合。</w:t>
            </w:r>
          </w:p>
          <w:p w14:paraId="5DD2CF17" w14:textId="77777777" w:rsidR="00C75A16" w:rsidRPr="00426332" w:rsidRDefault="00C75A16" w:rsidP="00247608">
            <w:pPr>
              <w:ind w:left="970" w:hangingChars="404" w:hanging="97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lastRenderedPageBreak/>
              <w:t xml:space="preserve">      4 證券商營業處所之行情揭示及本公司基本市況報導全部中斷。</w:t>
            </w:r>
          </w:p>
          <w:p w14:paraId="7B5F9F30" w14:textId="77777777" w:rsidR="00C75A16" w:rsidRPr="00426332" w:rsidRDefault="00C75A16" w:rsidP="00247608">
            <w:pPr>
              <w:ind w:left="718" w:hangingChars="299" w:hanging="718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 遇電信局數據線路之故障或中斷時，如合於前項所列條件之一者，適用前項之暫停交易措施。</w:t>
            </w:r>
          </w:p>
          <w:p w14:paraId="1E6ADB9E" w14:textId="77777777" w:rsidR="00C75A16" w:rsidRPr="00133DFB" w:rsidRDefault="00C75A16" w:rsidP="00247608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本公司進行盤後定價交易、</w:t>
            </w:r>
            <w:r w:rsidRPr="00D1464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盤後</w:t>
            </w:r>
            <w:r w:rsidRPr="00426332">
              <w:rPr>
                <w:rFonts w:ascii="標楷體" w:eastAsia="標楷體" w:hAnsi="標楷體" w:hint="eastAsia"/>
                <w:szCs w:val="24"/>
              </w:rPr>
              <w:t>零股交易、拍賣、標購時，如系統發生故障或中斷，本公司即宣布停止該種交易，當日買賣申報全屬無效。</w:t>
            </w:r>
          </w:p>
        </w:tc>
        <w:tc>
          <w:tcPr>
            <w:tcW w:w="3213" w:type="dxa"/>
            <w:shd w:val="clear" w:color="auto" w:fill="auto"/>
          </w:tcPr>
          <w:p w14:paraId="0477F486" w14:textId="77777777" w:rsidR="00C75A16" w:rsidRPr="00426332" w:rsidRDefault="00C75A16" w:rsidP="00247608">
            <w:pPr>
              <w:ind w:left="516" w:hangingChars="215" w:hanging="516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26332">
              <w:rPr>
                <w:rFonts w:ascii="標楷體" w:eastAsia="標楷體" w:hAnsi="標楷體" w:hint="eastAsia"/>
                <w:szCs w:val="24"/>
              </w:rPr>
              <w:t>因交易系統與交易資訊傳輸系統發生故障或中斷致發生下列情事時，本公司確認後二十分鐘內，對外發布系統故障或中斷資訊，經本公司於資訊發布後四十分鐘內查明故障或中斷狀況，確定無法於短期內恢復交易時，應於二十分鐘內宣布暫停交易：</w:t>
            </w:r>
          </w:p>
          <w:p w14:paraId="08EC6E08" w14:textId="77777777" w:rsidR="00C75A16" w:rsidRPr="00426332" w:rsidRDefault="00C75A16" w:rsidP="0024760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(一)部分暫停交易：</w:t>
            </w:r>
          </w:p>
          <w:p w14:paraId="7145E8F8" w14:textId="77777777" w:rsidR="00C75A16" w:rsidRPr="00426332" w:rsidRDefault="00C75A16" w:rsidP="00247608">
            <w:pPr>
              <w:ind w:left="583" w:hangingChars="243" w:hanging="583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任何有價證券無法撮合或撮合顯有錯誤時。</w:t>
            </w:r>
          </w:p>
          <w:p w14:paraId="2207578C" w14:textId="77777777" w:rsidR="00C75A16" w:rsidRPr="00426332" w:rsidRDefault="00C75A16" w:rsidP="00247608">
            <w:pPr>
              <w:ind w:left="619" w:hangingChars="258" w:hanging="619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(二)全部暫停交易(有下列情事之一者)：</w:t>
            </w:r>
          </w:p>
          <w:p w14:paraId="0EB66D9B" w14:textId="77777777" w:rsidR="00C75A16" w:rsidRPr="00426332" w:rsidRDefault="00C75A16" w:rsidP="00247608">
            <w:pPr>
              <w:ind w:left="970" w:hangingChars="404" w:hanging="97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 1全部證券商均無法輸入委託資料。</w:t>
            </w:r>
          </w:p>
          <w:p w14:paraId="07977B53" w14:textId="77777777" w:rsidR="00C75A16" w:rsidRPr="00426332" w:rsidRDefault="00C75A16" w:rsidP="00247608">
            <w:pPr>
              <w:ind w:left="970" w:hangingChars="404" w:hanging="97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 2全部證券商均無法接收成交回報。</w:t>
            </w:r>
          </w:p>
          <w:p w14:paraId="5962D27A" w14:textId="77777777" w:rsidR="00C75A16" w:rsidRPr="00426332" w:rsidRDefault="00C75A16" w:rsidP="00247608">
            <w:pPr>
              <w:ind w:left="970" w:hangingChars="404" w:hanging="97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 3 全部有價證券均無法撮合。</w:t>
            </w:r>
          </w:p>
          <w:p w14:paraId="3F317C6B" w14:textId="77777777" w:rsidR="00C75A16" w:rsidRPr="00426332" w:rsidRDefault="00C75A16" w:rsidP="00247608">
            <w:pPr>
              <w:ind w:left="970" w:hangingChars="404" w:hanging="97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lastRenderedPageBreak/>
              <w:t xml:space="preserve">      4 證券商營業處所之行情揭示及本公司基本市況報導全部中斷。</w:t>
            </w:r>
          </w:p>
          <w:p w14:paraId="687EF680" w14:textId="77777777" w:rsidR="00C75A16" w:rsidRPr="00426332" w:rsidRDefault="00C75A16" w:rsidP="00247608">
            <w:pPr>
              <w:ind w:left="718" w:hangingChars="299" w:hanging="718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  遇電信局數據線路之故障或中斷時，如合於前項所列條件之一者，適用前項之暫停交易措施。</w:t>
            </w:r>
          </w:p>
          <w:p w14:paraId="69C38056" w14:textId="77777777" w:rsidR="00C75A16" w:rsidRPr="00133DFB" w:rsidRDefault="00C75A16" w:rsidP="00247608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26332">
              <w:rPr>
                <w:rFonts w:ascii="標楷體" w:eastAsia="標楷體" w:hAnsi="標楷體" w:hint="eastAsia"/>
                <w:szCs w:val="24"/>
              </w:rPr>
              <w:t xml:space="preserve">    本公司進行盤後定價交易、零股交易、拍賣、標購時，如系統發生故障或中斷，本公司即宣布停止該種交易，當日買賣申報全屬無效。</w:t>
            </w:r>
          </w:p>
        </w:tc>
        <w:tc>
          <w:tcPr>
            <w:tcW w:w="3214" w:type="dxa"/>
            <w:shd w:val="clear" w:color="auto" w:fill="auto"/>
          </w:tcPr>
          <w:p w14:paraId="0C1F5C68" w14:textId="77777777" w:rsidR="00C75A16" w:rsidRPr="00133DFB" w:rsidRDefault="00C75A16" w:rsidP="002476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為因應</w:t>
            </w:r>
            <w:r w:rsidRPr="002B321E">
              <w:rPr>
                <w:rFonts w:ascii="標楷體" w:eastAsia="標楷體" w:hAnsi="標楷體" w:hint="eastAsia"/>
                <w:szCs w:val="24"/>
              </w:rPr>
              <w:t>開放零股交易時間，</w:t>
            </w:r>
            <w:r>
              <w:rPr>
                <w:rFonts w:ascii="標楷體" w:eastAsia="標楷體" w:hAnsi="標楷體" w:hint="eastAsia"/>
                <w:szCs w:val="24"/>
              </w:rPr>
              <w:t>新增文字，述明</w:t>
            </w:r>
            <w:r w:rsidRPr="002B321E">
              <w:rPr>
                <w:rFonts w:ascii="標楷體" w:eastAsia="標楷體" w:hAnsi="標楷體" w:hint="eastAsia"/>
                <w:szCs w:val="24"/>
              </w:rPr>
              <w:t>盤後零股交易</w:t>
            </w:r>
            <w:r w:rsidRPr="00D05536">
              <w:rPr>
                <w:rFonts w:ascii="標楷體" w:eastAsia="標楷體" w:hAnsi="標楷體" w:hint="eastAsia"/>
                <w:szCs w:val="24"/>
              </w:rPr>
              <w:t>如</w:t>
            </w:r>
            <w:r>
              <w:rPr>
                <w:rFonts w:ascii="標楷體" w:eastAsia="標楷體" w:hAnsi="標楷體" w:hint="eastAsia"/>
                <w:szCs w:val="24"/>
              </w:rPr>
              <w:t>遇</w:t>
            </w:r>
            <w:r w:rsidRPr="00D05536">
              <w:rPr>
                <w:rFonts w:ascii="標楷體" w:eastAsia="標楷體" w:hAnsi="標楷體" w:hint="eastAsia"/>
                <w:szCs w:val="24"/>
              </w:rPr>
              <w:t>系統發生故障或中斷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 w:rsidRPr="00D05536">
              <w:rPr>
                <w:rFonts w:ascii="標楷體" w:eastAsia="標楷體" w:hAnsi="標楷體" w:hint="eastAsia"/>
                <w:szCs w:val="24"/>
              </w:rPr>
              <w:t>，本公司即宣布停止該種交易，當日買賣申報全屬無效。</w:t>
            </w:r>
          </w:p>
        </w:tc>
      </w:tr>
    </w:tbl>
    <w:p w14:paraId="7517E9A8" w14:textId="77777777" w:rsidR="00C75A16" w:rsidRPr="005A32B5" w:rsidRDefault="00C75A16" w:rsidP="00C75A16"/>
    <w:p w14:paraId="316BC9C5" w14:textId="77777777" w:rsidR="00C75A16" w:rsidRDefault="00C75A16" w:rsidP="00C75A16"/>
    <w:p w14:paraId="4F82E876" w14:textId="7615FA7A" w:rsidR="00C75A16" w:rsidRPr="00C75A16" w:rsidRDefault="00C75A16"/>
    <w:p w14:paraId="44370E76" w14:textId="2B56A299" w:rsidR="00C75A16" w:rsidRDefault="00C75A16"/>
    <w:p w14:paraId="35A88EEA" w14:textId="59B9A0CA" w:rsidR="00C75A16" w:rsidRDefault="00C75A16"/>
    <w:p w14:paraId="415A3E79" w14:textId="12836F69" w:rsidR="00C75A16" w:rsidRDefault="00C75A16"/>
    <w:p w14:paraId="5755C5C4" w14:textId="1CD70C8F" w:rsidR="00C75A16" w:rsidRDefault="00C75A16"/>
    <w:p w14:paraId="010982C0" w14:textId="371A9F71" w:rsidR="00C75A16" w:rsidRDefault="00C75A16"/>
    <w:p w14:paraId="13637C02" w14:textId="55BCAEF4" w:rsidR="00C75A16" w:rsidRDefault="00C75A16"/>
    <w:p w14:paraId="4290B7EF" w14:textId="77777777" w:rsidR="00C75A16" w:rsidRPr="00C75A16" w:rsidRDefault="00C75A16"/>
    <w:sectPr w:rsidR="00C75A16" w:rsidRPr="00C75A16" w:rsidSect="00577248">
      <w:footerReference w:type="default" r:id="rId8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8052" w14:textId="77777777" w:rsidR="00555104" w:rsidRDefault="00555104" w:rsidP="005F2C99">
      <w:r>
        <w:separator/>
      </w:r>
    </w:p>
  </w:endnote>
  <w:endnote w:type="continuationSeparator" w:id="0">
    <w:p w14:paraId="66CC3D06" w14:textId="77777777" w:rsidR="00555104" w:rsidRDefault="00555104" w:rsidP="005F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6195"/>
      <w:docPartObj>
        <w:docPartGallery w:val="Page Numbers (Bottom of Page)"/>
        <w:docPartUnique/>
      </w:docPartObj>
    </w:sdtPr>
    <w:sdtEndPr/>
    <w:sdtContent>
      <w:p w14:paraId="7DFA37AD" w14:textId="3577FB49" w:rsidR="000078DC" w:rsidRDefault="000078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A9" w:rsidRPr="00A20FA9">
          <w:rPr>
            <w:noProof/>
            <w:lang w:val="zh-TW"/>
          </w:rPr>
          <w:t>1</w:t>
        </w:r>
        <w:r>
          <w:fldChar w:fldCharType="end"/>
        </w:r>
      </w:p>
    </w:sdtContent>
  </w:sdt>
  <w:p w14:paraId="370143EC" w14:textId="77777777" w:rsidR="000078DC" w:rsidRDefault="000078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5D11" w14:textId="77777777" w:rsidR="00555104" w:rsidRDefault="00555104" w:rsidP="005F2C99">
      <w:r>
        <w:separator/>
      </w:r>
    </w:p>
  </w:footnote>
  <w:footnote w:type="continuationSeparator" w:id="0">
    <w:p w14:paraId="7DA96C7A" w14:textId="77777777" w:rsidR="00555104" w:rsidRDefault="00555104" w:rsidP="005F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0E0"/>
    <w:multiLevelType w:val="hybridMultilevel"/>
    <w:tmpl w:val="5FF2523A"/>
    <w:lvl w:ilvl="0" w:tplc="69A2CC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22957"/>
    <w:multiLevelType w:val="hybridMultilevel"/>
    <w:tmpl w:val="4FBAF5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D15C8"/>
    <w:multiLevelType w:val="hybridMultilevel"/>
    <w:tmpl w:val="08283C04"/>
    <w:lvl w:ilvl="0" w:tplc="D79E6C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16F78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92498"/>
    <w:multiLevelType w:val="hybridMultilevel"/>
    <w:tmpl w:val="08283C04"/>
    <w:lvl w:ilvl="0" w:tplc="D79E6C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5510F1"/>
    <w:multiLevelType w:val="hybridMultilevel"/>
    <w:tmpl w:val="62B2A8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725DFB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0F168A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CA5A49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B5025E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6068F7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F7238D"/>
    <w:multiLevelType w:val="hybridMultilevel"/>
    <w:tmpl w:val="71A067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68"/>
    <w:rsid w:val="00001775"/>
    <w:rsid w:val="000078DC"/>
    <w:rsid w:val="00025A78"/>
    <w:rsid w:val="00067A22"/>
    <w:rsid w:val="000A65DB"/>
    <w:rsid w:val="000B4C19"/>
    <w:rsid w:val="000C36A4"/>
    <w:rsid w:val="000C6BA8"/>
    <w:rsid w:val="000D3B0A"/>
    <w:rsid w:val="000D420C"/>
    <w:rsid w:val="000D53E0"/>
    <w:rsid w:val="000D6F18"/>
    <w:rsid w:val="000E6B2C"/>
    <w:rsid w:val="000F0A86"/>
    <w:rsid w:val="000F0D07"/>
    <w:rsid w:val="000F40E0"/>
    <w:rsid w:val="00100547"/>
    <w:rsid w:val="00103950"/>
    <w:rsid w:val="00117672"/>
    <w:rsid w:val="001308C0"/>
    <w:rsid w:val="0013509A"/>
    <w:rsid w:val="00137C86"/>
    <w:rsid w:val="00147A5A"/>
    <w:rsid w:val="001534C6"/>
    <w:rsid w:val="001708DD"/>
    <w:rsid w:val="001A01AC"/>
    <w:rsid w:val="001A232C"/>
    <w:rsid w:val="001A6D77"/>
    <w:rsid w:val="001C2D5D"/>
    <w:rsid w:val="001D0638"/>
    <w:rsid w:val="001D3FBC"/>
    <w:rsid w:val="001F4A9E"/>
    <w:rsid w:val="002001D5"/>
    <w:rsid w:val="0020030E"/>
    <w:rsid w:val="00214839"/>
    <w:rsid w:val="00225147"/>
    <w:rsid w:val="002326DC"/>
    <w:rsid w:val="00234C0E"/>
    <w:rsid w:val="00255A90"/>
    <w:rsid w:val="00265E65"/>
    <w:rsid w:val="00277EFC"/>
    <w:rsid w:val="00287FC2"/>
    <w:rsid w:val="002C113B"/>
    <w:rsid w:val="002D2093"/>
    <w:rsid w:val="002F0353"/>
    <w:rsid w:val="00316E66"/>
    <w:rsid w:val="00326519"/>
    <w:rsid w:val="003329FC"/>
    <w:rsid w:val="003510EC"/>
    <w:rsid w:val="00352F91"/>
    <w:rsid w:val="00374A52"/>
    <w:rsid w:val="00386701"/>
    <w:rsid w:val="003950E9"/>
    <w:rsid w:val="003A3847"/>
    <w:rsid w:val="003B74AE"/>
    <w:rsid w:val="003C39AF"/>
    <w:rsid w:val="003D1A3F"/>
    <w:rsid w:val="003D1DD7"/>
    <w:rsid w:val="003D2CE7"/>
    <w:rsid w:val="003D6F24"/>
    <w:rsid w:val="003E5179"/>
    <w:rsid w:val="00421C9B"/>
    <w:rsid w:val="004344FB"/>
    <w:rsid w:val="004522EC"/>
    <w:rsid w:val="004565E7"/>
    <w:rsid w:val="00461DE6"/>
    <w:rsid w:val="00467F79"/>
    <w:rsid w:val="00474628"/>
    <w:rsid w:val="004A0BCE"/>
    <w:rsid w:val="004C7332"/>
    <w:rsid w:val="004C7BC1"/>
    <w:rsid w:val="004F17E2"/>
    <w:rsid w:val="00501E73"/>
    <w:rsid w:val="00511F20"/>
    <w:rsid w:val="005128B0"/>
    <w:rsid w:val="0053051A"/>
    <w:rsid w:val="00554632"/>
    <w:rsid w:val="00555104"/>
    <w:rsid w:val="00557B98"/>
    <w:rsid w:val="00570407"/>
    <w:rsid w:val="00577248"/>
    <w:rsid w:val="00580D55"/>
    <w:rsid w:val="005A31E6"/>
    <w:rsid w:val="005A32B5"/>
    <w:rsid w:val="005D0D5C"/>
    <w:rsid w:val="005D3330"/>
    <w:rsid w:val="005D50A5"/>
    <w:rsid w:val="005E6EA0"/>
    <w:rsid w:val="005F2C99"/>
    <w:rsid w:val="005F6AB7"/>
    <w:rsid w:val="0060719A"/>
    <w:rsid w:val="006152A6"/>
    <w:rsid w:val="00622DFA"/>
    <w:rsid w:val="006300CA"/>
    <w:rsid w:val="00634443"/>
    <w:rsid w:val="0063798F"/>
    <w:rsid w:val="0066412A"/>
    <w:rsid w:val="006748F5"/>
    <w:rsid w:val="00675B32"/>
    <w:rsid w:val="00680671"/>
    <w:rsid w:val="006905E1"/>
    <w:rsid w:val="00697223"/>
    <w:rsid w:val="006A0FE4"/>
    <w:rsid w:val="006D0C2F"/>
    <w:rsid w:val="006D533C"/>
    <w:rsid w:val="006E66B4"/>
    <w:rsid w:val="006F0C49"/>
    <w:rsid w:val="00707D70"/>
    <w:rsid w:val="00710E19"/>
    <w:rsid w:val="007132A5"/>
    <w:rsid w:val="007159DA"/>
    <w:rsid w:val="0071644D"/>
    <w:rsid w:val="007245F4"/>
    <w:rsid w:val="00724B8E"/>
    <w:rsid w:val="00746D27"/>
    <w:rsid w:val="00753B3B"/>
    <w:rsid w:val="00774DBF"/>
    <w:rsid w:val="007A3004"/>
    <w:rsid w:val="007B53AE"/>
    <w:rsid w:val="007C4BAB"/>
    <w:rsid w:val="007E3116"/>
    <w:rsid w:val="007E4F55"/>
    <w:rsid w:val="007E5E85"/>
    <w:rsid w:val="007E743C"/>
    <w:rsid w:val="0080110D"/>
    <w:rsid w:val="00804011"/>
    <w:rsid w:val="00813A3D"/>
    <w:rsid w:val="00832CC7"/>
    <w:rsid w:val="0083500F"/>
    <w:rsid w:val="00844FFB"/>
    <w:rsid w:val="00855715"/>
    <w:rsid w:val="008574F4"/>
    <w:rsid w:val="008620ED"/>
    <w:rsid w:val="008649B6"/>
    <w:rsid w:val="008803E8"/>
    <w:rsid w:val="008869F0"/>
    <w:rsid w:val="008952DE"/>
    <w:rsid w:val="00896AA1"/>
    <w:rsid w:val="008E1747"/>
    <w:rsid w:val="008F030E"/>
    <w:rsid w:val="00903BEA"/>
    <w:rsid w:val="00913959"/>
    <w:rsid w:val="00914742"/>
    <w:rsid w:val="00916D13"/>
    <w:rsid w:val="00934DF8"/>
    <w:rsid w:val="0094027D"/>
    <w:rsid w:val="009716A8"/>
    <w:rsid w:val="00975D15"/>
    <w:rsid w:val="00975EC0"/>
    <w:rsid w:val="00985456"/>
    <w:rsid w:val="00986B21"/>
    <w:rsid w:val="00990591"/>
    <w:rsid w:val="00996BEF"/>
    <w:rsid w:val="009A6EA5"/>
    <w:rsid w:val="009B5F72"/>
    <w:rsid w:val="009D1087"/>
    <w:rsid w:val="009D3466"/>
    <w:rsid w:val="009E2382"/>
    <w:rsid w:val="009E513C"/>
    <w:rsid w:val="009F5474"/>
    <w:rsid w:val="00A122DC"/>
    <w:rsid w:val="00A20FA9"/>
    <w:rsid w:val="00A24D23"/>
    <w:rsid w:val="00A42BF5"/>
    <w:rsid w:val="00A47B34"/>
    <w:rsid w:val="00A52020"/>
    <w:rsid w:val="00A717DD"/>
    <w:rsid w:val="00AA02F2"/>
    <w:rsid w:val="00AC2615"/>
    <w:rsid w:val="00AE6E90"/>
    <w:rsid w:val="00B023D2"/>
    <w:rsid w:val="00B026D0"/>
    <w:rsid w:val="00B04BB9"/>
    <w:rsid w:val="00B42361"/>
    <w:rsid w:val="00B54FC8"/>
    <w:rsid w:val="00B60907"/>
    <w:rsid w:val="00B6426F"/>
    <w:rsid w:val="00B74D81"/>
    <w:rsid w:val="00B908F0"/>
    <w:rsid w:val="00BA0B8F"/>
    <w:rsid w:val="00BA7F13"/>
    <w:rsid w:val="00BA7F8E"/>
    <w:rsid w:val="00BB0792"/>
    <w:rsid w:val="00BC5E92"/>
    <w:rsid w:val="00BC782A"/>
    <w:rsid w:val="00BE0A57"/>
    <w:rsid w:val="00BE68EF"/>
    <w:rsid w:val="00C35DC6"/>
    <w:rsid w:val="00C40E94"/>
    <w:rsid w:val="00C45006"/>
    <w:rsid w:val="00C46199"/>
    <w:rsid w:val="00C60C3B"/>
    <w:rsid w:val="00C75789"/>
    <w:rsid w:val="00C75A16"/>
    <w:rsid w:val="00C872C6"/>
    <w:rsid w:val="00C945D9"/>
    <w:rsid w:val="00C97168"/>
    <w:rsid w:val="00CA4919"/>
    <w:rsid w:val="00CA5E13"/>
    <w:rsid w:val="00CB2C00"/>
    <w:rsid w:val="00CB3C33"/>
    <w:rsid w:val="00CB6F1B"/>
    <w:rsid w:val="00CD5AD9"/>
    <w:rsid w:val="00CD78BB"/>
    <w:rsid w:val="00CE2F76"/>
    <w:rsid w:val="00CF423D"/>
    <w:rsid w:val="00D15C7A"/>
    <w:rsid w:val="00D36AD7"/>
    <w:rsid w:val="00D472D0"/>
    <w:rsid w:val="00D565FF"/>
    <w:rsid w:val="00D91CD7"/>
    <w:rsid w:val="00DA66D5"/>
    <w:rsid w:val="00DB0076"/>
    <w:rsid w:val="00DB56E7"/>
    <w:rsid w:val="00DF73DF"/>
    <w:rsid w:val="00E03056"/>
    <w:rsid w:val="00E03C37"/>
    <w:rsid w:val="00E0625A"/>
    <w:rsid w:val="00E06911"/>
    <w:rsid w:val="00E14EAF"/>
    <w:rsid w:val="00E17CF4"/>
    <w:rsid w:val="00E23752"/>
    <w:rsid w:val="00E26BF4"/>
    <w:rsid w:val="00E2730A"/>
    <w:rsid w:val="00E319BA"/>
    <w:rsid w:val="00E35069"/>
    <w:rsid w:val="00E570AA"/>
    <w:rsid w:val="00E576E3"/>
    <w:rsid w:val="00E640C0"/>
    <w:rsid w:val="00EA530A"/>
    <w:rsid w:val="00EC6791"/>
    <w:rsid w:val="00EE6DB0"/>
    <w:rsid w:val="00F075A6"/>
    <w:rsid w:val="00F15B09"/>
    <w:rsid w:val="00F2682A"/>
    <w:rsid w:val="00F37800"/>
    <w:rsid w:val="00F37B19"/>
    <w:rsid w:val="00F40E5A"/>
    <w:rsid w:val="00F451BD"/>
    <w:rsid w:val="00F4635B"/>
    <w:rsid w:val="00F55464"/>
    <w:rsid w:val="00F567DB"/>
    <w:rsid w:val="00F56CED"/>
    <w:rsid w:val="00F61E61"/>
    <w:rsid w:val="00F678DA"/>
    <w:rsid w:val="00F8059D"/>
    <w:rsid w:val="00F815D2"/>
    <w:rsid w:val="00F81E70"/>
    <w:rsid w:val="00F8566A"/>
    <w:rsid w:val="00F941FD"/>
    <w:rsid w:val="00F95C7F"/>
    <w:rsid w:val="00F977D8"/>
    <w:rsid w:val="00FD6DA4"/>
    <w:rsid w:val="00FD6E5D"/>
    <w:rsid w:val="00FE243D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370F2"/>
  <w15:chartTrackingRefBased/>
  <w15:docId w15:val="{DF5AF2D2-FCFA-4CBE-837B-6C60CFC3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68"/>
    <w:pPr>
      <w:ind w:leftChars="200" w:left="480"/>
    </w:pPr>
  </w:style>
  <w:style w:type="table" w:styleId="a4">
    <w:name w:val="Table Grid"/>
    <w:basedOn w:val="a1"/>
    <w:uiPriority w:val="39"/>
    <w:rsid w:val="00C9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2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C9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245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7245F4"/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8276-18E0-41AF-B749-8FF88839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1489</Characters>
  <Application>Microsoft Office Word</Application>
  <DocSecurity>4</DocSecurity>
  <Lines>12</Lines>
  <Paragraphs>3</Paragraphs>
  <ScaleCrop>false</ScaleCrop>
  <Company>TWSE 臺灣證券交易所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王崇叡</dc:creator>
  <cp:keywords/>
  <dc:description/>
  <cp:lastModifiedBy>劉貞佑</cp:lastModifiedBy>
  <cp:revision>2</cp:revision>
  <dcterms:created xsi:type="dcterms:W3CDTF">2020-07-30T08:18:00Z</dcterms:created>
  <dcterms:modified xsi:type="dcterms:W3CDTF">2020-07-30T08:18:00Z</dcterms:modified>
</cp:coreProperties>
</file>