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0E" w:rsidRPr="00087946" w:rsidRDefault="0096720E" w:rsidP="0096720E">
      <w:pPr>
        <w:spacing w:line="500" w:lineRule="exact"/>
        <w:ind w:leftChars="-295" w:left="-708" w:rightChars="-142" w:right="-341"/>
        <w:jc w:val="center"/>
        <w:rPr>
          <w:rFonts w:ascii="標楷體" w:eastAsia="標楷體" w:hAnsi="標楷體"/>
          <w:b/>
          <w:sz w:val="36"/>
          <w:lang w:eastAsia="zh-TW"/>
        </w:rPr>
      </w:pPr>
      <w:r w:rsidRPr="00087946">
        <w:rPr>
          <w:rFonts w:ascii="標楷體" w:eastAsia="標楷體" w:hAnsi="標楷體" w:hint="eastAsia"/>
          <w:b/>
          <w:bCs/>
          <w:sz w:val="36"/>
          <w:lang w:eastAsia="zh-TW"/>
        </w:rPr>
        <w:t>臺灣證券交易所股份有限公司營業細則</w:t>
      </w:r>
      <w:r w:rsidR="009950AF">
        <w:rPr>
          <w:rFonts w:ascii="標楷體" w:eastAsia="標楷體" w:hAnsi="標楷體" w:hint="eastAsia"/>
          <w:b/>
          <w:bCs/>
          <w:sz w:val="36"/>
          <w:lang w:eastAsia="zh-TW"/>
        </w:rPr>
        <w:t>第六十三條</w:t>
      </w:r>
      <w:r w:rsidRPr="00087946">
        <w:rPr>
          <w:rFonts w:ascii="標楷體" w:eastAsia="標楷體" w:hAnsi="標楷體" w:hint="eastAsia"/>
          <w:b/>
          <w:bCs/>
          <w:sz w:val="36"/>
          <w:lang w:eastAsia="zh-TW"/>
        </w:rPr>
        <w:t>修正條文對照表</w:t>
      </w:r>
    </w:p>
    <w:tbl>
      <w:tblPr>
        <w:tblW w:w="10489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3"/>
        <w:gridCol w:w="3573"/>
        <w:gridCol w:w="3343"/>
      </w:tblGrid>
      <w:tr w:rsidR="0096720E" w:rsidRPr="005C1396" w:rsidTr="006D433C">
        <w:trPr>
          <w:cantSplit/>
          <w:tblHeader/>
        </w:trPr>
        <w:tc>
          <w:tcPr>
            <w:tcW w:w="3573" w:type="dxa"/>
            <w:vAlign w:val="center"/>
          </w:tcPr>
          <w:p w:rsidR="0096720E" w:rsidRPr="005C1396" w:rsidRDefault="0096720E" w:rsidP="006D433C">
            <w:pPr>
              <w:spacing w:line="320" w:lineRule="exact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5C1396">
              <w:rPr>
                <w:rFonts w:ascii="Times New Roman" w:eastAsia="標楷體" w:hAnsi="Times New Roman"/>
                <w:b/>
                <w:bCs/>
                <w:sz w:val="28"/>
                <w:lang w:eastAsia="zh-TW"/>
              </w:rPr>
              <w:t xml:space="preserve">  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修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正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條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 xml:space="preserve">　文</w:t>
            </w:r>
          </w:p>
        </w:tc>
        <w:tc>
          <w:tcPr>
            <w:tcW w:w="3573" w:type="dxa"/>
          </w:tcPr>
          <w:p w:rsidR="0096720E" w:rsidRPr="005C1396" w:rsidRDefault="0096720E" w:rsidP="006D433C">
            <w:pPr>
              <w:spacing w:line="320" w:lineRule="exact"/>
              <w:ind w:left="269" w:hangingChars="96" w:hanging="269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5C1396">
              <w:rPr>
                <w:rFonts w:ascii="Times New Roman" w:eastAsia="標楷體" w:hAnsi="Times New Roman"/>
                <w:b/>
                <w:bCs/>
                <w:sz w:val="28"/>
                <w:lang w:eastAsia="zh-TW"/>
              </w:rPr>
              <w:t xml:space="preserve"> 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現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行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條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文</w:t>
            </w:r>
          </w:p>
        </w:tc>
        <w:tc>
          <w:tcPr>
            <w:tcW w:w="3343" w:type="dxa"/>
            <w:vAlign w:val="center"/>
          </w:tcPr>
          <w:p w:rsidR="0096720E" w:rsidRPr="005C1396" w:rsidRDefault="0096720E" w:rsidP="006D433C">
            <w:pPr>
              <w:spacing w:line="320" w:lineRule="exact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說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     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明</w:t>
            </w:r>
          </w:p>
        </w:tc>
      </w:tr>
      <w:tr w:rsidR="0096720E" w:rsidRPr="005C1396" w:rsidTr="006D433C">
        <w:trPr>
          <w:cantSplit/>
          <w:tblHeader/>
        </w:trPr>
        <w:tc>
          <w:tcPr>
            <w:tcW w:w="3573" w:type="dxa"/>
          </w:tcPr>
          <w:p w:rsidR="0096720E" w:rsidRPr="005C1396" w:rsidRDefault="0096720E" w:rsidP="006D433C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第</w:t>
            </w:r>
            <w:r w:rsidR="00EF7213" w:rsidRPr="00EF7213">
              <w:rPr>
                <w:rFonts w:ascii="Times New Roman" w:eastAsia="標楷體" w:hAnsi="Times New Roman" w:hint="eastAsia"/>
                <w:bCs/>
                <w:sz w:val="28"/>
                <w:lang w:eastAsia="zh-TW"/>
              </w:rPr>
              <w:t>六十三</w:t>
            </w: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條</w:t>
            </w:r>
          </w:p>
          <w:p w:rsidR="0096720E" w:rsidRPr="005C1396" w:rsidRDefault="0096720E" w:rsidP="0096720E">
            <w:pPr>
              <w:spacing w:line="320" w:lineRule="exact"/>
              <w:ind w:leftChars="-7" w:left="-3" w:hangingChars="5" w:hanging="14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有價證券每日市價升降度，除主管機關另有核定者外，股票價格以漲至或跌至當市開盤競價基準百分之</w:t>
            </w:r>
            <w:r w:rsidRPr="005C1396">
              <w:rPr>
                <w:rFonts w:ascii="Times New Roman" w:eastAsia="標楷體" w:hAnsi="標楷體"/>
                <w:bCs/>
                <w:sz w:val="28"/>
                <w:u w:val="single"/>
                <w:lang w:eastAsia="zh-TW"/>
              </w:rPr>
              <w:t>十</w:t>
            </w: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為限，債券價格以漲至或跌至當市開盤競價基準百分之五為限。但升降幅度限度未滿最小升降單位者，按最小升降單位計算，且價格以跌至最小升降單位為限。</w:t>
            </w:r>
          </w:p>
          <w:p w:rsidR="0096720E" w:rsidRPr="005C1396" w:rsidRDefault="0096720E" w:rsidP="0096720E">
            <w:pPr>
              <w:spacing w:line="320" w:lineRule="exact"/>
              <w:ind w:leftChars="-7" w:left="-3" w:hangingChars="5" w:hanging="14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</w:p>
          <w:p w:rsidR="0096720E" w:rsidRPr="005C1396" w:rsidRDefault="0096720E" w:rsidP="006D433C">
            <w:pPr>
              <w:spacing w:line="320" w:lineRule="exact"/>
              <w:ind w:left="269" w:hangingChars="96" w:hanging="269"/>
              <w:rPr>
                <w:rFonts w:ascii="Times New Roman" w:eastAsia="標楷體" w:hAnsi="Times New Roman"/>
                <w:b/>
                <w:bCs/>
                <w:sz w:val="28"/>
                <w:lang w:eastAsia="zh-TW"/>
              </w:rPr>
            </w:pPr>
            <w:r w:rsidRPr="005C1396">
              <w:rPr>
                <w:rFonts w:ascii="Times New Roman" w:eastAsia="標楷體" w:hAnsi="Times New Roman"/>
                <w:bCs/>
                <w:sz w:val="28"/>
                <w:lang w:eastAsia="zh-TW"/>
              </w:rPr>
              <w:t>(</w:t>
            </w: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以下略</w:t>
            </w:r>
            <w:r w:rsidRPr="005C1396">
              <w:rPr>
                <w:rFonts w:ascii="Times New Roman" w:eastAsia="標楷體" w:hAnsi="Times New Roman"/>
                <w:bCs/>
                <w:sz w:val="28"/>
                <w:lang w:eastAsia="zh-TW"/>
              </w:rPr>
              <w:t>)</w:t>
            </w:r>
          </w:p>
        </w:tc>
        <w:tc>
          <w:tcPr>
            <w:tcW w:w="3573" w:type="dxa"/>
          </w:tcPr>
          <w:p w:rsidR="0096720E" w:rsidRPr="005C1396" w:rsidRDefault="0096720E" w:rsidP="006D433C">
            <w:pPr>
              <w:spacing w:line="320" w:lineRule="exact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第</w:t>
            </w:r>
            <w:r w:rsidR="00EF7213" w:rsidRPr="00EF7213">
              <w:rPr>
                <w:rFonts w:ascii="Times New Roman" w:eastAsia="標楷體" w:hAnsi="Times New Roman" w:hint="eastAsia"/>
                <w:bCs/>
                <w:sz w:val="28"/>
                <w:lang w:eastAsia="zh-TW"/>
              </w:rPr>
              <w:t>六十三</w:t>
            </w: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條</w:t>
            </w:r>
          </w:p>
          <w:p w:rsidR="0096720E" w:rsidRPr="005C1396" w:rsidRDefault="0096720E" w:rsidP="0096720E">
            <w:pPr>
              <w:spacing w:line="320" w:lineRule="exact"/>
              <w:ind w:leftChars="-7" w:left="-3" w:hangingChars="5" w:hanging="14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有價證券每日市價升降度，除主管機關另有核定者外，股票價格以漲至或跌至當市開盤競價基準百分之</w:t>
            </w:r>
            <w:r w:rsidRPr="005173CC">
              <w:rPr>
                <w:rFonts w:ascii="Times New Roman" w:eastAsia="標楷體" w:hAnsi="標楷體"/>
                <w:bCs/>
                <w:sz w:val="28"/>
                <w:lang w:eastAsia="zh-TW"/>
              </w:rPr>
              <w:t>七</w:t>
            </w: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為限，債券價格以漲至或跌至當市開盤競價基準百分之五為限。但升降幅度限度未滿最小升降單位者，按最小升降單位計算，且價格以跌至最小升降單位為限。</w:t>
            </w:r>
          </w:p>
          <w:p w:rsidR="0096720E" w:rsidRPr="005C1396" w:rsidRDefault="0096720E" w:rsidP="0096720E">
            <w:pPr>
              <w:spacing w:line="320" w:lineRule="exact"/>
              <w:ind w:leftChars="-7" w:left="-3" w:hangingChars="5" w:hanging="14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</w:p>
          <w:p w:rsidR="0096720E" w:rsidRPr="005C1396" w:rsidRDefault="0096720E" w:rsidP="0096720E">
            <w:pPr>
              <w:spacing w:line="320" w:lineRule="exact"/>
              <w:ind w:leftChars="-7" w:left="-3" w:hangingChars="5" w:hanging="14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  <w:r w:rsidRPr="005C1396">
              <w:rPr>
                <w:rFonts w:ascii="Times New Roman" w:eastAsia="標楷體" w:hAnsi="Times New Roman"/>
                <w:bCs/>
                <w:sz w:val="28"/>
                <w:lang w:eastAsia="zh-TW"/>
              </w:rPr>
              <w:t>(</w:t>
            </w: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以下略</w:t>
            </w:r>
            <w:r w:rsidRPr="005C1396">
              <w:rPr>
                <w:rFonts w:ascii="Times New Roman" w:eastAsia="標楷體" w:hAnsi="Times New Roman"/>
                <w:bCs/>
                <w:sz w:val="28"/>
                <w:lang w:eastAsia="zh-TW"/>
              </w:rPr>
              <w:t>)</w:t>
            </w:r>
          </w:p>
        </w:tc>
        <w:tc>
          <w:tcPr>
            <w:tcW w:w="3343" w:type="dxa"/>
          </w:tcPr>
          <w:p w:rsidR="0096720E" w:rsidRPr="005173CC" w:rsidRDefault="0096720E" w:rsidP="0096720E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lang w:eastAsia="zh-TW"/>
              </w:rPr>
            </w:pPr>
            <w:r w:rsidRPr="005173CC"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配合放寬漲跌幅度，修正文字內容。</w:t>
            </w:r>
          </w:p>
        </w:tc>
      </w:tr>
    </w:tbl>
    <w:p w:rsidR="00E37789" w:rsidRDefault="00E37789">
      <w:pPr>
        <w:rPr>
          <w:lang w:eastAsia="zh-TW"/>
        </w:rPr>
      </w:pPr>
    </w:p>
    <w:sectPr w:rsidR="00E37789" w:rsidSect="00E377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7A" w:rsidRDefault="0008697A" w:rsidP="009950AF">
      <w:r>
        <w:separator/>
      </w:r>
    </w:p>
  </w:endnote>
  <w:endnote w:type="continuationSeparator" w:id="0">
    <w:p w:rsidR="0008697A" w:rsidRDefault="0008697A" w:rsidP="0099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7A" w:rsidRDefault="0008697A" w:rsidP="009950AF">
      <w:r>
        <w:separator/>
      </w:r>
    </w:p>
  </w:footnote>
  <w:footnote w:type="continuationSeparator" w:id="0">
    <w:p w:rsidR="0008697A" w:rsidRDefault="0008697A" w:rsidP="00995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20E"/>
    <w:rsid w:val="0008697A"/>
    <w:rsid w:val="001B405D"/>
    <w:rsid w:val="001C2661"/>
    <w:rsid w:val="003600B7"/>
    <w:rsid w:val="00405E53"/>
    <w:rsid w:val="004A1621"/>
    <w:rsid w:val="004E4140"/>
    <w:rsid w:val="005173CC"/>
    <w:rsid w:val="0057338F"/>
    <w:rsid w:val="005C1396"/>
    <w:rsid w:val="00604FAA"/>
    <w:rsid w:val="00676BEE"/>
    <w:rsid w:val="006A2C85"/>
    <w:rsid w:val="006C6000"/>
    <w:rsid w:val="00742B73"/>
    <w:rsid w:val="0096720E"/>
    <w:rsid w:val="009950AF"/>
    <w:rsid w:val="00C1271F"/>
    <w:rsid w:val="00C817FA"/>
    <w:rsid w:val="00D82B4B"/>
    <w:rsid w:val="00E37789"/>
    <w:rsid w:val="00EF7213"/>
    <w:rsid w:val="00F513FD"/>
    <w:rsid w:val="00FE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0E"/>
    <w:rPr>
      <w:rFonts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50AF"/>
    <w:rPr>
      <w:rFonts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995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50AF"/>
    <w:rPr>
      <w:rFonts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dcterms:created xsi:type="dcterms:W3CDTF">2015-04-08T01:50:00Z</dcterms:created>
  <dcterms:modified xsi:type="dcterms:W3CDTF">2015-04-08T01:50:00Z</dcterms:modified>
</cp:coreProperties>
</file>