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77" w:rsidRPr="00C2773B" w:rsidRDefault="00225777" w:rsidP="00225777">
      <w:pPr>
        <w:pStyle w:val="HTML"/>
        <w:jc w:val="center"/>
        <w:rPr>
          <w:rFonts w:ascii="Book Antiqua" w:eastAsia="標楷體" w:hAnsi="標楷體"/>
          <w:b/>
          <w:color w:val="000000"/>
          <w:sz w:val="28"/>
          <w:szCs w:val="28"/>
        </w:rPr>
      </w:pPr>
      <w:r w:rsidRPr="00C2773B">
        <w:rPr>
          <w:rFonts w:ascii="Book Antiqua" w:eastAsia="標楷體" w:hAnsi="標楷體"/>
          <w:b/>
          <w:color w:val="000000"/>
          <w:sz w:val="28"/>
          <w:szCs w:val="28"/>
        </w:rPr>
        <w:t>臺灣證券交易所股份有限公司對有價證券上市公司及境外指數股票型基金上市之境外基金機構資訊申報作業辦法</w:t>
      </w:r>
      <w:r w:rsidR="00851929">
        <w:rPr>
          <w:rFonts w:ascii="Book Antiqua" w:eastAsia="標楷體" w:hAnsi="標楷體" w:hint="eastAsia"/>
          <w:b/>
          <w:color w:val="000000"/>
          <w:sz w:val="28"/>
          <w:szCs w:val="28"/>
        </w:rPr>
        <w:t>第三條</w:t>
      </w:r>
      <w:r w:rsidRPr="004A1DFD">
        <w:rPr>
          <w:rFonts w:ascii="Book Antiqua" w:eastAsia="標楷體" w:hAnsi="標楷體"/>
          <w:b/>
          <w:color w:val="000000"/>
          <w:sz w:val="28"/>
          <w:szCs w:val="28"/>
        </w:rPr>
        <w:t>修正條文對照表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87"/>
        <w:gridCol w:w="2787"/>
        <w:gridCol w:w="2788"/>
      </w:tblGrid>
      <w:tr w:rsidR="00225777" w:rsidRPr="00541E49" w:rsidTr="00D658D4">
        <w:trPr>
          <w:tblHeader/>
        </w:trPr>
        <w:tc>
          <w:tcPr>
            <w:tcW w:w="2787" w:type="dxa"/>
          </w:tcPr>
          <w:p w:rsidR="00225777" w:rsidRPr="00541E49" w:rsidRDefault="00225777" w:rsidP="00D658D4">
            <w:pPr>
              <w:rPr>
                <w:rFonts w:ascii="Book Antiqua" w:eastAsia="標楷體" w:hAnsi="Book Antiqua"/>
                <w:color w:val="000000"/>
              </w:rPr>
            </w:pPr>
            <w:r w:rsidRPr="00541E49">
              <w:rPr>
                <w:rFonts w:ascii="Book Antiqua" w:eastAsia="標楷體" w:hAnsi="標楷體"/>
                <w:color w:val="000000"/>
              </w:rPr>
              <w:t>修正條文</w:t>
            </w:r>
          </w:p>
        </w:tc>
        <w:tc>
          <w:tcPr>
            <w:tcW w:w="2787" w:type="dxa"/>
          </w:tcPr>
          <w:p w:rsidR="00225777" w:rsidRPr="00541E49" w:rsidRDefault="00225777" w:rsidP="00D658D4">
            <w:pPr>
              <w:rPr>
                <w:rFonts w:ascii="Book Antiqua" w:eastAsia="標楷體" w:hAnsi="Book Antiqua"/>
                <w:color w:val="000000"/>
              </w:rPr>
            </w:pPr>
            <w:r w:rsidRPr="00541E49">
              <w:rPr>
                <w:rFonts w:ascii="Book Antiqua" w:eastAsia="標楷體" w:hAnsi="標楷體"/>
                <w:color w:val="000000"/>
              </w:rPr>
              <w:t>現行條文</w:t>
            </w:r>
          </w:p>
        </w:tc>
        <w:tc>
          <w:tcPr>
            <w:tcW w:w="2788" w:type="dxa"/>
          </w:tcPr>
          <w:p w:rsidR="00225777" w:rsidRPr="00541E49" w:rsidRDefault="00225777" w:rsidP="00D658D4">
            <w:pPr>
              <w:rPr>
                <w:rFonts w:ascii="Book Antiqua" w:eastAsia="標楷體" w:hAnsi="Book Antiqua"/>
                <w:color w:val="000000"/>
              </w:rPr>
            </w:pPr>
            <w:r w:rsidRPr="00541E49">
              <w:rPr>
                <w:rFonts w:ascii="Book Antiqua" w:eastAsia="標楷體" w:hAnsi="標楷體"/>
                <w:color w:val="000000"/>
              </w:rPr>
              <w:t>說明</w:t>
            </w:r>
          </w:p>
        </w:tc>
      </w:tr>
      <w:tr w:rsidR="00225777" w:rsidRPr="00541E49" w:rsidTr="00D658D4">
        <w:tc>
          <w:tcPr>
            <w:tcW w:w="2787" w:type="dxa"/>
          </w:tcPr>
          <w:p w:rsidR="00225777" w:rsidRPr="00387502" w:rsidRDefault="00225777" w:rsidP="00D658D4">
            <w:pPr>
              <w:jc w:val="both"/>
              <w:rPr>
                <w:rFonts w:ascii="標楷體" w:eastAsia="標楷體" w:hAnsi="標楷體" w:cs="細明體"/>
                <w:color w:val="333333"/>
                <w:kern w:val="0"/>
              </w:rPr>
            </w:pPr>
            <w:r w:rsidRPr="00387502">
              <w:rPr>
                <w:rFonts w:ascii="標楷體" w:eastAsia="標楷體" w:hAnsi="標楷體" w:cs="細明體"/>
                <w:color w:val="333333"/>
                <w:kern w:val="0"/>
              </w:rPr>
              <w:t>第</w:t>
            </w:r>
            <w:r w:rsidRPr="00387502">
              <w:rPr>
                <w:rFonts w:ascii="標楷體" w:eastAsia="標楷體" w:hAnsi="標楷體" w:cs="細明體" w:hint="eastAsia"/>
                <w:color w:val="333333"/>
                <w:kern w:val="0"/>
              </w:rPr>
              <w:t>三</w:t>
            </w:r>
            <w:r w:rsidRPr="00387502">
              <w:rPr>
                <w:rFonts w:ascii="標楷體" w:eastAsia="標楷體" w:hAnsi="標楷體" w:cs="細明體"/>
                <w:color w:val="333333"/>
                <w:kern w:val="0"/>
              </w:rPr>
              <w:t>條</w:t>
            </w:r>
          </w:p>
          <w:p w:rsidR="00225777" w:rsidRPr="00387502" w:rsidRDefault="00225777" w:rsidP="00D658D4">
            <w:pPr>
              <w:pStyle w:val="HTML"/>
              <w:jc w:val="both"/>
              <w:rPr>
                <w:rFonts w:ascii="標楷體" w:eastAsia="標楷體" w:hAnsi="標楷體"/>
              </w:rPr>
            </w:pPr>
            <w:r w:rsidRPr="00387502">
              <w:rPr>
                <w:rFonts w:ascii="標楷體" w:eastAsia="標楷體" w:hAnsi="標楷體" w:hint="eastAsia"/>
              </w:rPr>
              <w:t>（第一項～</w:t>
            </w:r>
            <w:r>
              <w:rPr>
                <w:rFonts w:ascii="標楷體" w:eastAsia="標楷體" w:hAnsi="標楷體" w:hint="eastAsia"/>
              </w:rPr>
              <w:t>第四項</w:t>
            </w:r>
            <w:r w:rsidRPr="00387502">
              <w:rPr>
                <w:rFonts w:ascii="標楷體" w:eastAsia="標楷體" w:hAnsi="標楷體" w:hint="eastAsia"/>
              </w:rPr>
              <w:t>略）</w:t>
            </w:r>
          </w:p>
          <w:p w:rsidR="00225777" w:rsidRPr="00240693" w:rsidRDefault="00225777" w:rsidP="00225777">
            <w:pPr>
              <w:pStyle w:val="HTML"/>
              <w:jc w:val="both"/>
              <w:rPr>
                <w:rFonts w:ascii="標楷體" w:eastAsia="標楷體" w:hAnsi="標楷體"/>
              </w:rPr>
            </w:pPr>
            <w:r w:rsidRPr="00240693">
              <w:rPr>
                <w:rFonts w:ascii="標楷體" w:eastAsia="標楷體" w:hAnsi="標楷體"/>
              </w:rPr>
              <w:t>以指數股票型證券投資信託基金（以下簡稱指數股票型基金）之受益憑證</w:t>
            </w:r>
          </w:p>
          <w:p w:rsidR="00225777" w:rsidRPr="00240693" w:rsidRDefault="00225777" w:rsidP="00225777">
            <w:pPr>
              <w:pStyle w:val="HTML"/>
              <w:jc w:val="both"/>
              <w:rPr>
                <w:rFonts w:ascii="標楷體" w:eastAsia="標楷體" w:hAnsi="標楷體"/>
              </w:rPr>
            </w:pPr>
            <w:r w:rsidRPr="00240693">
              <w:rPr>
                <w:rFonts w:ascii="標楷體" w:eastAsia="標楷體" w:hAnsi="標楷體"/>
              </w:rPr>
              <w:t>上市之證券投資信託事業應向本公司申報之定期公開資訊及其申報之時限，依下列各款之規定：</w:t>
            </w:r>
          </w:p>
          <w:p w:rsidR="00225777" w:rsidRPr="00240693" w:rsidRDefault="00225777" w:rsidP="00225777">
            <w:pPr>
              <w:pStyle w:val="HTML"/>
              <w:jc w:val="both"/>
              <w:rPr>
                <w:rFonts w:ascii="標楷體" w:eastAsia="標楷體" w:hAnsi="標楷體"/>
              </w:rPr>
            </w:pPr>
            <w:r>
              <w:rPr>
                <w:rFonts w:ascii="標楷體" w:eastAsia="標楷體" w:hAnsi="標楷體" w:hint="eastAsia"/>
              </w:rPr>
              <w:t>（第</w:t>
            </w:r>
            <w:r w:rsidR="00677F5D">
              <w:rPr>
                <w:rFonts w:ascii="標楷體" w:eastAsia="標楷體" w:hAnsi="標楷體" w:hint="eastAsia"/>
              </w:rPr>
              <w:t>一</w:t>
            </w:r>
            <w:r>
              <w:rPr>
                <w:rFonts w:ascii="標楷體" w:eastAsia="標楷體" w:hAnsi="標楷體" w:hint="eastAsia"/>
              </w:rPr>
              <w:t>～</w:t>
            </w:r>
            <w:r w:rsidR="00677F5D">
              <w:rPr>
                <w:rFonts w:ascii="標楷體" w:eastAsia="標楷體" w:hAnsi="標楷體" w:hint="eastAsia"/>
              </w:rPr>
              <w:t>二</w:t>
            </w:r>
            <w:r>
              <w:rPr>
                <w:rFonts w:ascii="標楷體" w:eastAsia="標楷體" w:hAnsi="標楷體" w:hint="eastAsia"/>
              </w:rPr>
              <w:t>款略）</w:t>
            </w:r>
          </w:p>
          <w:p w:rsidR="00225777" w:rsidRDefault="00225777" w:rsidP="008F6913">
            <w:pPr>
              <w:pStyle w:val="HTML"/>
              <w:ind w:left="360" w:hangingChars="150" w:hanging="360"/>
              <w:jc w:val="both"/>
              <w:rPr>
                <w:rFonts w:ascii="標楷體" w:eastAsia="標楷體" w:hAnsi="標楷體"/>
              </w:rPr>
            </w:pPr>
            <w:r w:rsidRPr="00240693">
              <w:rPr>
                <w:rFonts w:ascii="標楷體" w:eastAsia="標楷體" w:hAnsi="標楷體"/>
              </w:rPr>
              <w:t>三、指數股票型基金每受益權單位盤中預估淨資產價值：取用即時市價依</w:t>
            </w:r>
            <w:r w:rsidR="003B345D" w:rsidRPr="003B345D">
              <w:rPr>
                <w:rFonts w:ascii="標楷體" w:eastAsia="標楷體" w:hAnsi="標楷體" w:hint="eastAsia"/>
                <w:u w:val="single"/>
              </w:rPr>
              <w:t>至少</w:t>
            </w:r>
            <w:r w:rsidR="00624104">
              <w:rPr>
                <w:rFonts w:ascii="標楷體" w:eastAsia="標楷體" w:hAnsi="標楷體" w:hint="eastAsia"/>
                <w:u w:val="single"/>
              </w:rPr>
              <w:t>每</w:t>
            </w:r>
            <w:r w:rsidR="00BD4595">
              <w:rPr>
                <w:rFonts w:ascii="標楷體" w:eastAsia="標楷體" w:hAnsi="標楷體" w:hint="eastAsia"/>
                <w:u w:val="single"/>
              </w:rPr>
              <w:t>十五</w:t>
            </w:r>
            <w:r w:rsidR="00CC2241" w:rsidRPr="00CC2241">
              <w:rPr>
                <w:rFonts w:ascii="標楷體" w:eastAsia="標楷體" w:hAnsi="標楷體" w:hint="eastAsia"/>
                <w:u w:val="single"/>
              </w:rPr>
              <w:t>秒</w:t>
            </w:r>
            <w:r w:rsidRPr="0082575F">
              <w:rPr>
                <w:rFonts w:ascii="標楷體" w:eastAsia="標楷體" w:hAnsi="標楷體"/>
                <w:u w:val="single"/>
              </w:rPr>
              <w:t>更新</w:t>
            </w:r>
            <w:r w:rsidR="000A1AB1" w:rsidRPr="000A1AB1">
              <w:rPr>
                <w:rFonts w:ascii="標楷體" w:eastAsia="標楷體" w:hAnsi="標楷體" w:hint="eastAsia"/>
                <w:u w:val="single"/>
              </w:rPr>
              <w:t>乙次之</w:t>
            </w:r>
            <w:r w:rsidRPr="0082575F">
              <w:rPr>
                <w:rFonts w:ascii="標楷體" w:eastAsia="標楷體" w:hAnsi="標楷體"/>
                <w:u w:val="single"/>
              </w:rPr>
              <w:t>頻率</w:t>
            </w:r>
            <w:r w:rsidR="0082575F" w:rsidRPr="0082575F">
              <w:rPr>
                <w:rFonts w:ascii="標楷體" w:eastAsia="標楷體" w:hAnsi="標楷體" w:hint="eastAsia"/>
                <w:u w:val="single"/>
              </w:rPr>
              <w:t>於</w:t>
            </w:r>
            <w:r w:rsidR="0082575F" w:rsidRPr="0082575F">
              <w:rPr>
                <w:rFonts w:ascii="標楷體" w:eastAsia="標楷體" w:hAnsi="標楷體"/>
              </w:rPr>
              <w:t>本公司基本市</w:t>
            </w:r>
            <w:proofErr w:type="gramStart"/>
            <w:r w:rsidR="0082575F" w:rsidRPr="0082575F">
              <w:rPr>
                <w:rFonts w:ascii="標楷體" w:eastAsia="標楷體" w:hAnsi="標楷體"/>
              </w:rPr>
              <w:t>況</w:t>
            </w:r>
            <w:proofErr w:type="gramEnd"/>
            <w:r w:rsidR="0082575F" w:rsidRPr="0082575F">
              <w:rPr>
                <w:rFonts w:ascii="標楷體" w:eastAsia="標楷體" w:hAnsi="標楷體"/>
              </w:rPr>
              <w:t>報導網站</w:t>
            </w:r>
            <w:r w:rsidRPr="00240693">
              <w:rPr>
                <w:rFonts w:ascii="標楷體" w:eastAsia="標楷體" w:hAnsi="標楷體"/>
              </w:rPr>
              <w:t>申報。</w:t>
            </w:r>
            <w:r w:rsidR="00A720C0" w:rsidRPr="00A720C0">
              <w:rPr>
                <w:rFonts w:ascii="標楷體" w:eastAsia="標楷體" w:hAnsi="標楷體"/>
              </w:rPr>
              <w:t>但指數股票型基金持有外國有價證券者，於該外國有價證券上市地交易時間內取用即時市價依</w:t>
            </w:r>
            <w:r w:rsidR="00D605C5" w:rsidRPr="00D605C5">
              <w:rPr>
                <w:rFonts w:ascii="標楷體" w:eastAsia="標楷體" w:hAnsi="標楷體" w:hint="eastAsia"/>
                <w:u w:val="single"/>
              </w:rPr>
              <w:t>上開</w:t>
            </w:r>
            <w:r w:rsidR="00A720C0" w:rsidRPr="00A720C0">
              <w:rPr>
                <w:rFonts w:ascii="標楷體" w:eastAsia="標楷體" w:hAnsi="標楷體"/>
              </w:rPr>
              <w:t>更新頻率申報。</w:t>
            </w:r>
          </w:p>
          <w:p w:rsidR="00225777" w:rsidRPr="00240693" w:rsidRDefault="00225777" w:rsidP="00D658D4">
            <w:pPr>
              <w:pStyle w:val="HTML"/>
              <w:jc w:val="both"/>
              <w:rPr>
                <w:rFonts w:ascii="標楷體" w:eastAsia="標楷體" w:hAnsi="標楷體"/>
              </w:rPr>
            </w:pPr>
            <w:r>
              <w:rPr>
                <w:rFonts w:ascii="標楷體" w:eastAsia="標楷體" w:hAnsi="標楷體" w:hint="eastAsia"/>
              </w:rPr>
              <w:t>（第</w:t>
            </w:r>
            <w:r w:rsidR="00677F5D">
              <w:rPr>
                <w:rFonts w:ascii="標楷體" w:eastAsia="標楷體" w:hAnsi="標楷體" w:hint="eastAsia"/>
              </w:rPr>
              <w:t>四</w:t>
            </w:r>
            <w:r>
              <w:rPr>
                <w:rFonts w:ascii="標楷體" w:eastAsia="標楷體" w:hAnsi="標楷體" w:hint="eastAsia"/>
              </w:rPr>
              <w:t>～</w:t>
            </w:r>
            <w:r w:rsidR="00677F5D">
              <w:rPr>
                <w:rFonts w:ascii="標楷體" w:eastAsia="標楷體" w:hAnsi="標楷體" w:hint="eastAsia"/>
              </w:rPr>
              <w:t>七</w:t>
            </w:r>
            <w:r>
              <w:rPr>
                <w:rFonts w:ascii="標楷體" w:eastAsia="標楷體" w:hAnsi="標楷體" w:hint="eastAsia"/>
              </w:rPr>
              <w:t>款略）</w:t>
            </w:r>
          </w:p>
          <w:p w:rsidR="00225777" w:rsidRPr="00240693" w:rsidRDefault="00225777" w:rsidP="008F6913">
            <w:pPr>
              <w:pStyle w:val="HTML"/>
              <w:ind w:left="360" w:hangingChars="150" w:hanging="360"/>
              <w:jc w:val="both"/>
              <w:rPr>
                <w:rFonts w:ascii="標楷體" w:eastAsia="標楷體" w:hAnsi="標楷體"/>
              </w:rPr>
            </w:pPr>
            <w:r w:rsidRPr="00240693">
              <w:rPr>
                <w:rFonts w:ascii="標楷體" w:eastAsia="標楷體" w:hAnsi="標楷體"/>
              </w:rPr>
              <w:t>八、以證券投資信託基金管理辦法第三十七條第</w:t>
            </w:r>
            <w:r w:rsidRPr="00CB414A">
              <w:rPr>
                <w:rFonts w:ascii="標楷體" w:eastAsia="標楷體" w:hAnsi="標楷體"/>
                <w:color w:val="000000" w:themeColor="text1"/>
              </w:rPr>
              <w:t>三</w:t>
            </w:r>
            <w:r w:rsidRPr="00240693">
              <w:rPr>
                <w:rFonts w:ascii="標楷體" w:eastAsia="標楷體" w:hAnsi="標楷體"/>
              </w:rPr>
              <w:t>項所定之連結式指數股票型基金（以下簡稱連結式指數股票型基金）上市之證券投資信託事業應向</w:t>
            </w:r>
            <w:r w:rsidRPr="00240693">
              <w:rPr>
                <w:rFonts w:ascii="標楷體" w:eastAsia="標楷體" w:hAnsi="標楷體"/>
              </w:rPr>
              <w:lastRenderedPageBreak/>
              <w:t>本公司申報之定期公開資訊及其申報之時限，依下列各目之規定，不適用前七款規定：</w:t>
            </w:r>
          </w:p>
          <w:p w:rsidR="00225777" w:rsidRPr="00240693" w:rsidRDefault="003D0C04" w:rsidP="00D658D4">
            <w:pPr>
              <w:pStyle w:val="HTML"/>
              <w:jc w:val="both"/>
              <w:rPr>
                <w:rFonts w:ascii="標楷體" w:eastAsia="標楷體" w:hAnsi="標楷體"/>
              </w:rPr>
            </w:pPr>
            <w:proofErr w:type="gramStart"/>
            <w:r>
              <w:rPr>
                <w:rFonts w:ascii="標楷體" w:eastAsia="標楷體" w:hAnsi="標楷體" w:hint="eastAsia"/>
              </w:rPr>
              <w:t>（</w:t>
            </w:r>
            <w:r w:rsidR="00225777" w:rsidRPr="00240693">
              <w:rPr>
                <w:rFonts w:ascii="標楷體" w:eastAsia="標楷體" w:hAnsi="標楷體"/>
              </w:rPr>
              <w:t>（</w:t>
            </w:r>
            <w:proofErr w:type="gramEnd"/>
            <w:r w:rsidR="00225777" w:rsidRPr="00240693">
              <w:rPr>
                <w:rFonts w:ascii="標楷體" w:eastAsia="標楷體" w:hAnsi="標楷體"/>
              </w:rPr>
              <w:t>一</w:t>
            </w:r>
            <w:proofErr w:type="gramStart"/>
            <w:r w:rsidR="00225777" w:rsidRPr="00240693">
              <w:rPr>
                <w:rFonts w:ascii="標楷體" w:eastAsia="標楷體" w:hAnsi="標楷體"/>
              </w:rPr>
              <w:t>）</w:t>
            </w:r>
            <w:proofErr w:type="gramEnd"/>
            <w:r>
              <w:rPr>
                <w:rFonts w:ascii="標楷體" w:eastAsia="標楷體" w:hAnsi="標楷體" w:hint="eastAsia"/>
              </w:rPr>
              <w:t>～</w:t>
            </w:r>
            <w:r w:rsidR="00225777" w:rsidRPr="00240693">
              <w:rPr>
                <w:rFonts w:ascii="標楷體" w:eastAsia="標楷體" w:hAnsi="標楷體"/>
              </w:rPr>
              <w:t>（二）</w:t>
            </w:r>
            <w:r>
              <w:rPr>
                <w:rFonts w:ascii="標楷體" w:eastAsia="標楷體" w:hAnsi="標楷體" w:hint="eastAsia"/>
              </w:rPr>
              <w:t>略</w:t>
            </w:r>
            <w:proofErr w:type="gramStart"/>
            <w:r>
              <w:rPr>
                <w:rFonts w:ascii="標楷體" w:eastAsia="標楷體" w:hAnsi="標楷體" w:hint="eastAsia"/>
              </w:rPr>
              <w:t>）</w:t>
            </w:r>
            <w:proofErr w:type="gramEnd"/>
          </w:p>
          <w:p w:rsidR="00225777" w:rsidRDefault="00225777" w:rsidP="008F6913">
            <w:pPr>
              <w:pStyle w:val="HTML"/>
              <w:ind w:left="600" w:hangingChars="250" w:hanging="600"/>
              <w:jc w:val="both"/>
              <w:rPr>
                <w:rFonts w:ascii="標楷體" w:eastAsia="標楷體" w:hAnsi="標楷體"/>
              </w:rPr>
            </w:pPr>
            <w:r w:rsidRPr="00240693">
              <w:rPr>
                <w:rFonts w:ascii="標楷體" w:eastAsia="標楷體" w:hAnsi="標楷體"/>
              </w:rPr>
              <w:t>（三）連結式指數股票型基金每受益權單位盤中預估淨資產價值：</w:t>
            </w:r>
            <w:r w:rsidR="00A720C0" w:rsidRPr="00A720C0">
              <w:rPr>
                <w:rFonts w:ascii="標楷體" w:eastAsia="標楷體" w:hAnsi="標楷體"/>
              </w:rPr>
              <w:t>於所連結之境外指數股票型基金於註冊地或上市地交易時間內</w:t>
            </w:r>
            <w:r w:rsidRPr="00240693">
              <w:rPr>
                <w:rFonts w:ascii="標楷體" w:eastAsia="標楷體" w:hAnsi="標楷體"/>
              </w:rPr>
              <w:t>取用即時市價依</w:t>
            </w:r>
            <w:r w:rsidR="003B345D" w:rsidRPr="003B345D">
              <w:rPr>
                <w:rFonts w:ascii="標楷體" w:eastAsia="標楷體" w:hAnsi="標楷體" w:hint="eastAsia"/>
                <w:u w:val="single"/>
              </w:rPr>
              <w:t>至少</w:t>
            </w:r>
            <w:r w:rsidR="00624104">
              <w:rPr>
                <w:rFonts w:ascii="標楷體" w:eastAsia="標楷體" w:hAnsi="標楷體" w:hint="eastAsia"/>
                <w:u w:val="single"/>
              </w:rPr>
              <w:t>每</w:t>
            </w:r>
            <w:r w:rsidR="0082575F">
              <w:rPr>
                <w:rFonts w:ascii="標楷體" w:eastAsia="標楷體" w:hAnsi="標楷體" w:hint="eastAsia"/>
                <w:u w:val="single"/>
              </w:rPr>
              <w:t>十五</w:t>
            </w:r>
            <w:r w:rsidR="0082575F" w:rsidRPr="00CC2241">
              <w:rPr>
                <w:rFonts w:ascii="標楷體" w:eastAsia="標楷體" w:hAnsi="標楷體" w:hint="eastAsia"/>
                <w:u w:val="single"/>
              </w:rPr>
              <w:t>秒</w:t>
            </w:r>
            <w:r w:rsidR="0082575F" w:rsidRPr="0082575F">
              <w:rPr>
                <w:rFonts w:ascii="標楷體" w:eastAsia="標楷體" w:hAnsi="標楷體"/>
                <w:u w:val="single"/>
              </w:rPr>
              <w:t>更新</w:t>
            </w:r>
            <w:r w:rsidR="0082575F" w:rsidRPr="000A1AB1">
              <w:rPr>
                <w:rFonts w:ascii="標楷體" w:eastAsia="標楷體" w:hAnsi="標楷體" w:hint="eastAsia"/>
                <w:u w:val="single"/>
              </w:rPr>
              <w:t>乙次之</w:t>
            </w:r>
            <w:r w:rsidR="0082575F" w:rsidRPr="0082575F">
              <w:rPr>
                <w:rFonts w:ascii="標楷體" w:eastAsia="標楷體" w:hAnsi="標楷體"/>
                <w:u w:val="single"/>
              </w:rPr>
              <w:t>頻率</w:t>
            </w:r>
            <w:r w:rsidR="0082575F" w:rsidRPr="0082575F">
              <w:rPr>
                <w:rFonts w:ascii="標楷體" w:eastAsia="標楷體" w:hAnsi="標楷體" w:hint="eastAsia"/>
                <w:u w:val="single"/>
              </w:rPr>
              <w:t>於</w:t>
            </w:r>
            <w:r w:rsidR="0082575F" w:rsidRPr="0082575F">
              <w:rPr>
                <w:rFonts w:ascii="標楷體" w:eastAsia="標楷體" w:hAnsi="標楷體"/>
              </w:rPr>
              <w:t>本公司基本市</w:t>
            </w:r>
            <w:proofErr w:type="gramStart"/>
            <w:r w:rsidR="0082575F" w:rsidRPr="0082575F">
              <w:rPr>
                <w:rFonts w:ascii="標楷體" w:eastAsia="標楷體" w:hAnsi="標楷體"/>
              </w:rPr>
              <w:t>況</w:t>
            </w:r>
            <w:proofErr w:type="gramEnd"/>
            <w:r w:rsidR="0082575F" w:rsidRPr="0082575F">
              <w:rPr>
                <w:rFonts w:ascii="標楷體" w:eastAsia="標楷體" w:hAnsi="標楷體"/>
              </w:rPr>
              <w:t>報導網站</w:t>
            </w:r>
            <w:r w:rsidR="0082575F" w:rsidRPr="00240693">
              <w:rPr>
                <w:rFonts w:ascii="標楷體" w:eastAsia="標楷體" w:hAnsi="標楷體"/>
              </w:rPr>
              <w:t>申報。</w:t>
            </w:r>
          </w:p>
          <w:p w:rsidR="00225777" w:rsidRPr="00387502" w:rsidRDefault="003D0C04" w:rsidP="001B395E">
            <w:pPr>
              <w:pStyle w:val="HTML"/>
              <w:jc w:val="both"/>
              <w:rPr>
                <w:rFonts w:ascii="標楷體" w:eastAsia="標楷體" w:hAnsi="標楷體"/>
              </w:rPr>
            </w:pPr>
            <w:r>
              <w:rPr>
                <w:rFonts w:ascii="標楷體" w:eastAsia="標楷體" w:hAnsi="標楷體" w:hint="eastAsia"/>
              </w:rPr>
              <w:t>（</w:t>
            </w:r>
            <w:r w:rsidR="001B395E">
              <w:rPr>
                <w:rFonts w:ascii="標楷體" w:eastAsia="標楷體" w:hAnsi="標楷體" w:hint="eastAsia"/>
              </w:rPr>
              <w:t>以下</w:t>
            </w:r>
            <w:r>
              <w:rPr>
                <w:rFonts w:ascii="標楷體" w:eastAsia="標楷體" w:hAnsi="標楷體" w:hint="eastAsia"/>
              </w:rPr>
              <w:t>略）</w:t>
            </w:r>
          </w:p>
        </w:tc>
        <w:tc>
          <w:tcPr>
            <w:tcW w:w="2787" w:type="dxa"/>
          </w:tcPr>
          <w:p w:rsidR="00225777" w:rsidRPr="00387502" w:rsidRDefault="00225777" w:rsidP="00D658D4">
            <w:pPr>
              <w:jc w:val="both"/>
              <w:rPr>
                <w:rFonts w:ascii="標楷體" w:eastAsia="標楷體" w:hAnsi="標楷體" w:cs="細明體"/>
                <w:color w:val="333333"/>
                <w:kern w:val="0"/>
              </w:rPr>
            </w:pPr>
            <w:r w:rsidRPr="00387502">
              <w:rPr>
                <w:rFonts w:ascii="標楷體" w:eastAsia="標楷體" w:hAnsi="標楷體" w:cs="細明體"/>
                <w:color w:val="333333"/>
                <w:kern w:val="0"/>
              </w:rPr>
              <w:lastRenderedPageBreak/>
              <w:t>第</w:t>
            </w:r>
            <w:r w:rsidRPr="00387502">
              <w:rPr>
                <w:rFonts w:ascii="標楷體" w:eastAsia="標楷體" w:hAnsi="標楷體" w:cs="細明體" w:hint="eastAsia"/>
                <w:color w:val="333333"/>
                <w:kern w:val="0"/>
              </w:rPr>
              <w:t>三</w:t>
            </w:r>
            <w:r w:rsidRPr="00387502">
              <w:rPr>
                <w:rFonts w:ascii="標楷體" w:eastAsia="標楷體" w:hAnsi="標楷體" w:cs="細明體"/>
                <w:color w:val="333333"/>
                <w:kern w:val="0"/>
              </w:rPr>
              <w:t>條</w:t>
            </w:r>
          </w:p>
          <w:p w:rsidR="00225777" w:rsidRPr="00387502" w:rsidRDefault="00225777" w:rsidP="00D658D4">
            <w:pPr>
              <w:pStyle w:val="HTML"/>
              <w:jc w:val="both"/>
              <w:rPr>
                <w:rFonts w:ascii="標楷體" w:eastAsia="標楷體" w:hAnsi="標楷體"/>
              </w:rPr>
            </w:pPr>
            <w:r w:rsidRPr="00387502">
              <w:rPr>
                <w:rFonts w:ascii="標楷體" w:eastAsia="標楷體" w:hAnsi="標楷體" w:hint="eastAsia"/>
              </w:rPr>
              <w:t>（第一項～</w:t>
            </w:r>
            <w:r>
              <w:rPr>
                <w:rFonts w:ascii="標楷體" w:eastAsia="標楷體" w:hAnsi="標楷體" w:hint="eastAsia"/>
              </w:rPr>
              <w:t>第四項</w:t>
            </w:r>
            <w:r w:rsidRPr="00387502">
              <w:rPr>
                <w:rFonts w:ascii="標楷體" w:eastAsia="標楷體" w:hAnsi="標楷體" w:hint="eastAsia"/>
              </w:rPr>
              <w:t>略）</w:t>
            </w:r>
          </w:p>
          <w:p w:rsidR="00225777" w:rsidRPr="00240693" w:rsidRDefault="00225777" w:rsidP="00D658D4">
            <w:pPr>
              <w:pStyle w:val="HTML"/>
              <w:jc w:val="both"/>
              <w:rPr>
                <w:rFonts w:ascii="標楷體" w:eastAsia="標楷體" w:hAnsi="標楷體"/>
              </w:rPr>
            </w:pPr>
            <w:r w:rsidRPr="00240693">
              <w:rPr>
                <w:rFonts w:ascii="標楷體" w:eastAsia="標楷體" w:hAnsi="標楷體"/>
              </w:rPr>
              <w:t>以指數股票型證券投資信託基金（以下簡稱指數股票型基金）之受益憑證</w:t>
            </w:r>
          </w:p>
          <w:p w:rsidR="00225777" w:rsidRDefault="00225777" w:rsidP="00D658D4">
            <w:pPr>
              <w:pStyle w:val="HTML"/>
              <w:jc w:val="both"/>
              <w:rPr>
                <w:rFonts w:ascii="標楷體" w:eastAsia="標楷體" w:hAnsi="標楷體"/>
              </w:rPr>
            </w:pPr>
            <w:r w:rsidRPr="00240693">
              <w:rPr>
                <w:rFonts w:ascii="標楷體" w:eastAsia="標楷體" w:hAnsi="標楷體"/>
              </w:rPr>
              <w:t>上市之證券投資信託事業應向本公司申報之定期公開資訊及其申報之時限，依下列各款之規定：</w:t>
            </w:r>
          </w:p>
          <w:p w:rsidR="00225777" w:rsidRDefault="00225777" w:rsidP="00D658D4">
            <w:pPr>
              <w:pStyle w:val="HTML"/>
              <w:jc w:val="both"/>
              <w:rPr>
                <w:rFonts w:ascii="標楷體" w:eastAsia="標楷體" w:hAnsi="標楷體"/>
              </w:rPr>
            </w:pPr>
            <w:r>
              <w:rPr>
                <w:rFonts w:ascii="標楷體" w:eastAsia="標楷體" w:hAnsi="標楷體" w:hint="eastAsia"/>
              </w:rPr>
              <w:t>（第</w:t>
            </w:r>
            <w:r w:rsidR="00677F5D">
              <w:rPr>
                <w:rFonts w:ascii="標楷體" w:eastAsia="標楷體" w:hAnsi="標楷體" w:hint="eastAsia"/>
              </w:rPr>
              <w:t>一</w:t>
            </w:r>
            <w:r>
              <w:rPr>
                <w:rFonts w:ascii="標楷體" w:eastAsia="標楷體" w:hAnsi="標楷體" w:hint="eastAsia"/>
              </w:rPr>
              <w:t>～</w:t>
            </w:r>
            <w:r w:rsidR="00677F5D">
              <w:rPr>
                <w:rFonts w:ascii="標楷體" w:eastAsia="標楷體" w:hAnsi="標楷體" w:hint="eastAsia"/>
              </w:rPr>
              <w:t>二</w:t>
            </w:r>
            <w:r>
              <w:rPr>
                <w:rFonts w:ascii="標楷體" w:eastAsia="標楷體" w:hAnsi="標楷體" w:hint="eastAsia"/>
              </w:rPr>
              <w:t>款略）</w:t>
            </w:r>
          </w:p>
          <w:p w:rsidR="00225777" w:rsidRDefault="00225777" w:rsidP="008F6913">
            <w:pPr>
              <w:pStyle w:val="HTML"/>
              <w:ind w:left="360" w:hangingChars="150" w:hanging="360"/>
              <w:jc w:val="both"/>
              <w:rPr>
                <w:rFonts w:ascii="標楷體" w:eastAsia="標楷體" w:hAnsi="標楷體"/>
                <w:u w:val="single"/>
              </w:rPr>
            </w:pPr>
            <w:r w:rsidRPr="00240693">
              <w:rPr>
                <w:rFonts w:ascii="標楷體" w:eastAsia="標楷體" w:hAnsi="標楷體"/>
              </w:rPr>
              <w:t>三、指數股票型基金每受益權單位盤中預估淨資產價值：取用即時市價依</w:t>
            </w:r>
            <w:r w:rsidRPr="0082575F">
              <w:rPr>
                <w:rFonts w:ascii="標楷體" w:eastAsia="標楷體" w:hAnsi="標楷體"/>
              </w:rPr>
              <w:t>本公司基本市</w:t>
            </w:r>
            <w:proofErr w:type="gramStart"/>
            <w:r w:rsidRPr="0082575F">
              <w:rPr>
                <w:rFonts w:ascii="標楷體" w:eastAsia="標楷體" w:hAnsi="標楷體"/>
              </w:rPr>
              <w:t>況</w:t>
            </w:r>
            <w:proofErr w:type="gramEnd"/>
            <w:r w:rsidRPr="0082575F">
              <w:rPr>
                <w:rFonts w:ascii="標楷體" w:eastAsia="標楷體" w:hAnsi="標楷體"/>
              </w:rPr>
              <w:t>報導網站</w:t>
            </w:r>
            <w:r w:rsidRPr="00017728">
              <w:rPr>
                <w:rFonts w:ascii="標楷體" w:eastAsia="標楷體" w:hAnsi="標楷體"/>
                <w:u w:val="single"/>
              </w:rPr>
              <w:t>更新頻率</w:t>
            </w:r>
            <w:r w:rsidRPr="00240693">
              <w:rPr>
                <w:rFonts w:ascii="標楷體" w:eastAsia="標楷體" w:hAnsi="標楷體"/>
              </w:rPr>
              <w:t>申報。</w:t>
            </w:r>
            <w:r w:rsidRPr="00A720C0">
              <w:rPr>
                <w:rFonts w:ascii="標楷體" w:eastAsia="標楷體" w:hAnsi="標楷體"/>
              </w:rPr>
              <w:t>但指數股票型基金持有外國有價證券者，於該外國有價證券上市地交易時間內取用即時市價依</w:t>
            </w:r>
            <w:r w:rsidRPr="00D605C5">
              <w:rPr>
                <w:rFonts w:ascii="標楷體" w:eastAsia="標楷體" w:hAnsi="標楷體"/>
                <w:u w:val="single"/>
              </w:rPr>
              <w:t>本公司基本市</w:t>
            </w:r>
            <w:proofErr w:type="gramStart"/>
            <w:r w:rsidRPr="00D605C5">
              <w:rPr>
                <w:rFonts w:ascii="標楷體" w:eastAsia="標楷體" w:hAnsi="標楷體"/>
                <w:u w:val="single"/>
              </w:rPr>
              <w:t>況</w:t>
            </w:r>
            <w:proofErr w:type="gramEnd"/>
            <w:r w:rsidRPr="00D605C5">
              <w:rPr>
                <w:rFonts w:ascii="標楷體" w:eastAsia="標楷體" w:hAnsi="標楷體"/>
                <w:u w:val="single"/>
              </w:rPr>
              <w:t>報導網站</w:t>
            </w:r>
            <w:r w:rsidRPr="00A720C0">
              <w:rPr>
                <w:rFonts w:ascii="標楷體" w:eastAsia="標楷體" w:hAnsi="標楷體"/>
              </w:rPr>
              <w:t>更新頻率申報。</w:t>
            </w:r>
          </w:p>
          <w:p w:rsidR="00225777" w:rsidRPr="00240693" w:rsidRDefault="00225777" w:rsidP="00225777">
            <w:pPr>
              <w:pStyle w:val="HTML"/>
              <w:jc w:val="both"/>
              <w:rPr>
                <w:rFonts w:ascii="標楷體" w:eastAsia="標楷體" w:hAnsi="標楷體"/>
              </w:rPr>
            </w:pPr>
            <w:r>
              <w:rPr>
                <w:rFonts w:ascii="標楷體" w:eastAsia="標楷體" w:hAnsi="標楷體" w:hint="eastAsia"/>
              </w:rPr>
              <w:t>（第</w:t>
            </w:r>
            <w:r w:rsidR="00677F5D">
              <w:rPr>
                <w:rFonts w:ascii="標楷體" w:eastAsia="標楷體" w:hAnsi="標楷體" w:hint="eastAsia"/>
              </w:rPr>
              <w:t>四</w:t>
            </w:r>
            <w:r>
              <w:rPr>
                <w:rFonts w:ascii="標楷體" w:eastAsia="標楷體" w:hAnsi="標楷體" w:hint="eastAsia"/>
              </w:rPr>
              <w:t>～</w:t>
            </w:r>
            <w:r w:rsidR="00677F5D">
              <w:rPr>
                <w:rFonts w:ascii="標楷體" w:eastAsia="標楷體" w:hAnsi="標楷體" w:hint="eastAsia"/>
              </w:rPr>
              <w:t>七</w:t>
            </w:r>
            <w:r>
              <w:rPr>
                <w:rFonts w:ascii="標楷體" w:eastAsia="標楷體" w:hAnsi="標楷體" w:hint="eastAsia"/>
              </w:rPr>
              <w:t>款略）</w:t>
            </w:r>
          </w:p>
          <w:p w:rsidR="00225777" w:rsidRPr="00240693" w:rsidRDefault="00225777" w:rsidP="008F6913">
            <w:pPr>
              <w:pStyle w:val="HTML"/>
              <w:ind w:left="360" w:hangingChars="150" w:hanging="360"/>
              <w:jc w:val="both"/>
              <w:rPr>
                <w:rFonts w:ascii="標楷體" w:eastAsia="標楷體" w:hAnsi="標楷體"/>
              </w:rPr>
            </w:pPr>
            <w:r w:rsidRPr="00240693">
              <w:rPr>
                <w:rFonts w:ascii="標楷體" w:eastAsia="標楷體" w:hAnsi="標楷體"/>
              </w:rPr>
              <w:t>八、以證券投資信託基金管理辦法第三十七條第三項所定之連結式指數股票型基金（以下簡稱連結式指數股票型基金）上市之證券投資信託事業應向</w:t>
            </w:r>
            <w:r w:rsidRPr="00240693">
              <w:rPr>
                <w:rFonts w:ascii="標楷體" w:eastAsia="標楷體" w:hAnsi="標楷體"/>
              </w:rPr>
              <w:lastRenderedPageBreak/>
              <w:t>本公司申報之定期公開資訊及其申報之時限，依下列各目之規定，不適用前七款規定：</w:t>
            </w:r>
          </w:p>
          <w:p w:rsidR="00225777" w:rsidRPr="00240693" w:rsidRDefault="003D0C04" w:rsidP="00D658D4">
            <w:pPr>
              <w:pStyle w:val="HTML"/>
              <w:jc w:val="both"/>
              <w:rPr>
                <w:rFonts w:ascii="標楷體" w:eastAsia="標楷體" w:hAnsi="標楷體"/>
              </w:rPr>
            </w:pPr>
            <w:proofErr w:type="gramStart"/>
            <w:r>
              <w:rPr>
                <w:rFonts w:ascii="標楷體" w:eastAsia="標楷體" w:hAnsi="標楷體" w:hint="eastAsia"/>
              </w:rPr>
              <w:t>（</w:t>
            </w:r>
            <w:r w:rsidRPr="00240693">
              <w:rPr>
                <w:rFonts w:ascii="標楷體" w:eastAsia="標楷體" w:hAnsi="標楷體"/>
              </w:rPr>
              <w:t>（</w:t>
            </w:r>
            <w:proofErr w:type="gramEnd"/>
            <w:r w:rsidRPr="00240693">
              <w:rPr>
                <w:rFonts w:ascii="標楷體" w:eastAsia="標楷體" w:hAnsi="標楷體"/>
              </w:rPr>
              <w:t>一</w:t>
            </w:r>
            <w:proofErr w:type="gramStart"/>
            <w:r w:rsidRPr="00240693">
              <w:rPr>
                <w:rFonts w:ascii="標楷體" w:eastAsia="標楷體" w:hAnsi="標楷體"/>
              </w:rPr>
              <w:t>）</w:t>
            </w:r>
            <w:proofErr w:type="gramEnd"/>
            <w:r>
              <w:rPr>
                <w:rFonts w:ascii="標楷體" w:eastAsia="標楷體" w:hAnsi="標楷體" w:hint="eastAsia"/>
              </w:rPr>
              <w:t>～</w:t>
            </w:r>
            <w:r w:rsidRPr="00240693">
              <w:rPr>
                <w:rFonts w:ascii="標楷體" w:eastAsia="標楷體" w:hAnsi="標楷體"/>
              </w:rPr>
              <w:t>（二）</w:t>
            </w:r>
            <w:r>
              <w:rPr>
                <w:rFonts w:ascii="標楷體" w:eastAsia="標楷體" w:hAnsi="標楷體" w:hint="eastAsia"/>
              </w:rPr>
              <w:t>略</w:t>
            </w:r>
            <w:proofErr w:type="gramStart"/>
            <w:r>
              <w:rPr>
                <w:rFonts w:ascii="標楷體" w:eastAsia="標楷體" w:hAnsi="標楷體" w:hint="eastAsia"/>
              </w:rPr>
              <w:t>）</w:t>
            </w:r>
            <w:proofErr w:type="gramEnd"/>
          </w:p>
          <w:p w:rsidR="00225777" w:rsidRDefault="00225777" w:rsidP="008F6913">
            <w:pPr>
              <w:pStyle w:val="HTML"/>
              <w:ind w:left="600" w:hangingChars="250" w:hanging="600"/>
              <w:jc w:val="both"/>
              <w:rPr>
                <w:rFonts w:ascii="標楷體" w:eastAsia="標楷體" w:hAnsi="標楷體"/>
              </w:rPr>
            </w:pPr>
            <w:r w:rsidRPr="00240693">
              <w:rPr>
                <w:rFonts w:ascii="標楷體" w:eastAsia="標楷體" w:hAnsi="標楷體"/>
              </w:rPr>
              <w:t>（三）連結式指數股票型基金每受益權單位盤中預估淨資產價值：</w:t>
            </w:r>
            <w:r w:rsidRPr="00A720C0">
              <w:rPr>
                <w:rFonts w:ascii="標楷體" w:eastAsia="標楷體" w:hAnsi="標楷體"/>
              </w:rPr>
              <w:t>於所連結之境外指數股票型基金於註冊地或上市地交易時間內</w:t>
            </w:r>
            <w:r w:rsidRPr="00240693">
              <w:rPr>
                <w:rFonts w:ascii="標楷體" w:eastAsia="標楷體" w:hAnsi="標楷體"/>
              </w:rPr>
              <w:t>取用即時市價依</w:t>
            </w:r>
            <w:r w:rsidRPr="0082575F">
              <w:rPr>
                <w:rFonts w:ascii="標楷體" w:eastAsia="標楷體" w:hAnsi="標楷體"/>
              </w:rPr>
              <w:t>本公司基本市</w:t>
            </w:r>
            <w:proofErr w:type="gramStart"/>
            <w:r w:rsidRPr="0082575F">
              <w:rPr>
                <w:rFonts w:ascii="標楷體" w:eastAsia="標楷體" w:hAnsi="標楷體"/>
              </w:rPr>
              <w:t>況</w:t>
            </w:r>
            <w:proofErr w:type="gramEnd"/>
            <w:r w:rsidRPr="0082575F">
              <w:rPr>
                <w:rFonts w:ascii="標楷體" w:eastAsia="標楷體" w:hAnsi="標楷體"/>
              </w:rPr>
              <w:t>報導網站</w:t>
            </w:r>
            <w:r w:rsidRPr="00017728">
              <w:rPr>
                <w:rFonts w:ascii="標楷體" w:eastAsia="標楷體" w:hAnsi="標楷體"/>
                <w:u w:val="single"/>
              </w:rPr>
              <w:t>更新頻率</w:t>
            </w:r>
            <w:r w:rsidRPr="00240693">
              <w:rPr>
                <w:rFonts w:ascii="標楷體" w:eastAsia="標楷體" w:hAnsi="標楷體"/>
              </w:rPr>
              <w:t>申報。</w:t>
            </w:r>
          </w:p>
          <w:p w:rsidR="00A720C0" w:rsidRDefault="00A720C0" w:rsidP="00D658D4">
            <w:pPr>
              <w:pStyle w:val="HTML"/>
              <w:jc w:val="both"/>
              <w:rPr>
                <w:rFonts w:ascii="標楷體" w:eastAsia="標楷體" w:hAnsi="標楷體"/>
              </w:rPr>
            </w:pPr>
          </w:p>
          <w:p w:rsidR="00225777" w:rsidRPr="00387502" w:rsidRDefault="003D0C04" w:rsidP="001B395E">
            <w:pPr>
              <w:pStyle w:val="HTML"/>
              <w:jc w:val="both"/>
              <w:rPr>
                <w:rFonts w:ascii="標楷體" w:eastAsia="標楷體" w:hAnsi="標楷體"/>
              </w:rPr>
            </w:pPr>
            <w:r>
              <w:rPr>
                <w:rFonts w:ascii="標楷體" w:eastAsia="標楷體" w:hAnsi="標楷體" w:hint="eastAsia"/>
              </w:rPr>
              <w:t>（</w:t>
            </w:r>
            <w:r w:rsidR="001B395E">
              <w:rPr>
                <w:rFonts w:ascii="標楷體" w:eastAsia="標楷體" w:hAnsi="標楷體" w:hint="eastAsia"/>
              </w:rPr>
              <w:t>以下</w:t>
            </w:r>
            <w:r>
              <w:rPr>
                <w:rFonts w:ascii="標楷體" w:eastAsia="標楷體" w:hAnsi="標楷體" w:hint="eastAsia"/>
              </w:rPr>
              <w:t>略）</w:t>
            </w:r>
          </w:p>
        </w:tc>
        <w:tc>
          <w:tcPr>
            <w:tcW w:w="2788" w:type="dxa"/>
          </w:tcPr>
          <w:p w:rsidR="00225777" w:rsidRPr="00A720C0" w:rsidRDefault="00091194" w:rsidP="00A720C0">
            <w:pPr>
              <w:jc w:val="both"/>
              <w:rPr>
                <w:rFonts w:ascii="Book Antiqua" w:eastAsia="標楷體" w:hAnsi="Book Antiqua"/>
                <w:color w:val="000000"/>
              </w:rPr>
            </w:pPr>
            <w:r w:rsidRPr="00A720C0">
              <w:rPr>
                <w:rFonts w:ascii="標楷體" w:eastAsia="標楷體" w:hAnsi="標楷體" w:cs="細明體" w:hint="eastAsia"/>
                <w:color w:val="333333"/>
                <w:kern w:val="0"/>
              </w:rPr>
              <w:lastRenderedPageBreak/>
              <w:t>考量國外如香港、中國大陸、EURONEXT、日本、德國及美國等市場，</w:t>
            </w:r>
            <w:r w:rsidR="00306947" w:rsidRPr="00A720C0">
              <w:rPr>
                <w:rFonts w:ascii="標楷體" w:eastAsia="標楷體" w:hAnsi="標楷體" w:cs="細明體" w:hint="eastAsia"/>
                <w:color w:val="333333"/>
                <w:kern w:val="0"/>
              </w:rPr>
              <w:t>對於</w:t>
            </w:r>
            <w:r w:rsidRPr="00A720C0">
              <w:rPr>
                <w:rFonts w:ascii="標楷體" w:eastAsia="標楷體" w:hAnsi="標楷體" w:cs="細明體" w:hint="eastAsia"/>
                <w:color w:val="333333"/>
                <w:kern w:val="0"/>
              </w:rPr>
              <w:t>指數股票型基金(ETF)盤中預估淨資產價值頻率多維持15秒揭露一次，並未隨指數揭示頻率增加而調整。另考量ETF發行人若配合縮短</w:t>
            </w:r>
            <w:proofErr w:type="gramStart"/>
            <w:r w:rsidRPr="00A720C0">
              <w:rPr>
                <w:rFonts w:ascii="標楷體" w:eastAsia="標楷體" w:hAnsi="標楷體" w:cs="細明體" w:hint="eastAsia"/>
                <w:color w:val="333333"/>
                <w:kern w:val="0"/>
              </w:rPr>
              <w:t>盤中淨資產</w:t>
            </w:r>
            <w:proofErr w:type="gramEnd"/>
            <w:r w:rsidRPr="00A720C0">
              <w:rPr>
                <w:rFonts w:ascii="標楷體" w:eastAsia="標楷體" w:hAnsi="標楷體" w:cs="細明體" w:hint="eastAsia"/>
                <w:color w:val="333333"/>
                <w:kern w:val="0"/>
              </w:rPr>
              <w:t>價值之揭示頻率，將大幅增加其即時資訊取用及計算成本，</w:t>
            </w:r>
            <w:proofErr w:type="gramStart"/>
            <w:r w:rsidRPr="00A720C0">
              <w:rPr>
                <w:rFonts w:ascii="標楷體" w:eastAsia="標楷體" w:hAnsi="標楷體" w:cs="細明體" w:hint="eastAsia"/>
                <w:color w:val="333333"/>
                <w:kern w:val="0"/>
              </w:rPr>
              <w:t>而該淨資產</w:t>
            </w:r>
            <w:proofErr w:type="gramEnd"/>
            <w:r w:rsidRPr="00A720C0">
              <w:rPr>
                <w:rFonts w:ascii="標楷體" w:eastAsia="標楷體" w:hAnsi="標楷體" w:cs="細明體" w:hint="eastAsia"/>
                <w:color w:val="333333"/>
                <w:kern w:val="0"/>
              </w:rPr>
              <w:t>價值係屬預估參考值，對投資人效益並不顯著，</w:t>
            </w:r>
            <w:proofErr w:type="gramStart"/>
            <w:r w:rsidRPr="00A720C0">
              <w:rPr>
                <w:rFonts w:ascii="標楷體" w:eastAsia="標楷體" w:hAnsi="標楷體" w:cs="細明體" w:hint="eastAsia"/>
                <w:color w:val="333333"/>
                <w:kern w:val="0"/>
              </w:rPr>
              <w:t>爰</w:t>
            </w:r>
            <w:proofErr w:type="gramEnd"/>
            <w:r w:rsidRPr="00A720C0">
              <w:rPr>
                <w:rFonts w:ascii="標楷體" w:eastAsia="標楷體" w:hAnsi="標楷體" w:cs="細明體" w:hint="eastAsia"/>
                <w:color w:val="333333"/>
                <w:kern w:val="0"/>
              </w:rPr>
              <w:t>明訂ETF盤中預估淨資產價值</w:t>
            </w:r>
            <w:proofErr w:type="gramStart"/>
            <w:r w:rsidR="000D31C6" w:rsidRPr="00A720C0">
              <w:rPr>
                <w:rFonts w:ascii="標楷體" w:eastAsia="標楷體" w:hAnsi="標楷體" w:cs="細明體" w:hint="eastAsia"/>
                <w:color w:val="333333"/>
                <w:kern w:val="0"/>
              </w:rPr>
              <w:t>採</w:t>
            </w:r>
            <w:proofErr w:type="gramEnd"/>
            <w:r w:rsidR="000D31C6" w:rsidRPr="00A720C0">
              <w:rPr>
                <w:rFonts w:ascii="標楷體" w:eastAsia="標楷體" w:hAnsi="標楷體" w:cs="細明體" w:hint="eastAsia"/>
                <w:color w:val="333333"/>
                <w:kern w:val="0"/>
              </w:rPr>
              <w:t>至少</w:t>
            </w:r>
            <w:r w:rsidR="007C1DEA" w:rsidRPr="00A720C0">
              <w:rPr>
                <w:rFonts w:ascii="標楷體" w:eastAsia="標楷體" w:hAnsi="標楷體" w:cs="細明體" w:hint="eastAsia"/>
                <w:color w:val="333333"/>
                <w:kern w:val="0"/>
              </w:rPr>
              <w:t>每</w:t>
            </w:r>
            <w:r w:rsidRPr="00A720C0">
              <w:rPr>
                <w:rFonts w:ascii="標楷體" w:eastAsia="標楷體" w:hAnsi="標楷體" w:cs="細明體" w:hint="eastAsia"/>
                <w:color w:val="333333"/>
                <w:kern w:val="0"/>
              </w:rPr>
              <w:t>15秒</w:t>
            </w:r>
            <w:r w:rsidR="00851929" w:rsidRPr="00A720C0">
              <w:rPr>
                <w:rFonts w:ascii="標楷體" w:eastAsia="標楷體" w:hAnsi="標楷體" w:cs="細明體" w:hint="eastAsia"/>
                <w:color w:val="333333"/>
                <w:kern w:val="0"/>
              </w:rPr>
              <w:t>更新乙次</w:t>
            </w:r>
            <w:r w:rsidRPr="00A720C0">
              <w:rPr>
                <w:rFonts w:ascii="標楷體" w:eastAsia="標楷體" w:hAnsi="標楷體" w:cs="細明體" w:hint="eastAsia"/>
                <w:color w:val="333333"/>
                <w:kern w:val="0"/>
              </w:rPr>
              <w:t>之揭露頻率，不隨</w:t>
            </w:r>
            <w:r w:rsidR="00306947" w:rsidRPr="00A720C0">
              <w:rPr>
                <w:rFonts w:ascii="標楷體" w:eastAsia="標楷體" w:hAnsi="標楷體" w:cs="細明體"/>
                <w:color w:val="333333"/>
                <w:kern w:val="0"/>
              </w:rPr>
              <w:t>撮合循環秒數</w:t>
            </w:r>
            <w:r w:rsidRPr="00A720C0">
              <w:rPr>
                <w:rFonts w:ascii="標楷體" w:eastAsia="標楷體" w:hAnsi="標楷體" w:cs="細明體" w:hint="eastAsia"/>
                <w:color w:val="333333"/>
                <w:kern w:val="0"/>
              </w:rPr>
              <w:t>調整</w:t>
            </w:r>
            <w:r w:rsidR="00A65092" w:rsidRPr="00A720C0">
              <w:rPr>
                <w:rFonts w:ascii="標楷體" w:eastAsia="標楷體" w:hAnsi="標楷體" w:cs="細明體" w:hint="eastAsia"/>
                <w:color w:val="333333"/>
                <w:kern w:val="0"/>
              </w:rPr>
              <w:t>而</w:t>
            </w:r>
            <w:r w:rsidR="00C456C2" w:rsidRPr="00A720C0">
              <w:rPr>
                <w:rFonts w:ascii="標楷體" w:eastAsia="標楷體" w:hAnsi="標楷體" w:cs="細明體" w:hint="eastAsia"/>
                <w:color w:val="333333"/>
                <w:kern w:val="0"/>
              </w:rPr>
              <w:t>增加</w:t>
            </w:r>
            <w:r w:rsidR="00A65092" w:rsidRPr="00A720C0">
              <w:rPr>
                <w:rFonts w:ascii="標楷體" w:eastAsia="標楷體" w:hAnsi="標楷體" w:cs="細明體" w:hint="eastAsia"/>
                <w:color w:val="333333"/>
                <w:kern w:val="0"/>
              </w:rPr>
              <w:t>其更新頻率</w:t>
            </w:r>
            <w:r w:rsidRPr="00A720C0">
              <w:rPr>
                <w:rFonts w:ascii="標楷體" w:eastAsia="標楷體" w:hAnsi="標楷體" w:cs="細明體" w:hint="eastAsia"/>
                <w:color w:val="333333"/>
                <w:kern w:val="0"/>
              </w:rPr>
              <w:t>。</w:t>
            </w:r>
          </w:p>
          <w:p w:rsidR="0064372D" w:rsidRPr="00A720C0" w:rsidRDefault="0064372D" w:rsidP="00A720C0">
            <w:pPr>
              <w:jc w:val="both"/>
              <w:rPr>
                <w:rFonts w:ascii="Book Antiqua" w:eastAsia="標楷體" w:hAnsi="Book Antiqua"/>
                <w:color w:val="000000"/>
              </w:rPr>
            </w:pPr>
          </w:p>
        </w:tc>
      </w:tr>
    </w:tbl>
    <w:p w:rsidR="00946EEE" w:rsidRPr="00225777" w:rsidRDefault="00946EEE"/>
    <w:sectPr w:rsidR="00946EEE" w:rsidRPr="00225777" w:rsidSect="00946EE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7BE" w:rsidRDefault="007C67BE" w:rsidP="003D0C04">
      <w:r>
        <w:separator/>
      </w:r>
    </w:p>
  </w:endnote>
  <w:endnote w:type="continuationSeparator" w:id="0">
    <w:p w:rsidR="007C67BE" w:rsidRDefault="007C67BE" w:rsidP="003D0C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3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4446"/>
      <w:docPartObj>
        <w:docPartGallery w:val="Page Numbers (Bottom of Page)"/>
        <w:docPartUnique/>
      </w:docPartObj>
    </w:sdtPr>
    <w:sdtContent>
      <w:p w:rsidR="001451BF" w:rsidRDefault="00C15FEE">
        <w:pPr>
          <w:pStyle w:val="a5"/>
          <w:jc w:val="center"/>
        </w:pPr>
        <w:fldSimple w:instr=" PAGE   \* MERGEFORMAT ">
          <w:r w:rsidR="00BE45B6" w:rsidRPr="00BE45B6">
            <w:rPr>
              <w:noProof/>
              <w:lang w:val="zh-TW"/>
            </w:rPr>
            <w:t>1</w:t>
          </w:r>
        </w:fldSimple>
      </w:p>
    </w:sdtContent>
  </w:sdt>
  <w:p w:rsidR="001451BF" w:rsidRDefault="001451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7BE" w:rsidRDefault="007C67BE" w:rsidP="003D0C04">
      <w:r>
        <w:separator/>
      </w:r>
    </w:p>
  </w:footnote>
  <w:footnote w:type="continuationSeparator" w:id="0">
    <w:p w:rsidR="007C67BE" w:rsidRDefault="007C67BE" w:rsidP="003D0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E04C3"/>
    <w:multiLevelType w:val="hybridMultilevel"/>
    <w:tmpl w:val="D77C36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5777"/>
    <w:rsid w:val="00017728"/>
    <w:rsid w:val="00041B04"/>
    <w:rsid w:val="000565C2"/>
    <w:rsid w:val="00091194"/>
    <w:rsid w:val="000A1AB1"/>
    <w:rsid w:val="000C015F"/>
    <w:rsid w:val="000D31C6"/>
    <w:rsid w:val="000E180F"/>
    <w:rsid w:val="000F23C5"/>
    <w:rsid w:val="001067C3"/>
    <w:rsid w:val="001266D7"/>
    <w:rsid w:val="001451BF"/>
    <w:rsid w:val="001579DD"/>
    <w:rsid w:val="00190005"/>
    <w:rsid w:val="001B395E"/>
    <w:rsid w:val="001C1B50"/>
    <w:rsid w:val="001C4F40"/>
    <w:rsid w:val="001D1730"/>
    <w:rsid w:val="00225777"/>
    <w:rsid w:val="002414E4"/>
    <w:rsid w:val="00246343"/>
    <w:rsid w:val="00260CBB"/>
    <w:rsid w:val="0027281A"/>
    <w:rsid w:val="00291284"/>
    <w:rsid w:val="002938DE"/>
    <w:rsid w:val="002A54D7"/>
    <w:rsid w:val="002C3861"/>
    <w:rsid w:val="002F1FB8"/>
    <w:rsid w:val="00306947"/>
    <w:rsid w:val="003637B4"/>
    <w:rsid w:val="003941DD"/>
    <w:rsid w:val="003B345D"/>
    <w:rsid w:val="003B5A37"/>
    <w:rsid w:val="003D0C04"/>
    <w:rsid w:val="003F1A28"/>
    <w:rsid w:val="00441216"/>
    <w:rsid w:val="00444239"/>
    <w:rsid w:val="004650B9"/>
    <w:rsid w:val="00472BA0"/>
    <w:rsid w:val="004752BC"/>
    <w:rsid w:val="004E552E"/>
    <w:rsid w:val="00520345"/>
    <w:rsid w:val="0059398C"/>
    <w:rsid w:val="005C78A7"/>
    <w:rsid w:val="005D518A"/>
    <w:rsid w:val="00622F42"/>
    <w:rsid w:val="00624104"/>
    <w:rsid w:val="00633277"/>
    <w:rsid w:val="0064372D"/>
    <w:rsid w:val="0067663C"/>
    <w:rsid w:val="00677F5D"/>
    <w:rsid w:val="006846CC"/>
    <w:rsid w:val="006D2176"/>
    <w:rsid w:val="00750F68"/>
    <w:rsid w:val="007C1DEA"/>
    <w:rsid w:val="007C67BE"/>
    <w:rsid w:val="007D3F18"/>
    <w:rsid w:val="007E2AC4"/>
    <w:rsid w:val="008173FA"/>
    <w:rsid w:val="0082575F"/>
    <w:rsid w:val="00851929"/>
    <w:rsid w:val="0089316E"/>
    <w:rsid w:val="008F6913"/>
    <w:rsid w:val="00946EEE"/>
    <w:rsid w:val="00975F4B"/>
    <w:rsid w:val="00994C96"/>
    <w:rsid w:val="009B6CA1"/>
    <w:rsid w:val="009C492F"/>
    <w:rsid w:val="00A34C31"/>
    <w:rsid w:val="00A35F52"/>
    <w:rsid w:val="00A64D87"/>
    <w:rsid w:val="00A65092"/>
    <w:rsid w:val="00A67697"/>
    <w:rsid w:val="00A720C0"/>
    <w:rsid w:val="00B05529"/>
    <w:rsid w:val="00B22A32"/>
    <w:rsid w:val="00B91CC0"/>
    <w:rsid w:val="00BD4595"/>
    <w:rsid w:val="00BE45B6"/>
    <w:rsid w:val="00C15FEE"/>
    <w:rsid w:val="00C20BCE"/>
    <w:rsid w:val="00C25242"/>
    <w:rsid w:val="00C456C2"/>
    <w:rsid w:val="00CA463F"/>
    <w:rsid w:val="00CC2241"/>
    <w:rsid w:val="00CD48E6"/>
    <w:rsid w:val="00CD7469"/>
    <w:rsid w:val="00CD7DE0"/>
    <w:rsid w:val="00CF73A0"/>
    <w:rsid w:val="00D37D7E"/>
    <w:rsid w:val="00D43D9C"/>
    <w:rsid w:val="00D55EDF"/>
    <w:rsid w:val="00D605C5"/>
    <w:rsid w:val="00D82BE1"/>
    <w:rsid w:val="00DF6E0B"/>
    <w:rsid w:val="00E25D40"/>
    <w:rsid w:val="00E77D1A"/>
    <w:rsid w:val="00E95986"/>
    <w:rsid w:val="00EB5B88"/>
    <w:rsid w:val="00EC02AE"/>
    <w:rsid w:val="00F2361C"/>
    <w:rsid w:val="00F32940"/>
    <w:rsid w:val="00F36135"/>
    <w:rsid w:val="00F628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77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25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rsid w:val="00225777"/>
    <w:rPr>
      <w:rFonts w:ascii="細明體" w:eastAsia="細明體" w:hAnsi="細明體" w:cs="細明體"/>
      <w:color w:val="333333"/>
      <w:kern w:val="0"/>
      <w:szCs w:val="24"/>
    </w:rPr>
  </w:style>
  <w:style w:type="paragraph" w:styleId="a3">
    <w:name w:val="header"/>
    <w:basedOn w:val="a"/>
    <w:link w:val="a4"/>
    <w:uiPriority w:val="99"/>
    <w:semiHidden/>
    <w:unhideWhenUsed/>
    <w:rsid w:val="003D0C04"/>
    <w:pPr>
      <w:tabs>
        <w:tab w:val="center" w:pos="4153"/>
        <w:tab w:val="right" w:pos="8306"/>
      </w:tabs>
      <w:snapToGrid w:val="0"/>
    </w:pPr>
    <w:rPr>
      <w:sz w:val="20"/>
      <w:szCs w:val="20"/>
    </w:rPr>
  </w:style>
  <w:style w:type="character" w:customStyle="1" w:styleId="a4">
    <w:name w:val="頁首 字元"/>
    <w:basedOn w:val="a0"/>
    <w:link w:val="a3"/>
    <w:uiPriority w:val="99"/>
    <w:semiHidden/>
    <w:rsid w:val="003D0C04"/>
    <w:rPr>
      <w:rFonts w:ascii="Times New Roman" w:eastAsia="新細明體" w:hAnsi="Times New Roman" w:cs="Times New Roman"/>
      <w:sz w:val="20"/>
      <w:szCs w:val="20"/>
    </w:rPr>
  </w:style>
  <w:style w:type="paragraph" w:styleId="a5">
    <w:name w:val="footer"/>
    <w:basedOn w:val="a"/>
    <w:link w:val="a6"/>
    <w:uiPriority w:val="99"/>
    <w:unhideWhenUsed/>
    <w:rsid w:val="003D0C04"/>
    <w:pPr>
      <w:tabs>
        <w:tab w:val="center" w:pos="4153"/>
        <w:tab w:val="right" w:pos="8306"/>
      </w:tabs>
      <w:snapToGrid w:val="0"/>
    </w:pPr>
    <w:rPr>
      <w:sz w:val="20"/>
      <w:szCs w:val="20"/>
    </w:rPr>
  </w:style>
  <w:style w:type="character" w:customStyle="1" w:styleId="a6">
    <w:name w:val="頁尾 字元"/>
    <w:basedOn w:val="a0"/>
    <w:link w:val="a5"/>
    <w:uiPriority w:val="99"/>
    <w:rsid w:val="003D0C04"/>
    <w:rPr>
      <w:rFonts w:ascii="Times New Roman" w:eastAsia="新細明體" w:hAnsi="Times New Roman" w:cs="Times New Roman"/>
      <w:sz w:val="20"/>
      <w:szCs w:val="20"/>
    </w:rPr>
  </w:style>
  <w:style w:type="paragraph" w:styleId="a7">
    <w:name w:val="List Paragraph"/>
    <w:basedOn w:val="a"/>
    <w:uiPriority w:val="34"/>
    <w:qFormat/>
    <w:rsid w:val="0064372D"/>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1016</dc:creator>
  <cp:lastModifiedBy>1143</cp:lastModifiedBy>
  <cp:revision>2</cp:revision>
  <cp:lastPrinted>2013-10-11T02:48:00Z</cp:lastPrinted>
  <dcterms:created xsi:type="dcterms:W3CDTF">2013-12-02T02:02:00Z</dcterms:created>
  <dcterms:modified xsi:type="dcterms:W3CDTF">2013-12-02T02:02:00Z</dcterms:modified>
</cp:coreProperties>
</file>