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83A" w:rsidRPr="00894382" w:rsidRDefault="00F923EA">
      <w:pPr>
        <w:spacing w:line="340" w:lineRule="exact"/>
        <w:rPr>
          <w:rFonts w:ascii="標楷體" w:eastAsia="標楷體" w:hAnsi="標楷體"/>
          <w:sz w:val="32"/>
          <w:szCs w:val="20"/>
        </w:rPr>
      </w:pPr>
      <w:r w:rsidRPr="00894382">
        <w:rPr>
          <w:rFonts w:ascii="標楷體" w:eastAsia="標楷體" w:hAnsi="標楷體"/>
          <w:sz w:val="32"/>
          <w:szCs w:val="20"/>
        </w:rPr>
        <w:t>臺灣證券交易所股份有限公司</w:t>
      </w:r>
      <w:r w:rsidRPr="00894382">
        <w:rPr>
          <w:rFonts w:ascii="標楷體" w:eastAsia="標楷體" w:hAnsi="標楷體"/>
          <w:strike/>
          <w:sz w:val="32"/>
          <w:szCs w:val="20"/>
        </w:rPr>
        <w:t>辦理</w:t>
      </w:r>
      <w:r w:rsidRPr="00894382">
        <w:rPr>
          <w:rFonts w:ascii="標楷體" w:eastAsia="標楷體" w:hAnsi="標楷體"/>
          <w:sz w:val="32"/>
          <w:szCs w:val="20"/>
        </w:rPr>
        <w:t>發行公司初次申請股票上市案意見徵詢作業要點第四條附件二</w:t>
      </w:r>
    </w:p>
    <w:p w:rsidR="0044783A" w:rsidRPr="00894382" w:rsidRDefault="0044783A">
      <w:pPr>
        <w:spacing w:line="340" w:lineRule="exact"/>
        <w:rPr>
          <w:rFonts w:ascii="標楷體" w:eastAsia="標楷體" w:hAnsi="標楷體"/>
          <w:sz w:val="32"/>
          <w:szCs w:val="20"/>
        </w:rPr>
      </w:pPr>
    </w:p>
    <w:p w:rsidR="0044783A" w:rsidRPr="00894382" w:rsidRDefault="00F923EA">
      <w:pPr>
        <w:spacing w:line="340" w:lineRule="exact"/>
        <w:rPr>
          <w:rFonts w:ascii="標楷體" w:eastAsia="標楷體" w:hAnsi="標楷體"/>
          <w:sz w:val="32"/>
          <w:szCs w:val="20"/>
        </w:rPr>
      </w:pPr>
      <w:r w:rsidRPr="00894382">
        <w:rPr>
          <w:rFonts w:ascii="標楷體" w:eastAsia="標楷體" w:hAnsi="標楷體"/>
          <w:sz w:val="32"/>
          <w:szCs w:val="20"/>
        </w:rPr>
        <w:t>臺灣證券交易所就</w:t>
      </w:r>
      <w:r w:rsidRPr="00894382">
        <w:rPr>
          <w:rFonts w:ascii="標楷體" w:eastAsia="標楷體" w:hAnsi="標楷體"/>
          <w:sz w:val="32"/>
          <w:szCs w:val="20"/>
        </w:rPr>
        <w:t>_________</w:t>
      </w:r>
      <w:r w:rsidRPr="00894382">
        <w:rPr>
          <w:rFonts w:ascii="標楷體" w:eastAsia="標楷體" w:hAnsi="標楷體"/>
          <w:sz w:val="32"/>
          <w:szCs w:val="20"/>
        </w:rPr>
        <w:t>股份有限公司初次申請股票上市案審查意見徵詢表</w:t>
      </w:r>
    </w:p>
    <w:p w:rsidR="0044783A" w:rsidRPr="00894382" w:rsidRDefault="0044783A">
      <w:pPr>
        <w:spacing w:line="340" w:lineRule="exact"/>
        <w:rPr>
          <w:rFonts w:ascii="標楷體" w:eastAsia="標楷體" w:hAnsi="標楷體"/>
          <w:sz w:val="32"/>
          <w:szCs w:val="20"/>
        </w:rPr>
      </w:pPr>
    </w:p>
    <w:p w:rsidR="0044783A" w:rsidRPr="00894382" w:rsidRDefault="00F923EA">
      <w:pPr>
        <w:spacing w:line="340" w:lineRule="exact"/>
        <w:rPr>
          <w:rFonts w:ascii="標楷體" w:eastAsia="標楷體" w:hAnsi="標楷體"/>
          <w:sz w:val="28"/>
          <w:szCs w:val="28"/>
        </w:rPr>
      </w:pPr>
      <w:r w:rsidRPr="00894382">
        <w:rPr>
          <w:rFonts w:ascii="標楷體" w:eastAsia="標楷體" w:hAnsi="標楷體"/>
          <w:sz w:val="28"/>
          <w:szCs w:val="28"/>
        </w:rPr>
        <w:t>有無有價證券上市審查準則第九條第一項各款規定不宜上市情事方面</w:t>
      </w:r>
    </w:p>
    <w:p w:rsidR="0044783A" w:rsidRPr="00894382" w:rsidRDefault="0044783A">
      <w:pPr>
        <w:spacing w:line="340" w:lineRule="exact"/>
        <w:rPr>
          <w:rFonts w:ascii="標楷體" w:eastAsia="標楷體" w:hAnsi="標楷體"/>
          <w:sz w:val="28"/>
          <w:szCs w:val="28"/>
        </w:rPr>
      </w:pPr>
    </w:p>
    <w:p w:rsidR="0044783A" w:rsidRPr="00894382" w:rsidRDefault="00F923EA">
      <w:pPr>
        <w:spacing w:line="340" w:lineRule="exact"/>
        <w:rPr>
          <w:rFonts w:ascii="標楷體" w:eastAsia="標楷體" w:hAnsi="標楷體"/>
          <w:sz w:val="28"/>
          <w:szCs w:val="28"/>
        </w:rPr>
      </w:pPr>
      <w:r w:rsidRPr="00894382">
        <w:rPr>
          <w:rFonts w:ascii="標楷體" w:eastAsia="標楷體" w:hAnsi="標楷體"/>
          <w:sz w:val="28"/>
          <w:szCs w:val="28"/>
        </w:rPr>
        <w:t>項目</w:t>
      </w:r>
      <w:r w:rsidR="00B648C5" w:rsidRPr="00B648C5">
        <w:rPr>
          <w:rFonts w:ascii="標楷體" w:eastAsia="標楷體" w:hAnsi="標楷體" w:hint="eastAsia"/>
          <w:strike/>
          <w:color w:val="000000"/>
          <w:sz w:val="28"/>
          <w:szCs w:val="28"/>
        </w:rPr>
        <w:t>（刪除原第2、7，故順次調整）</w:t>
      </w:r>
    </w:p>
    <w:p w:rsidR="0044783A" w:rsidRPr="00894382" w:rsidRDefault="00F923EA">
      <w:pPr>
        <w:numPr>
          <w:ilvl w:val="0"/>
          <w:numId w:val="1"/>
        </w:numPr>
        <w:spacing w:line="340" w:lineRule="exact"/>
        <w:rPr>
          <w:rFonts w:ascii="標楷體" w:eastAsia="標楷體" w:hAnsi="標楷體"/>
          <w:sz w:val="28"/>
        </w:rPr>
      </w:pPr>
      <w:r w:rsidRPr="00894382">
        <w:rPr>
          <w:rFonts w:ascii="標楷體" w:eastAsia="標楷體" w:hAnsi="標楷體"/>
          <w:sz w:val="28"/>
        </w:rPr>
        <w:t>遇有證券交易法第一百五十六條第一項第一款、第二款所列情事，或其行為有虛偽不實或違法情事，足以影響其上市後之證券價格，而及於市場秩序或損害公益之虞者。</w:t>
      </w:r>
    </w:p>
    <w:p w:rsidR="0044783A" w:rsidRPr="00894382" w:rsidRDefault="00F923EA" w:rsidP="00894382">
      <w:pPr>
        <w:numPr>
          <w:ilvl w:val="0"/>
          <w:numId w:val="1"/>
        </w:numPr>
        <w:spacing w:line="340" w:lineRule="exact"/>
        <w:rPr>
          <w:rFonts w:ascii="標楷體" w:eastAsia="標楷體" w:hAnsi="標楷體"/>
          <w:sz w:val="28"/>
        </w:rPr>
      </w:pPr>
      <w:r w:rsidRPr="00894382">
        <w:rPr>
          <w:rFonts w:ascii="標楷體" w:eastAsia="標楷體" w:hAnsi="標楷體"/>
          <w:sz w:val="28"/>
        </w:rPr>
        <w:t>財務或業務未能與他人獨立劃分者。</w:t>
      </w:r>
    </w:p>
    <w:p w:rsidR="0044783A" w:rsidRPr="00894382" w:rsidRDefault="00F923EA" w:rsidP="00894382">
      <w:pPr>
        <w:numPr>
          <w:ilvl w:val="0"/>
          <w:numId w:val="1"/>
        </w:numPr>
        <w:spacing w:line="340" w:lineRule="exact"/>
        <w:rPr>
          <w:rFonts w:ascii="標楷體" w:eastAsia="標楷體" w:hAnsi="標楷體"/>
          <w:sz w:val="28"/>
        </w:rPr>
      </w:pPr>
      <w:r w:rsidRPr="00894382">
        <w:rPr>
          <w:rFonts w:ascii="標楷體" w:eastAsia="標楷體" w:hAnsi="標楷體"/>
          <w:sz w:val="28"/>
        </w:rPr>
        <w:t>有足以影響公司財務業務正常營運之重大勞資糾紛或污染環境情事，尚未改善者。</w:t>
      </w:r>
    </w:p>
    <w:p w:rsidR="0044783A" w:rsidRPr="00894382" w:rsidRDefault="00F923EA" w:rsidP="00894382">
      <w:pPr>
        <w:numPr>
          <w:ilvl w:val="0"/>
          <w:numId w:val="1"/>
        </w:numPr>
        <w:spacing w:line="340" w:lineRule="exact"/>
        <w:rPr>
          <w:rFonts w:ascii="標楷體" w:eastAsia="標楷體" w:hAnsi="標楷體"/>
          <w:sz w:val="28"/>
        </w:rPr>
      </w:pPr>
      <w:r w:rsidRPr="00894382">
        <w:rPr>
          <w:rFonts w:ascii="標楷體" w:eastAsia="標楷體" w:hAnsi="標楷體"/>
          <w:sz w:val="28"/>
        </w:rPr>
        <w:t>經發現有重大非常規交易，尚未改善</w:t>
      </w:r>
      <w:r w:rsidRPr="00894382">
        <w:rPr>
          <w:rFonts w:ascii="標楷體" w:eastAsia="標楷體" w:hAnsi="標楷體"/>
          <w:sz w:val="28"/>
        </w:rPr>
        <w:t>者。</w:t>
      </w:r>
    </w:p>
    <w:p w:rsidR="0044783A" w:rsidRPr="00894382" w:rsidRDefault="00F923EA" w:rsidP="00894382">
      <w:pPr>
        <w:numPr>
          <w:ilvl w:val="0"/>
          <w:numId w:val="1"/>
        </w:numPr>
        <w:spacing w:line="340" w:lineRule="exact"/>
        <w:rPr>
          <w:rFonts w:ascii="標楷體" w:eastAsia="標楷體" w:hAnsi="標楷體"/>
          <w:sz w:val="28"/>
        </w:rPr>
      </w:pPr>
      <w:r w:rsidRPr="00894382">
        <w:rPr>
          <w:rFonts w:ascii="標楷體" w:eastAsia="標楷體" w:hAnsi="標楷體"/>
          <w:sz w:val="28"/>
        </w:rPr>
        <w:t>申請上市年度已辦理及辦理中之增資發行新股併入各年度之決算實收資本額計算，不符合上市規定條件者。</w:t>
      </w:r>
    </w:p>
    <w:p w:rsidR="0044783A" w:rsidRPr="00894382" w:rsidRDefault="00F923EA" w:rsidP="00894382">
      <w:pPr>
        <w:numPr>
          <w:ilvl w:val="0"/>
          <w:numId w:val="1"/>
        </w:numPr>
        <w:spacing w:line="340" w:lineRule="exact"/>
        <w:rPr>
          <w:rFonts w:ascii="標楷體" w:eastAsia="標楷體" w:hAnsi="標楷體"/>
          <w:sz w:val="28"/>
        </w:rPr>
      </w:pPr>
      <w:r w:rsidRPr="00894382">
        <w:rPr>
          <w:rFonts w:ascii="標楷體" w:eastAsia="標楷體" w:hAnsi="標楷體"/>
          <w:sz w:val="28"/>
        </w:rPr>
        <w:t>有迄未有效執行畫面會計制度、內部控制制度、內部稽核制度，或不依有關法令及一般公認會計原則編製財務報告等情事，情節重大者。</w:t>
      </w:r>
    </w:p>
    <w:p w:rsidR="0044783A" w:rsidRPr="00894382" w:rsidRDefault="00F923EA" w:rsidP="00894382">
      <w:pPr>
        <w:numPr>
          <w:ilvl w:val="0"/>
          <w:numId w:val="1"/>
        </w:numPr>
        <w:spacing w:line="340" w:lineRule="exact"/>
        <w:rPr>
          <w:rFonts w:ascii="標楷體" w:eastAsia="標楷體" w:hAnsi="標楷體"/>
          <w:sz w:val="28"/>
        </w:rPr>
      </w:pPr>
      <w:r w:rsidRPr="00894382">
        <w:rPr>
          <w:rFonts w:ascii="標楷體" w:eastAsia="標楷體" w:hAnsi="標楷體"/>
          <w:sz w:val="28"/>
        </w:rPr>
        <w:t>所營事業嚴重衰退者。</w:t>
      </w:r>
    </w:p>
    <w:p w:rsidR="0044783A" w:rsidRPr="00894382" w:rsidRDefault="00F923EA" w:rsidP="00894382">
      <w:pPr>
        <w:numPr>
          <w:ilvl w:val="0"/>
          <w:numId w:val="1"/>
        </w:numPr>
        <w:spacing w:line="340" w:lineRule="exact"/>
        <w:rPr>
          <w:rFonts w:ascii="標楷體" w:eastAsia="標楷體" w:hAnsi="標楷體"/>
          <w:sz w:val="28"/>
        </w:rPr>
      </w:pPr>
      <w:r w:rsidRPr="00894382">
        <w:rPr>
          <w:rFonts w:ascii="標楷體" w:eastAsia="標楷體" w:hAnsi="標楷體"/>
          <w:sz w:val="28"/>
          <w:shd w:val="clear" w:color="auto" w:fill="FFFFFF"/>
        </w:rPr>
        <w:t>申請公司於</w:t>
      </w:r>
      <w:r w:rsidRPr="00894382">
        <w:rPr>
          <w:rFonts w:ascii="標楷體" w:eastAsia="標楷體" w:hAnsi="標楷體"/>
          <w:sz w:val="28"/>
        </w:rPr>
        <w:t>最近五年內，或</w:t>
      </w:r>
      <w:r w:rsidRPr="00894382">
        <w:rPr>
          <w:rFonts w:ascii="標楷體" w:eastAsia="標楷體" w:hAnsi="標楷體"/>
          <w:sz w:val="28"/>
        </w:rPr>
        <w:t>其</w:t>
      </w:r>
      <w:r w:rsidRPr="00894382">
        <w:rPr>
          <w:rFonts w:ascii="標楷體" w:eastAsia="標楷體" w:hAnsi="標楷體"/>
          <w:sz w:val="28"/>
          <w:shd w:val="clear" w:color="auto" w:fill="FFFFFF"/>
        </w:rPr>
        <w:t>現任</w:t>
      </w:r>
      <w:r w:rsidRPr="00894382">
        <w:rPr>
          <w:rFonts w:ascii="標楷體" w:eastAsia="標楷體" w:hAnsi="標楷體"/>
          <w:sz w:val="28"/>
        </w:rPr>
        <w:t>董事</w:t>
      </w:r>
      <w:r w:rsidRPr="00894382">
        <w:rPr>
          <w:rFonts w:ascii="標楷體" w:eastAsia="標楷體" w:hAnsi="標楷體"/>
          <w:strike/>
          <w:sz w:val="28"/>
        </w:rPr>
        <w:t>、監察人</w:t>
      </w:r>
      <w:r w:rsidRPr="00894382">
        <w:rPr>
          <w:rFonts w:ascii="標楷體" w:eastAsia="標楷體" w:hAnsi="標楷體"/>
          <w:sz w:val="28"/>
        </w:rPr>
        <w:t>、總經理或實質負責人</w:t>
      </w:r>
      <w:r w:rsidRPr="00894382">
        <w:rPr>
          <w:rFonts w:ascii="標楷體" w:eastAsia="標楷體" w:hAnsi="標楷體"/>
          <w:sz w:val="28"/>
          <w:shd w:val="clear" w:color="auto" w:fill="FFFFFF"/>
        </w:rPr>
        <w:t>於最近三年內</w:t>
      </w:r>
      <w:r w:rsidRPr="00894382">
        <w:rPr>
          <w:rFonts w:ascii="標楷體" w:eastAsia="標楷體" w:hAnsi="標楷體"/>
          <w:sz w:val="28"/>
        </w:rPr>
        <w:t>，有違反誠信原則之行為者。</w:t>
      </w:r>
    </w:p>
    <w:p w:rsidR="0044783A" w:rsidRPr="00894382" w:rsidRDefault="00F923EA" w:rsidP="00894382">
      <w:pPr>
        <w:numPr>
          <w:ilvl w:val="0"/>
          <w:numId w:val="1"/>
        </w:numPr>
        <w:spacing w:line="340" w:lineRule="exact"/>
        <w:rPr>
          <w:rFonts w:ascii="標楷體" w:eastAsia="標楷體" w:hAnsi="標楷體"/>
          <w:sz w:val="28"/>
        </w:rPr>
      </w:pPr>
      <w:r w:rsidRPr="00894382">
        <w:rPr>
          <w:rFonts w:ascii="標楷體" w:eastAsia="標楷體" w:hAnsi="標楷體"/>
          <w:sz w:val="28"/>
        </w:rPr>
        <w:t>董事、</w:t>
      </w:r>
      <w:r w:rsidRPr="00894382">
        <w:rPr>
          <w:rFonts w:ascii="標楷體" w:eastAsia="標楷體" w:hAnsi="標楷體"/>
          <w:strike/>
          <w:sz w:val="28"/>
        </w:rPr>
        <w:t>監察人</w:t>
      </w:r>
      <w:r w:rsidRPr="00894382">
        <w:rPr>
          <w:rFonts w:ascii="標楷體" w:eastAsia="標楷體" w:hAnsi="標楷體"/>
          <w:sz w:val="28"/>
        </w:rPr>
        <w:t>及持股超過其</w:t>
      </w:r>
      <w:r w:rsidRPr="00894382">
        <w:rPr>
          <w:rFonts w:ascii="標楷體" w:eastAsia="標楷體" w:hAnsi="標楷體"/>
          <w:sz w:val="28"/>
          <w:shd w:val="clear" w:color="auto" w:fill="FFFFFF"/>
        </w:rPr>
        <w:t>發行</w:t>
      </w:r>
      <w:r w:rsidRPr="00894382">
        <w:rPr>
          <w:rFonts w:ascii="標楷體" w:eastAsia="標楷體" w:hAnsi="標楷體"/>
          <w:sz w:val="28"/>
        </w:rPr>
        <w:t>股份總額百分之十之股東，</w:t>
      </w:r>
      <w:r w:rsidRPr="00894382">
        <w:rPr>
          <w:rFonts w:ascii="標楷體" w:eastAsia="標楷體" w:hAnsi="標楷體"/>
          <w:sz w:val="28"/>
          <w:shd w:val="clear" w:color="auto" w:fill="FFFFFF"/>
        </w:rPr>
        <w:t>於申請上市會計年度及其最近一個會計年度內，</w:t>
      </w:r>
      <w:r w:rsidRPr="00894382">
        <w:rPr>
          <w:rFonts w:ascii="標楷體" w:eastAsia="標楷體" w:hAnsi="標楷體"/>
          <w:sz w:val="28"/>
        </w:rPr>
        <w:t>有</w:t>
      </w:r>
      <w:r w:rsidRPr="00894382">
        <w:rPr>
          <w:rFonts w:ascii="標楷體" w:eastAsia="標楷體" w:hAnsi="標楷體"/>
          <w:sz w:val="28"/>
        </w:rPr>
        <w:t>大量之股權移轉情事者。</w:t>
      </w:r>
    </w:p>
    <w:p w:rsidR="0044783A" w:rsidRPr="00894382" w:rsidRDefault="00F923EA" w:rsidP="00894382">
      <w:pPr>
        <w:numPr>
          <w:ilvl w:val="0"/>
          <w:numId w:val="1"/>
        </w:numPr>
        <w:spacing w:line="340" w:lineRule="exact"/>
        <w:rPr>
          <w:rFonts w:ascii="標楷體" w:eastAsia="標楷體" w:hAnsi="標楷體" w:hint="eastAsia"/>
          <w:sz w:val="28"/>
        </w:rPr>
      </w:pPr>
      <w:r w:rsidRPr="00894382">
        <w:rPr>
          <w:rFonts w:ascii="標楷體" w:eastAsia="標楷體" w:hAnsi="標楷體"/>
          <w:sz w:val="28"/>
        </w:rPr>
        <w:t>申請公司之</w:t>
      </w:r>
      <w:r w:rsidRPr="00894382">
        <w:rPr>
          <w:rFonts w:ascii="標楷體" w:eastAsia="標楷體" w:hAnsi="標楷體"/>
          <w:sz w:val="28"/>
          <w:shd w:val="clear" w:color="auto" w:fill="FFFFFF"/>
        </w:rPr>
        <w:t>董事會成員少於五人，或獨立董事人數少於</w:t>
      </w:r>
      <w:r w:rsidRPr="00894382">
        <w:rPr>
          <w:rFonts w:ascii="標楷體" w:eastAsia="標楷體" w:hAnsi="標楷體"/>
          <w:sz w:val="28"/>
          <w:u w:val="single"/>
          <w:shd w:val="clear" w:color="auto" w:fill="FFFFFF"/>
        </w:rPr>
        <w:t>三</w:t>
      </w:r>
      <w:r w:rsidRPr="00894382">
        <w:rPr>
          <w:rFonts w:ascii="標楷體" w:eastAsia="標楷體" w:hAnsi="標楷體"/>
          <w:sz w:val="28"/>
          <w:shd w:val="clear" w:color="auto" w:fill="FFFFFF"/>
        </w:rPr>
        <w:t>人</w:t>
      </w:r>
      <w:r w:rsidRPr="00894382">
        <w:rPr>
          <w:rFonts w:ascii="標楷體" w:eastAsia="標楷體" w:hAnsi="標楷體"/>
          <w:strike/>
          <w:sz w:val="28"/>
          <w:shd w:val="clear" w:color="auto" w:fill="FFFFFF"/>
        </w:rPr>
        <w:t>；監察人少於三人，或獨立監察人人數少於一人</w:t>
      </w:r>
      <w:r w:rsidRPr="00894382">
        <w:rPr>
          <w:rFonts w:ascii="標楷體" w:eastAsia="標楷體" w:hAnsi="標楷體"/>
          <w:sz w:val="28"/>
          <w:shd w:val="clear" w:color="auto" w:fill="FFFFFF"/>
        </w:rPr>
        <w:t>；或其</w:t>
      </w:r>
      <w:r w:rsidRPr="00894382">
        <w:rPr>
          <w:rFonts w:ascii="標楷體" w:eastAsia="標楷體" w:hAnsi="標楷體"/>
          <w:sz w:val="28"/>
        </w:rPr>
        <w:t>董事會</w:t>
      </w:r>
      <w:r w:rsidRPr="00894382">
        <w:rPr>
          <w:rFonts w:ascii="標楷體" w:eastAsia="標楷體" w:hAnsi="標楷體"/>
          <w:strike/>
          <w:sz w:val="28"/>
        </w:rPr>
        <w:t>、監察人</w:t>
      </w:r>
      <w:r w:rsidRPr="00894382">
        <w:rPr>
          <w:rFonts w:ascii="標楷體" w:eastAsia="標楷體" w:hAnsi="標楷體"/>
          <w:sz w:val="28"/>
        </w:rPr>
        <w:t>有無法獨立執行其職務者。</w:t>
      </w:r>
      <w:r w:rsidRPr="00894382">
        <w:rPr>
          <w:rFonts w:ascii="標楷體" w:eastAsia="標楷體" w:hAnsi="標楷體"/>
          <w:sz w:val="28"/>
          <w:shd w:val="clear" w:color="auto" w:fill="FFFFFF"/>
        </w:rPr>
        <w:t>另所選任獨立董事</w:t>
      </w:r>
      <w:r w:rsidRPr="00894382">
        <w:rPr>
          <w:rFonts w:ascii="標楷體" w:eastAsia="標楷體" w:hAnsi="標楷體"/>
          <w:strike/>
          <w:sz w:val="28"/>
          <w:shd w:val="clear" w:color="auto" w:fill="FFFFFF"/>
        </w:rPr>
        <w:t>及獨立監察人以非為公司法第二十七條所定之法人或其代表人為限，且</w:t>
      </w:r>
      <w:r w:rsidRPr="00894382">
        <w:rPr>
          <w:rFonts w:ascii="標楷體" w:eastAsia="標楷體" w:hAnsi="標楷體"/>
          <w:sz w:val="28"/>
          <w:shd w:val="clear" w:color="auto" w:fill="FFFFFF"/>
        </w:rPr>
        <w:t>其中</w:t>
      </w:r>
      <w:r w:rsidRPr="00894382">
        <w:rPr>
          <w:rFonts w:ascii="標楷體" w:eastAsia="標楷體" w:hAnsi="標楷體"/>
          <w:strike/>
          <w:sz w:val="28"/>
          <w:shd w:val="clear" w:color="auto" w:fill="FFFFFF"/>
        </w:rPr>
        <w:t>各</w:t>
      </w:r>
      <w:r w:rsidRPr="00894382">
        <w:rPr>
          <w:rFonts w:ascii="標楷體" w:eastAsia="標楷體" w:hAnsi="標楷體"/>
          <w:sz w:val="28"/>
          <w:shd w:val="clear" w:color="auto" w:fill="FFFFFF"/>
        </w:rPr>
        <w:t>至少一人須為會計或財務專業人士。</w:t>
      </w:r>
    </w:p>
    <w:p w:rsidR="0044783A" w:rsidRPr="00894382" w:rsidRDefault="00F923EA" w:rsidP="00894382">
      <w:pPr>
        <w:numPr>
          <w:ilvl w:val="0"/>
          <w:numId w:val="1"/>
        </w:numPr>
        <w:spacing w:line="340" w:lineRule="exact"/>
        <w:rPr>
          <w:rFonts w:ascii="標楷體" w:eastAsia="標楷體" w:hAnsi="標楷體"/>
          <w:sz w:val="28"/>
        </w:rPr>
      </w:pPr>
      <w:r w:rsidRPr="00894382">
        <w:rPr>
          <w:rFonts w:ascii="標楷體" w:eastAsia="標楷體" w:hAnsi="標楷體"/>
          <w:sz w:val="28"/>
          <w:shd w:val="clear" w:color="auto" w:fill="FFFFFF"/>
        </w:rPr>
        <w:t>申請公司於申請上市會計年度及其最近一個會計年度已登錄為證券商營業處所買賣興櫃股票，於掛牌日起，其現任董事</w:t>
      </w:r>
      <w:r w:rsidRPr="00894382">
        <w:rPr>
          <w:rFonts w:ascii="標楷體" w:eastAsia="標楷體" w:hAnsi="標楷體"/>
          <w:strike/>
          <w:sz w:val="28"/>
          <w:shd w:val="clear" w:color="auto" w:fill="FFFFFF"/>
        </w:rPr>
        <w:t>、監察人</w:t>
      </w:r>
      <w:r w:rsidRPr="00894382">
        <w:rPr>
          <w:rFonts w:ascii="標楷體" w:eastAsia="標楷體" w:hAnsi="標楷體"/>
          <w:sz w:val="28"/>
          <w:shd w:val="clear" w:color="auto" w:fill="FFFFFF"/>
        </w:rPr>
        <w:t>及持股超過其發行股份</w:t>
      </w:r>
      <w:r w:rsidRPr="00894382">
        <w:rPr>
          <w:rFonts w:ascii="標楷體" w:eastAsia="標楷體" w:hAnsi="標楷體"/>
          <w:sz w:val="28"/>
          <w:shd w:val="clear" w:color="auto" w:fill="FFFFFF"/>
        </w:rPr>
        <w:t>總額百分之十之股東有未於興櫃股票市場而買賣申請公司發行之股票情事者。但因辦理本準則第十一條之承銷事宜或有其他正當事由者，不在此限。</w:t>
      </w:r>
    </w:p>
    <w:p w:rsidR="0069234F" w:rsidRDefault="00F923EA" w:rsidP="00894382">
      <w:pPr>
        <w:numPr>
          <w:ilvl w:val="0"/>
          <w:numId w:val="1"/>
        </w:numPr>
        <w:spacing w:line="340" w:lineRule="exact"/>
        <w:rPr>
          <w:rFonts w:ascii="標楷體" w:eastAsia="標楷體" w:hAnsi="標楷體"/>
          <w:sz w:val="28"/>
        </w:rPr>
      </w:pPr>
      <w:r w:rsidRPr="00894382">
        <w:rPr>
          <w:rFonts w:ascii="標楷體" w:eastAsia="標楷體" w:hAnsi="標楷體"/>
          <w:sz w:val="28"/>
        </w:rPr>
        <w:t>其他因事業範圍、性質或特殊狀況，本公司認為不宜上市者。</w:t>
      </w:r>
    </w:p>
    <w:p w:rsidR="0069234F" w:rsidRPr="0069234F" w:rsidRDefault="0069234F" w:rsidP="0069234F">
      <w:pPr>
        <w:rPr>
          <w:rFonts w:ascii="標楷體" w:eastAsia="標楷體" w:hAnsi="標楷體"/>
          <w:sz w:val="28"/>
        </w:rPr>
      </w:pPr>
    </w:p>
    <w:p w:rsidR="0069234F" w:rsidRDefault="0069234F" w:rsidP="0069234F">
      <w:pPr>
        <w:rPr>
          <w:rFonts w:ascii="標楷體" w:eastAsia="標楷體" w:hAnsi="標楷體"/>
          <w:sz w:val="28"/>
        </w:rPr>
      </w:pPr>
    </w:p>
    <w:p w:rsidR="0044783A" w:rsidRPr="0069234F" w:rsidRDefault="0044783A" w:rsidP="0069234F">
      <w:pPr>
        <w:jc w:val="center"/>
        <w:rPr>
          <w:rFonts w:ascii="標楷體" w:eastAsia="標楷體" w:hAnsi="標楷體"/>
          <w:sz w:val="28"/>
        </w:rPr>
      </w:pPr>
      <w:bookmarkStart w:id="0" w:name="_GoBack"/>
      <w:bookmarkEnd w:id="0"/>
    </w:p>
    <w:sectPr w:rsidR="0044783A" w:rsidRPr="0069234F">
      <w:pgSz w:w="11906" w:h="16838"/>
      <w:pgMar w:top="1440" w:right="851" w:bottom="1440" w:left="851"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3EA" w:rsidRDefault="00F923EA">
      <w:r>
        <w:separator/>
      </w:r>
    </w:p>
  </w:endnote>
  <w:endnote w:type="continuationSeparator" w:id="0">
    <w:p w:rsidR="00F923EA" w:rsidRDefault="00F9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3EA" w:rsidRDefault="00F923EA">
      <w:r>
        <w:rPr>
          <w:color w:val="000000"/>
        </w:rPr>
        <w:separator/>
      </w:r>
    </w:p>
  </w:footnote>
  <w:footnote w:type="continuationSeparator" w:id="0">
    <w:p w:rsidR="00F923EA" w:rsidRDefault="00F92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F74EB"/>
    <w:multiLevelType w:val="multilevel"/>
    <w:tmpl w:val="37CE5A7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44783A"/>
    <w:rsid w:val="0044783A"/>
    <w:rsid w:val="0069234F"/>
    <w:rsid w:val="00894382"/>
    <w:rsid w:val="00B648C5"/>
    <w:rsid w:val="00F923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73CC6"/>
  <w15:docId w15:val="{5F36F9F1-7909-4184-AF59-6BF3473F7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685</Characters>
  <Application>Microsoft Office Word</Application>
  <DocSecurity>0</DocSecurity>
  <Lines>5</Lines>
  <Paragraphs>1</Paragraphs>
  <ScaleCrop>false</ScaleCrop>
  <Company>TWSE 臺灣證券交易所</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臺灣證券交易所股份有限公司審查有價證券上市作業程序第七條附件九</dc:title>
  <dc:creator>TSEC</dc:creator>
  <cp:lastModifiedBy>陳怡靜</cp:lastModifiedBy>
  <cp:revision>5</cp:revision>
  <dcterms:created xsi:type="dcterms:W3CDTF">2017-09-11T07:01:00Z</dcterms:created>
  <dcterms:modified xsi:type="dcterms:W3CDTF">2017-09-11T07:04:00Z</dcterms:modified>
</cp:coreProperties>
</file>