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F7A" w:rsidRDefault="00FF4F7A" w:rsidP="00FF4F7A">
      <w:pPr>
        <w:spacing w:line="0" w:lineRule="atLeast"/>
        <w:jc w:val="center"/>
        <w:rPr>
          <w:rFonts w:ascii="標楷體" w:eastAsia="標楷體" w:hAnsi="標楷體"/>
          <w:sz w:val="36"/>
          <w:szCs w:val="36"/>
        </w:rPr>
      </w:pPr>
      <w:bookmarkStart w:id="0" w:name="_GoBack"/>
      <w:bookmarkEnd w:id="0"/>
      <w:r>
        <w:rPr>
          <w:rFonts w:ascii="標楷體" w:eastAsia="標楷體" w:hAnsi="標楷體" w:hint="eastAsia"/>
          <w:sz w:val="36"/>
          <w:szCs w:val="36"/>
        </w:rPr>
        <w:t>臺灣證券交易所股份有限公司營業細則</w:t>
      </w:r>
    </w:p>
    <w:p w:rsidR="00FF4F7A" w:rsidRDefault="005357A9" w:rsidP="00FF4F7A">
      <w:pPr>
        <w:spacing w:line="0" w:lineRule="atLeast"/>
        <w:jc w:val="center"/>
        <w:rPr>
          <w:rFonts w:ascii="標楷體" w:eastAsia="標楷體" w:hAnsi="標楷體"/>
          <w:sz w:val="36"/>
          <w:szCs w:val="36"/>
        </w:rPr>
      </w:pPr>
      <w:r w:rsidRPr="005357A9">
        <w:rPr>
          <w:rFonts w:ascii="標楷體" w:eastAsia="標楷體" w:hAnsi="標楷體" w:hint="eastAsia"/>
          <w:sz w:val="36"/>
          <w:szCs w:val="36"/>
        </w:rPr>
        <w:t>第八十三條修正條文對照表</w:t>
      </w:r>
    </w:p>
    <w:tbl>
      <w:tblPr>
        <w:tblW w:w="9213" w:type="dxa"/>
        <w:tblInd w:w="28" w:type="dxa"/>
        <w:tblCellMar>
          <w:left w:w="0" w:type="dxa"/>
          <w:right w:w="0" w:type="dxa"/>
        </w:tblCellMar>
        <w:tblLook w:val="04A0" w:firstRow="1" w:lastRow="0" w:firstColumn="1" w:lastColumn="0" w:noHBand="0" w:noVBand="1"/>
      </w:tblPr>
      <w:tblGrid>
        <w:gridCol w:w="3431"/>
        <w:gridCol w:w="3432"/>
        <w:gridCol w:w="2350"/>
      </w:tblGrid>
      <w:tr w:rsidR="0097797B" w:rsidTr="00132E70">
        <w:tc>
          <w:tcPr>
            <w:tcW w:w="3431" w:type="dxa"/>
            <w:tcBorders>
              <w:top w:val="single" w:sz="8" w:space="0" w:color="auto"/>
              <w:left w:val="single" w:sz="8" w:space="0" w:color="auto"/>
              <w:bottom w:val="single" w:sz="8" w:space="0" w:color="auto"/>
              <w:right w:val="single" w:sz="8" w:space="0" w:color="auto"/>
            </w:tcBorders>
          </w:tcPr>
          <w:p w:rsidR="0097797B" w:rsidRDefault="0097797B" w:rsidP="0097797B">
            <w:pPr>
              <w:spacing w:line="360" w:lineRule="exact"/>
              <w:jc w:val="center"/>
              <w:rPr>
                <w:rFonts w:ascii="標楷體" w:eastAsia="標楷體" w:hAnsi="標楷體"/>
                <w:kern w:val="2"/>
              </w:rPr>
            </w:pPr>
            <w:r>
              <w:rPr>
                <w:rFonts w:ascii="標楷體" w:eastAsia="標楷體" w:hAnsi="標楷體" w:hint="eastAsia"/>
                <w:kern w:val="2"/>
              </w:rPr>
              <w:t>修正條文</w:t>
            </w:r>
          </w:p>
        </w:tc>
        <w:tc>
          <w:tcPr>
            <w:tcW w:w="343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97797B" w:rsidRDefault="00D74B92" w:rsidP="0097797B">
            <w:pPr>
              <w:spacing w:line="360" w:lineRule="exact"/>
              <w:jc w:val="center"/>
              <w:rPr>
                <w:rFonts w:ascii="標楷體" w:eastAsia="標楷體" w:hAnsi="標楷體"/>
                <w:kern w:val="2"/>
              </w:rPr>
            </w:pPr>
            <w:r>
              <w:rPr>
                <w:rFonts w:ascii="標楷體" w:eastAsia="標楷體" w:hAnsi="標楷體" w:hint="eastAsia"/>
                <w:kern w:val="2"/>
              </w:rPr>
              <w:t>現行</w:t>
            </w:r>
            <w:r w:rsidR="0097797B">
              <w:rPr>
                <w:rFonts w:ascii="標楷體" w:eastAsia="標楷體" w:hAnsi="標楷體" w:hint="eastAsia"/>
                <w:kern w:val="2"/>
              </w:rPr>
              <w:t>條文</w:t>
            </w:r>
          </w:p>
        </w:tc>
        <w:tc>
          <w:tcPr>
            <w:tcW w:w="235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97797B" w:rsidRDefault="00D74B92" w:rsidP="0097797B">
            <w:pPr>
              <w:spacing w:line="360" w:lineRule="exact"/>
              <w:jc w:val="center"/>
              <w:rPr>
                <w:rFonts w:ascii="標楷體" w:eastAsia="標楷體" w:hAnsi="標楷體"/>
                <w:kern w:val="2"/>
              </w:rPr>
            </w:pPr>
            <w:r>
              <w:rPr>
                <w:rFonts w:ascii="標楷體" w:eastAsia="標楷體" w:hAnsi="標楷體" w:hint="eastAsia"/>
                <w:kern w:val="2"/>
              </w:rPr>
              <w:t>說明</w:t>
            </w:r>
          </w:p>
        </w:tc>
      </w:tr>
      <w:tr w:rsidR="0097797B" w:rsidTr="00132E70">
        <w:tc>
          <w:tcPr>
            <w:tcW w:w="3431" w:type="dxa"/>
            <w:tcBorders>
              <w:top w:val="nil"/>
              <w:left w:val="single" w:sz="8" w:space="0" w:color="auto"/>
              <w:bottom w:val="single" w:sz="8" w:space="0" w:color="auto"/>
              <w:right w:val="single" w:sz="8" w:space="0" w:color="auto"/>
            </w:tcBorders>
          </w:tcPr>
          <w:p w:rsidR="0097797B" w:rsidRDefault="00B2397C" w:rsidP="0097797B">
            <w:pPr>
              <w:spacing w:line="0" w:lineRule="atLeast"/>
              <w:jc w:val="both"/>
              <w:rPr>
                <w:rFonts w:ascii="標楷體" w:eastAsia="標楷體" w:hAnsi="標楷體"/>
                <w:kern w:val="2"/>
              </w:rPr>
            </w:pPr>
            <w:hyperlink r:id="rId7" w:history="1">
              <w:r w:rsidR="0097797B">
                <w:rPr>
                  <w:rStyle w:val="a3"/>
                  <w:rFonts w:ascii="標楷體" w:eastAsia="標楷體" w:hAnsi="標楷體" w:hint="eastAsia"/>
                  <w:color w:val="auto"/>
                  <w:kern w:val="2"/>
                  <w:u w:val="none"/>
                </w:rPr>
                <w:t>第八十三條</w:t>
              </w:r>
            </w:hyperlink>
          </w:p>
          <w:p w:rsidR="00D029F4" w:rsidRDefault="00132E70" w:rsidP="00D029F4">
            <w:pPr>
              <w:spacing w:line="0" w:lineRule="atLeast"/>
              <w:jc w:val="both"/>
              <w:rPr>
                <w:rFonts w:ascii="標楷體" w:eastAsia="標楷體" w:hAnsi="標楷體"/>
                <w:kern w:val="2"/>
              </w:rPr>
            </w:pPr>
            <w:r>
              <w:rPr>
                <w:rFonts w:ascii="標楷體" w:eastAsia="標楷體" w:hAnsi="標楷體" w:hint="eastAsia"/>
                <w:kern w:val="2"/>
              </w:rPr>
              <w:t xml:space="preserve">    </w:t>
            </w:r>
            <w:r w:rsidR="00D029F4" w:rsidRPr="00D029F4">
              <w:rPr>
                <w:rFonts w:ascii="標楷體" w:eastAsia="標楷體" w:hAnsi="標楷體" w:hint="eastAsia"/>
                <w:kern w:val="2"/>
              </w:rPr>
              <w:t>證券經紀商因受託買賣關係所收受或交付委託人之有價證券或價金，均應有詳實之紀錄及收付憑證。</w:t>
            </w:r>
          </w:p>
          <w:p w:rsidR="00D029F4" w:rsidRDefault="00D029F4" w:rsidP="00D029F4">
            <w:pPr>
              <w:spacing w:line="0" w:lineRule="atLeast"/>
              <w:jc w:val="both"/>
              <w:rPr>
                <w:rFonts w:ascii="標楷體" w:eastAsia="標楷體" w:hAnsi="標楷體"/>
                <w:kern w:val="2"/>
              </w:rPr>
            </w:pPr>
            <w:r>
              <w:rPr>
                <w:rFonts w:ascii="標楷體" w:eastAsia="標楷體" w:hAnsi="標楷體" w:hint="eastAsia"/>
                <w:kern w:val="2"/>
              </w:rPr>
              <w:t xml:space="preserve">    </w:t>
            </w:r>
            <w:r w:rsidRPr="00D029F4">
              <w:rPr>
                <w:rFonts w:ascii="標楷體" w:eastAsia="標楷體" w:hAnsi="標楷體" w:hint="eastAsia"/>
                <w:kern w:val="2"/>
              </w:rPr>
              <w:t>前項收付憑證包括預收款券收據、證券交付清單及買賣報告書，其格式及應行記載事項依主管機關之規定；金融機構兼營證券經紀商設有存款專戶可資查對者，得免用買賣報告書。</w:t>
            </w:r>
          </w:p>
          <w:p w:rsidR="0097797B" w:rsidRDefault="00D029F4" w:rsidP="0097797B">
            <w:pPr>
              <w:spacing w:line="0" w:lineRule="atLeast"/>
              <w:jc w:val="both"/>
              <w:rPr>
                <w:rFonts w:ascii="標楷體" w:eastAsia="標楷體" w:hAnsi="標楷體"/>
                <w:kern w:val="2"/>
              </w:rPr>
            </w:pPr>
            <w:r>
              <w:rPr>
                <w:rFonts w:ascii="標楷體" w:eastAsia="標楷體" w:hAnsi="標楷體" w:hint="eastAsia"/>
                <w:kern w:val="2"/>
              </w:rPr>
              <w:t xml:space="preserve">    </w:t>
            </w:r>
            <w:r w:rsidR="0097797B">
              <w:rPr>
                <w:rFonts w:ascii="標楷體" w:eastAsia="標楷體" w:hAnsi="標楷體" w:hint="eastAsia"/>
                <w:kern w:val="2"/>
              </w:rPr>
              <w:t>第一項收受或交付委託人之有價證券或價金，證券經紀商應透過委託人開設之有價證券集中保管帳戶及在證券經紀商指定之金融機構開立之存款帳戶以劃撥方式辦理。但下列各款不在此限。</w:t>
            </w:r>
          </w:p>
          <w:p w:rsidR="0097797B" w:rsidRDefault="0097797B" w:rsidP="0097797B">
            <w:pPr>
              <w:spacing w:line="0" w:lineRule="atLeast"/>
              <w:ind w:left="396" w:hanging="396"/>
              <w:jc w:val="both"/>
              <w:rPr>
                <w:rFonts w:ascii="標楷體" w:eastAsia="標楷體" w:hAnsi="標楷體"/>
                <w:kern w:val="2"/>
              </w:rPr>
            </w:pPr>
            <w:r>
              <w:rPr>
                <w:rFonts w:ascii="標楷體" w:eastAsia="標楷體" w:hAnsi="標楷體" w:hint="eastAsia"/>
                <w:kern w:val="2"/>
              </w:rPr>
              <w:t>一、證券投資信託基金、行政院國家發展基金投資之創業投資事業、保險業、境外華僑及外國人與大陸地區投資人及將所持有海外公司債轉換成股票或海外存託憑證兌回原有價證券之華僑及外國人，由保管機構代理開立存款帳戶者，得以匯撥（匯款）方式收受或交付價金。</w:t>
            </w:r>
          </w:p>
          <w:p w:rsidR="0097797B" w:rsidRDefault="0097797B" w:rsidP="0097797B">
            <w:pPr>
              <w:spacing w:line="0" w:lineRule="atLeast"/>
              <w:ind w:left="396" w:hanging="396"/>
              <w:jc w:val="both"/>
              <w:rPr>
                <w:rFonts w:ascii="標楷體" w:eastAsia="標楷體" w:hAnsi="標楷體"/>
                <w:kern w:val="2"/>
              </w:rPr>
            </w:pPr>
            <w:r>
              <w:rPr>
                <w:rFonts w:ascii="標楷體" w:eastAsia="標楷體" w:hAnsi="標楷體" w:hint="eastAsia"/>
                <w:kern w:val="2"/>
              </w:rPr>
              <w:t>二、信託業具有集保參加人身分者，其所管理之集合性質信託資金專戶，得以匯撥（匯款）方式收受或交付價金。</w:t>
            </w:r>
          </w:p>
          <w:p w:rsidR="0097797B" w:rsidRDefault="0097797B" w:rsidP="0097797B">
            <w:pPr>
              <w:spacing w:line="0" w:lineRule="atLeast"/>
              <w:ind w:left="396" w:hanging="396"/>
              <w:jc w:val="both"/>
              <w:rPr>
                <w:rFonts w:ascii="標楷體" w:eastAsia="標楷體" w:hAnsi="標楷體"/>
                <w:kern w:val="2"/>
              </w:rPr>
            </w:pPr>
            <w:r>
              <w:rPr>
                <w:rFonts w:ascii="標楷體" w:eastAsia="標楷體" w:hAnsi="標楷體" w:hint="eastAsia"/>
                <w:kern w:val="2"/>
              </w:rPr>
              <w:t>三、海外存託憑證存託機構於受託兌回賣出持股時，得透過其保管機構之存款帳戶，以匯撥（匯款）方式收受價金。</w:t>
            </w:r>
          </w:p>
          <w:p w:rsidR="0097797B" w:rsidRDefault="0097797B" w:rsidP="0097797B">
            <w:pPr>
              <w:spacing w:line="0" w:lineRule="atLeast"/>
              <w:ind w:left="396" w:hanging="396"/>
              <w:jc w:val="both"/>
              <w:rPr>
                <w:rFonts w:ascii="標楷體" w:eastAsia="標楷體" w:hAnsi="標楷體"/>
                <w:kern w:val="2"/>
              </w:rPr>
            </w:pPr>
            <w:r>
              <w:rPr>
                <w:rFonts w:ascii="標楷體" w:eastAsia="標楷體" w:hAnsi="標楷體" w:hint="eastAsia"/>
                <w:kern w:val="2"/>
              </w:rPr>
              <w:t>四、委任人全權委託證券投資顧問事業或證券投資信託事業買賣有價證券者，得於保管機構開設存款帳戶以匯撥（匯款）方式收受或交付價金。同</w:t>
            </w:r>
            <w:r>
              <w:rPr>
                <w:rFonts w:ascii="標楷體" w:eastAsia="標楷體" w:hAnsi="標楷體" w:hint="eastAsia"/>
                <w:kern w:val="2"/>
              </w:rPr>
              <w:lastRenderedPageBreak/>
              <w:t>一委任人之不同全權委託投資帳戶，於辦理買賣交割時，不得相互辦理款券撥轉。</w:t>
            </w:r>
          </w:p>
          <w:p w:rsidR="0097797B" w:rsidRDefault="0097797B" w:rsidP="0097797B">
            <w:pPr>
              <w:spacing w:line="0" w:lineRule="atLeast"/>
              <w:ind w:left="396" w:hanging="396"/>
              <w:jc w:val="both"/>
              <w:rPr>
                <w:rFonts w:ascii="標楷體" w:eastAsia="標楷體" w:hAnsi="標楷體"/>
                <w:kern w:val="2"/>
              </w:rPr>
            </w:pPr>
            <w:r>
              <w:rPr>
                <w:rFonts w:ascii="標楷體" w:eastAsia="標楷體" w:hAnsi="標楷體" w:hint="eastAsia"/>
                <w:kern w:val="2"/>
              </w:rPr>
              <w:t>五、國內銀行及保險公司，如其取得中華信用評等公司評級twA-等級以上，或經主管機關核准或認可之信用評等機構評級與中華信用評等公司之twA-同等級以上之資格條件者，於上開評等之有效期間內，得以匯撥（匯款）方式收受或交付價金。</w:t>
            </w:r>
          </w:p>
          <w:p w:rsidR="0097797B" w:rsidRDefault="0097797B" w:rsidP="0097797B">
            <w:pPr>
              <w:spacing w:line="0" w:lineRule="atLeast"/>
              <w:ind w:left="396" w:hanging="396"/>
              <w:jc w:val="both"/>
              <w:rPr>
                <w:rFonts w:ascii="標楷體" w:eastAsia="標楷體" w:hAnsi="標楷體"/>
                <w:kern w:val="2"/>
              </w:rPr>
            </w:pPr>
            <w:r>
              <w:rPr>
                <w:rFonts w:ascii="標楷體" w:eastAsia="標楷體" w:hAnsi="標楷體" w:hint="eastAsia"/>
                <w:kern w:val="2"/>
              </w:rPr>
              <w:t>六、政府機關依法令規定透過各該機關之存款帳戶辦理證券買賣款項交割作業者，得以匯撥（匯款）方式收受或交付價金。</w:t>
            </w:r>
          </w:p>
          <w:p w:rsidR="006D4402" w:rsidRPr="006D4402" w:rsidRDefault="0097797B" w:rsidP="006D4402">
            <w:pPr>
              <w:pStyle w:val="aa"/>
              <w:ind w:left="410" w:hangingChars="171" w:hanging="410"/>
              <w:jc w:val="both"/>
              <w:rPr>
                <w:rFonts w:ascii="標楷體" w:eastAsia="標楷體" w:hAnsi="標楷體"/>
                <w:color w:val="FF0000"/>
                <w:u w:val="single"/>
              </w:rPr>
            </w:pPr>
            <w:r>
              <w:rPr>
                <w:rFonts w:ascii="標楷體" w:eastAsia="標楷體" w:hAnsi="標楷體" w:hint="eastAsia"/>
                <w:color w:val="FF0000"/>
                <w:u w:val="single"/>
              </w:rPr>
              <w:t>七、</w:t>
            </w:r>
            <w:r w:rsidR="006D4402" w:rsidRPr="006D4402">
              <w:rPr>
                <w:rFonts w:ascii="標楷體" w:eastAsia="標楷體" w:hAnsi="標楷體" w:hint="eastAsia"/>
                <w:color w:val="FF0000"/>
                <w:u w:val="single"/>
              </w:rPr>
              <w:t>委託人同意留存交割款項於證券商交割專戶者，得與證券商約定以本人存款帳戶匯撥（匯款）方式收受或交付價金。</w:t>
            </w:r>
          </w:p>
          <w:p w:rsidR="0097797B" w:rsidRPr="006D4402" w:rsidRDefault="0097797B" w:rsidP="0097797B">
            <w:pPr>
              <w:spacing w:line="0" w:lineRule="atLeast"/>
              <w:ind w:left="396" w:hanging="396"/>
              <w:jc w:val="both"/>
              <w:rPr>
                <w:rFonts w:ascii="標楷體" w:eastAsia="標楷體" w:hAnsi="標楷體"/>
                <w:color w:val="FF0000"/>
                <w:kern w:val="2"/>
                <w:u w:val="single"/>
              </w:rPr>
            </w:pPr>
          </w:p>
        </w:tc>
        <w:tc>
          <w:tcPr>
            <w:tcW w:w="343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7797B" w:rsidRDefault="00B2397C" w:rsidP="0097797B">
            <w:pPr>
              <w:spacing w:line="0" w:lineRule="atLeast"/>
              <w:jc w:val="both"/>
              <w:rPr>
                <w:rFonts w:ascii="標楷體" w:eastAsia="標楷體" w:hAnsi="標楷體"/>
                <w:kern w:val="2"/>
              </w:rPr>
            </w:pPr>
            <w:hyperlink r:id="rId8" w:history="1">
              <w:r w:rsidR="0097797B">
                <w:rPr>
                  <w:rStyle w:val="a3"/>
                  <w:rFonts w:ascii="標楷體" w:eastAsia="標楷體" w:hAnsi="標楷體" w:hint="eastAsia"/>
                  <w:color w:val="auto"/>
                  <w:kern w:val="2"/>
                  <w:u w:val="none"/>
                </w:rPr>
                <w:t>第八十三條</w:t>
              </w:r>
            </w:hyperlink>
          </w:p>
          <w:p w:rsidR="00D029F4" w:rsidRDefault="00D029F4" w:rsidP="0097797B">
            <w:pPr>
              <w:spacing w:line="0" w:lineRule="atLeast"/>
              <w:jc w:val="both"/>
              <w:rPr>
                <w:rFonts w:ascii="標楷體" w:eastAsia="標楷體" w:hAnsi="標楷體"/>
                <w:kern w:val="2"/>
              </w:rPr>
            </w:pPr>
            <w:r>
              <w:rPr>
                <w:rFonts w:ascii="標楷體" w:eastAsia="標楷體" w:hAnsi="標楷體" w:hint="eastAsia"/>
                <w:kern w:val="2"/>
              </w:rPr>
              <w:t xml:space="preserve">    </w:t>
            </w:r>
            <w:r w:rsidRPr="00D029F4">
              <w:rPr>
                <w:rFonts w:ascii="標楷體" w:eastAsia="標楷體" w:hAnsi="標楷體" w:hint="eastAsia"/>
                <w:kern w:val="2"/>
              </w:rPr>
              <w:t>證券經紀商因受託買賣關係所收受或交付委託人之有價證券或價金，均應有詳實之紀錄及收付憑證。</w:t>
            </w:r>
          </w:p>
          <w:p w:rsidR="00D029F4" w:rsidRPr="00D029F4" w:rsidRDefault="00D029F4" w:rsidP="0097797B">
            <w:pPr>
              <w:spacing w:line="0" w:lineRule="atLeast"/>
              <w:jc w:val="both"/>
              <w:rPr>
                <w:rFonts w:ascii="標楷體" w:eastAsia="標楷體" w:hAnsi="標楷體"/>
                <w:kern w:val="2"/>
              </w:rPr>
            </w:pPr>
            <w:r>
              <w:rPr>
                <w:rFonts w:ascii="標楷體" w:eastAsia="標楷體" w:hAnsi="標楷體" w:hint="eastAsia"/>
                <w:kern w:val="2"/>
              </w:rPr>
              <w:t xml:space="preserve">    </w:t>
            </w:r>
            <w:r w:rsidRPr="00D029F4">
              <w:rPr>
                <w:rFonts w:ascii="標楷體" w:eastAsia="標楷體" w:hAnsi="標楷體" w:hint="eastAsia"/>
                <w:kern w:val="2"/>
              </w:rPr>
              <w:t>前項收付憑證包括預收款券收據、證券交付清單及買賣報告書，其格式及應行記載事項依主管機關之規定；金融機構兼營證券經紀商設有存款專戶可資查對者，得免用買賣報告書。</w:t>
            </w:r>
          </w:p>
          <w:p w:rsidR="0097797B" w:rsidRDefault="00D029F4" w:rsidP="0097797B">
            <w:pPr>
              <w:spacing w:line="0" w:lineRule="atLeast"/>
              <w:jc w:val="both"/>
              <w:rPr>
                <w:rFonts w:ascii="標楷體" w:eastAsia="標楷體" w:hAnsi="標楷體"/>
                <w:kern w:val="2"/>
              </w:rPr>
            </w:pPr>
            <w:r>
              <w:rPr>
                <w:rFonts w:ascii="標楷體" w:eastAsia="標楷體" w:hAnsi="標楷體" w:hint="eastAsia"/>
                <w:kern w:val="2"/>
              </w:rPr>
              <w:t xml:space="preserve">    </w:t>
            </w:r>
            <w:r w:rsidR="0097797B">
              <w:rPr>
                <w:rFonts w:ascii="標楷體" w:eastAsia="標楷體" w:hAnsi="標楷體" w:hint="eastAsia"/>
                <w:kern w:val="2"/>
              </w:rPr>
              <w:t>第一項收受或交付委託人之有價證券或價金，證券經紀商應透過委託人開設之有價證券集中保管帳戶及在證券經紀商指定之金融機構開立之存款帳戶以劃撥方式辦理。但下列各款不在此限。</w:t>
            </w:r>
          </w:p>
          <w:p w:rsidR="0097797B" w:rsidRDefault="0097797B" w:rsidP="0097797B">
            <w:pPr>
              <w:spacing w:line="0" w:lineRule="atLeast"/>
              <w:ind w:left="396" w:hanging="396"/>
              <w:jc w:val="both"/>
              <w:rPr>
                <w:rFonts w:ascii="標楷體" w:eastAsia="標楷體" w:hAnsi="標楷體"/>
                <w:kern w:val="2"/>
              </w:rPr>
            </w:pPr>
            <w:r>
              <w:rPr>
                <w:rFonts w:ascii="標楷體" w:eastAsia="標楷體" w:hAnsi="標楷體" w:hint="eastAsia"/>
                <w:kern w:val="2"/>
              </w:rPr>
              <w:t>一、證券投資信託基金、行政院國家發展基金投資之創業投資事業、保險業、境外華僑及外國人與大陸地區投資人及將所持有海外公司債轉換成股票或海外存託憑證兌回原有價證券之華僑及外國人，由保管機構代理開立存款帳戶者，得以匯撥（匯款）方式收受或交付價金。</w:t>
            </w:r>
          </w:p>
          <w:p w:rsidR="0097797B" w:rsidRDefault="0097797B" w:rsidP="0097797B">
            <w:pPr>
              <w:spacing w:line="0" w:lineRule="atLeast"/>
              <w:ind w:left="396" w:hanging="396"/>
              <w:jc w:val="both"/>
              <w:rPr>
                <w:rFonts w:ascii="標楷體" w:eastAsia="標楷體" w:hAnsi="標楷體"/>
                <w:kern w:val="2"/>
              </w:rPr>
            </w:pPr>
            <w:r>
              <w:rPr>
                <w:rFonts w:ascii="標楷體" w:eastAsia="標楷體" w:hAnsi="標楷體" w:hint="eastAsia"/>
                <w:kern w:val="2"/>
              </w:rPr>
              <w:t>二、信託業具有集保參加人身分者，其所管理之集合性質信託資金專戶，得以匯撥（匯款）方式收受或交付價金。</w:t>
            </w:r>
          </w:p>
          <w:p w:rsidR="0097797B" w:rsidRDefault="0097797B" w:rsidP="0097797B">
            <w:pPr>
              <w:spacing w:line="0" w:lineRule="atLeast"/>
              <w:ind w:left="396" w:hanging="396"/>
              <w:jc w:val="both"/>
              <w:rPr>
                <w:rFonts w:ascii="標楷體" w:eastAsia="標楷體" w:hAnsi="標楷體"/>
                <w:kern w:val="2"/>
              </w:rPr>
            </w:pPr>
            <w:r>
              <w:rPr>
                <w:rFonts w:ascii="標楷體" w:eastAsia="標楷體" w:hAnsi="標楷體" w:hint="eastAsia"/>
                <w:kern w:val="2"/>
              </w:rPr>
              <w:t>三、海外存託憑證存託機構於受託兌回賣出持股時，得透過其保管機構之存款帳戶，以匯撥（匯款）方式收受價金。</w:t>
            </w:r>
          </w:p>
          <w:p w:rsidR="0097797B" w:rsidRDefault="0097797B" w:rsidP="00132E70">
            <w:pPr>
              <w:spacing w:line="0" w:lineRule="atLeast"/>
              <w:ind w:left="330" w:hanging="336"/>
              <w:jc w:val="both"/>
              <w:rPr>
                <w:rFonts w:ascii="標楷體" w:eastAsia="標楷體" w:hAnsi="標楷體"/>
                <w:kern w:val="2"/>
              </w:rPr>
            </w:pPr>
            <w:r>
              <w:rPr>
                <w:rFonts w:ascii="標楷體" w:eastAsia="標楷體" w:hAnsi="標楷體" w:hint="eastAsia"/>
                <w:kern w:val="2"/>
              </w:rPr>
              <w:t>四、委任人全權委託證券投資顧問事業或證券投資信託事業買賣有價證券者，得於保管機構開設存款帳戶以匯撥（匯款）方式收受或交付價金。同</w:t>
            </w:r>
            <w:r>
              <w:rPr>
                <w:rFonts w:ascii="標楷體" w:eastAsia="標楷體" w:hAnsi="標楷體" w:hint="eastAsia"/>
                <w:kern w:val="2"/>
              </w:rPr>
              <w:lastRenderedPageBreak/>
              <w:t>一委任人之不同全權委託投資帳戶，於辦理買賣交割時，不得相互辦理款券撥轉。</w:t>
            </w:r>
          </w:p>
          <w:p w:rsidR="0097797B" w:rsidRDefault="0097797B" w:rsidP="00132E70">
            <w:pPr>
              <w:spacing w:line="0" w:lineRule="atLeast"/>
              <w:ind w:left="330" w:hanging="322"/>
              <w:jc w:val="both"/>
              <w:rPr>
                <w:rFonts w:ascii="標楷體" w:eastAsia="標楷體" w:hAnsi="標楷體"/>
                <w:kern w:val="2"/>
              </w:rPr>
            </w:pPr>
            <w:r>
              <w:rPr>
                <w:rFonts w:ascii="標楷體" w:eastAsia="標楷體" w:hAnsi="標楷體" w:hint="eastAsia"/>
                <w:kern w:val="2"/>
              </w:rPr>
              <w:t>五、國內銀行及保險公司，如其取得中華信用評等公司評級twA-等級以上，或經主管機關核准或認可之信用評等機構評級與中華信用評等公司之twA-同等級以上之資格條件者，於上開評等之有效期間內，得以匯撥（匯款）方式收受或交付價金。</w:t>
            </w:r>
          </w:p>
          <w:p w:rsidR="0097797B" w:rsidRDefault="0097797B" w:rsidP="00132E70">
            <w:pPr>
              <w:spacing w:line="0" w:lineRule="atLeast"/>
              <w:ind w:left="344" w:hanging="344"/>
              <w:jc w:val="both"/>
              <w:rPr>
                <w:rFonts w:ascii="標楷體" w:eastAsia="標楷體" w:hAnsi="標楷體"/>
                <w:kern w:val="2"/>
              </w:rPr>
            </w:pPr>
            <w:r>
              <w:rPr>
                <w:rFonts w:ascii="標楷體" w:eastAsia="標楷體" w:hAnsi="標楷體" w:hint="eastAsia"/>
                <w:kern w:val="2"/>
              </w:rPr>
              <w:t>六、政府機關依法令規定透過各該機關之存款帳戶辦理證券買賣款項交割作業者，得以匯撥（匯款）方式收受或交付價金。</w:t>
            </w:r>
          </w:p>
        </w:tc>
        <w:tc>
          <w:tcPr>
            <w:tcW w:w="2350" w:type="dxa"/>
            <w:tcBorders>
              <w:top w:val="nil"/>
              <w:left w:val="nil"/>
              <w:bottom w:val="single" w:sz="8" w:space="0" w:color="auto"/>
              <w:right w:val="single" w:sz="8" w:space="0" w:color="auto"/>
            </w:tcBorders>
            <w:tcMar>
              <w:top w:w="0" w:type="dxa"/>
              <w:left w:w="28" w:type="dxa"/>
              <w:bottom w:w="0" w:type="dxa"/>
              <w:right w:w="28" w:type="dxa"/>
            </w:tcMar>
            <w:hideMark/>
          </w:tcPr>
          <w:p w:rsidR="0097797B" w:rsidRDefault="0097797B" w:rsidP="0097797B">
            <w:pPr>
              <w:spacing w:line="0" w:lineRule="atLeast"/>
              <w:jc w:val="both"/>
              <w:rPr>
                <w:rFonts w:ascii="標楷體" w:eastAsia="標楷體" w:hAnsi="標楷體"/>
                <w:kern w:val="2"/>
              </w:rPr>
            </w:pPr>
            <w:r>
              <w:rPr>
                <w:rFonts w:ascii="標楷體" w:eastAsia="標楷體" w:hAnsi="標楷體" w:hint="eastAsia"/>
                <w:kern w:val="2"/>
              </w:rPr>
              <w:lastRenderedPageBreak/>
              <w:t>新增</w:t>
            </w:r>
            <w:r w:rsidR="00182E33">
              <w:rPr>
                <w:rFonts w:ascii="標楷體" w:eastAsia="標楷體" w:hAnsi="標楷體" w:hint="eastAsia"/>
                <w:kern w:val="2"/>
              </w:rPr>
              <w:t>第三項第七款</w:t>
            </w:r>
            <w:r>
              <w:rPr>
                <w:rFonts w:ascii="標楷體" w:eastAsia="標楷體" w:hAnsi="標楷體" w:hint="eastAsia"/>
                <w:kern w:val="2"/>
              </w:rPr>
              <w:t>客戶已與證券商簽訂證券商交割專戶留存客戶款項契約者</w:t>
            </w:r>
            <w:r w:rsidR="00182E33">
              <w:rPr>
                <w:rFonts w:ascii="標楷體" w:eastAsia="標楷體" w:hAnsi="標楷體" w:hint="eastAsia"/>
                <w:kern w:val="2"/>
              </w:rPr>
              <w:t>，</w:t>
            </w:r>
            <w:r>
              <w:rPr>
                <w:rFonts w:ascii="標楷體" w:eastAsia="標楷體" w:hAnsi="標楷體" w:hint="eastAsia"/>
                <w:kern w:val="2"/>
              </w:rPr>
              <w:t>得不須開立劃撥交割</w:t>
            </w:r>
            <w:r w:rsidR="00182E33">
              <w:rPr>
                <w:rFonts w:ascii="標楷體" w:eastAsia="標楷體" w:hAnsi="標楷體" w:hint="eastAsia"/>
                <w:kern w:val="2"/>
              </w:rPr>
              <w:t>銀行</w:t>
            </w:r>
            <w:r>
              <w:rPr>
                <w:rFonts w:ascii="標楷體" w:eastAsia="標楷體" w:hAnsi="標楷體" w:hint="eastAsia"/>
                <w:kern w:val="2"/>
              </w:rPr>
              <w:t>帳戶。</w:t>
            </w:r>
          </w:p>
        </w:tc>
      </w:tr>
    </w:tbl>
    <w:p w:rsidR="000F6EC3" w:rsidRDefault="000F6EC3"/>
    <w:p w:rsidR="009E60CE" w:rsidRDefault="009E60CE"/>
    <w:p w:rsidR="009E60CE" w:rsidRDefault="009E60CE"/>
    <w:p w:rsidR="004F4C9B" w:rsidRDefault="004F4C9B"/>
    <w:p w:rsidR="004F4C9B" w:rsidRDefault="004F4C9B"/>
    <w:p w:rsidR="004F4C9B" w:rsidRDefault="004F4C9B"/>
    <w:p w:rsidR="004F4C9B" w:rsidRDefault="004F4C9B"/>
    <w:p w:rsidR="004F4C9B" w:rsidRDefault="004F4C9B"/>
    <w:p w:rsidR="004F4C9B" w:rsidRDefault="004F4C9B"/>
    <w:p w:rsidR="004F4C9B" w:rsidRDefault="004F4C9B"/>
    <w:p w:rsidR="004F4C9B" w:rsidRDefault="004F4C9B"/>
    <w:p w:rsidR="004F4C9B" w:rsidRDefault="004F4C9B"/>
    <w:p w:rsidR="004F4C9B" w:rsidRDefault="004F4C9B"/>
    <w:p w:rsidR="004F4C9B" w:rsidRDefault="004F4C9B"/>
    <w:p w:rsidR="004F4C9B" w:rsidRDefault="004F4C9B"/>
    <w:p w:rsidR="004F4C9B" w:rsidRDefault="004F4C9B"/>
    <w:p w:rsidR="004F4C9B" w:rsidRDefault="004F4C9B"/>
    <w:p w:rsidR="004F4C9B" w:rsidRPr="004F4C9B" w:rsidRDefault="004F4C9B"/>
    <w:p w:rsidR="004F4C9B" w:rsidRPr="004F4C9B" w:rsidRDefault="00B2397C" w:rsidP="004F4C9B">
      <w:pPr>
        <w:jc w:val="center"/>
        <w:rPr>
          <w:rFonts w:ascii="標楷體" w:eastAsia="標楷體" w:hAnsi="標楷體"/>
          <w:sz w:val="36"/>
          <w:szCs w:val="36"/>
        </w:rPr>
      </w:pPr>
      <w:hyperlink r:id="rId9" w:history="1">
        <w:r w:rsidR="004F4C9B" w:rsidRPr="004F4C9B">
          <w:rPr>
            <w:rFonts w:ascii="標楷體" w:eastAsia="標楷體" w:hAnsi="標楷體"/>
            <w:sz w:val="36"/>
            <w:szCs w:val="36"/>
          </w:rPr>
          <w:t>臺灣證券交易所股份有限公司證券經紀商受託契約準則</w:t>
        </w:r>
      </w:hyperlink>
      <w:r w:rsidR="004F4C9B">
        <w:rPr>
          <w:rFonts w:ascii="標楷體" w:eastAsia="標楷體" w:hAnsi="標楷體" w:hint="eastAsia"/>
          <w:sz w:val="36"/>
          <w:szCs w:val="36"/>
        </w:rPr>
        <w:t>第</w:t>
      </w:r>
      <w:r w:rsidR="004F4C9B" w:rsidRPr="005357A9">
        <w:rPr>
          <w:rFonts w:ascii="標楷體" w:eastAsia="標楷體" w:hAnsi="標楷體" w:hint="eastAsia"/>
          <w:sz w:val="36"/>
          <w:szCs w:val="36"/>
        </w:rPr>
        <w:t>三條修正條文對照表</w:t>
      </w:r>
    </w:p>
    <w:tbl>
      <w:tblPr>
        <w:tblW w:w="9213" w:type="dxa"/>
        <w:tblInd w:w="28" w:type="dxa"/>
        <w:tblCellMar>
          <w:left w:w="0" w:type="dxa"/>
          <w:right w:w="0" w:type="dxa"/>
        </w:tblCellMar>
        <w:tblLook w:val="04A0" w:firstRow="1" w:lastRow="0" w:firstColumn="1" w:lastColumn="0" w:noHBand="0" w:noVBand="1"/>
      </w:tblPr>
      <w:tblGrid>
        <w:gridCol w:w="3543"/>
        <w:gridCol w:w="3649"/>
        <w:gridCol w:w="2021"/>
      </w:tblGrid>
      <w:tr w:rsidR="004F4C9B" w:rsidTr="003D5589">
        <w:tc>
          <w:tcPr>
            <w:tcW w:w="3543" w:type="dxa"/>
            <w:tcBorders>
              <w:top w:val="single" w:sz="8" w:space="0" w:color="auto"/>
              <w:left w:val="single" w:sz="8" w:space="0" w:color="auto"/>
              <w:bottom w:val="single" w:sz="8" w:space="0" w:color="auto"/>
              <w:right w:val="single" w:sz="8" w:space="0" w:color="auto"/>
            </w:tcBorders>
          </w:tcPr>
          <w:p w:rsidR="004F4C9B" w:rsidRDefault="004F4C9B" w:rsidP="00A2732C">
            <w:pPr>
              <w:spacing w:line="360" w:lineRule="exact"/>
              <w:jc w:val="center"/>
              <w:rPr>
                <w:rFonts w:ascii="標楷體" w:eastAsia="標楷體" w:hAnsi="標楷體"/>
                <w:kern w:val="2"/>
              </w:rPr>
            </w:pPr>
            <w:r>
              <w:rPr>
                <w:rFonts w:ascii="標楷體" w:eastAsia="標楷體" w:hAnsi="標楷體" w:hint="eastAsia"/>
                <w:kern w:val="2"/>
              </w:rPr>
              <w:t>修正條文</w:t>
            </w:r>
          </w:p>
        </w:tc>
        <w:tc>
          <w:tcPr>
            <w:tcW w:w="364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F4C9B" w:rsidRDefault="004F4C9B" w:rsidP="00A2732C">
            <w:pPr>
              <w:spacing w:line="360" w:lineRule="exact"/>
              <w:jc w:val="center"/>
              <w:rPr>
                <w:rFonts w:ascii="標楷體" w:eastAsia="標楷體" w:hAnsi="標楷體"/>
                <w:kern w:val="2"/>
              </w:rPr>
            </w:pPr>
            <w:r>
              <w:rPr>
                <w:rFonts w:ascii="標楷體" w:eastAsia="標楷體" w:hAnsi="標楷體" w:hint="eastAsia"/>
                <w:kern w:val="2"/>
              </w:rPr>
              <w:t>現行條文</w:t>
            </w:r>
          </w:p>
        </w:tc>
        <w:tc>
          <w:tcPr>
            <w:tcW w:w="2021"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F4C9B" w:rsidRDefault="004F4C9B" w:rsidP="00A2732C">
            <w:pPr>
              <w:spacing w:line="360" w:lineRule="exact"/>
              <w:jc w:val="center"/>
              <w:rPr>
                <w:rFonts w:ascii="標楷體" w:eastAsia="標楷體" w:hAnsi="標楷體"/>
                <w:kern w:val="2"/>
              </w:rPr>
            </w:pPr>
            <w:r>
              <w:rPr>
                <w:rFonts w:ascii="標楷體" w:eastAsia="標楷體" w:hAnsi="標楷體" w:hint="eastAsia"/>
                <w:kern w:val="2"/>
              </w:rPr>
              <w:t>說明</w:t>
            </w:r>
          </w:p>
        </w:tc>
      </w:tr>
      <w:tr w:rsidR="004F4C9B" w:rsidTr="003D5589">
        <w:tc>
          <w:tcPr>
            <w:tcW w:w="3543" w:type="dxa"/>
            <w:tcBorders>
              <w:top w:val="nil"/>
              <w:left w:val="single" w:sz="8" w:space="0" w:color="auto"/>
              <w:bottom w:val="single" w:sz="8" w:space="0" w:color="auto"/>
              <w:right w:val="single" w:sz="8" w:space="0" w:color="auto"/>
            </w:tcBorders>
          </w:tcPr>
          <w:p w:rsidR="004F4C9B" w:rsidRDefault="00B2397C" w:rsidP="00A2732C">
            <w:pPr>
              <w:spacing w:line="0" w:lineRule="atLeast"/>
              <w:jc w:val="both"/>
              <w:rPr>
                <w:rFonts w:ascii="標楷體" w:eastAsia="標楷體" w:hAnsi="標楷體"/>
                <w:kern w:val="2"/>
              </w:rPr>
            </w:pPr>
            <w:hyperlink r:id="rId10" w:history="1">
              <w:r w:rsidR="004F4C9B">
                <w:rPr>
                  <w:rStyle w:val="a3"/>
                  <w:rFonts w:ascii="標楷體" w:eastAsia="標楷體" w:hAnsi="標楷體" w:hint="eastAsia"/>
                  <w:color w:val="auto"/>
                  <w:kern w:val="2"/>
                  <w:u w:val="none"/>
                </w:rPr>
                <w:t>第三條</w:t>
              </w:r>
            </w:hyperlink>
          </w:p>
          <w:p w:rsidR="007F2331" w:rsidRDefault="00317425" w:rsidP="007F2331">
            <w:pPr>
              <w:spacing w:line="0" w:lineRule="atLeast"/>
              <w:jc w:val="both"/>
              <w:rPr>
                <w:rFonts w:ascii="標楷體" w:eastAsia="標楷體" w:hAnsi="標楷體"/>
                <w:kern w:val="2"/>
              </w:rPr>
            </w:pPr>
            <w:r>
              <w:rPr>
                <w:rFonts w:ascii="標楷體" w:eastAsia="標楷體" w:hAnsi="標楷體" w:hint="eastAsia"/>
                <w:kern w:val="2"/>
              </w:rPr>
              <w:t xml:space="preserve">    </w:t>
            </w:r>
            <w:r w:rsidR="007F2331" w:rsidRPr="00F67918">
              <w:rPr>
                <w:rFonts w:ascii="標楷體" w:eastAsia="標楷體" w:hAnsi="標楷體" w:hint="eastAsia"/>
                <w:kern w:val="2"/>
              </w:rPr>
              <w:t>證券經紀商於接受委託證券買賣時，必須先與委託人辦妥受託契約，未經辦妥受託契約者，證券經紀商應不得受理。證券經紀商與委託人簽訂受託契約時，應依下列規定辦理：</w:t>
            </w:r>
          </w:p>
          <w:p w:rsidR="007F2331" w:rsidRPr="004F4C9B" w:rsidRDefault="007F2331" w:rsidP="007F2331">
            <w:pPr>
              <w:pStyle w:val="ac"/>
              <w:numPr>
                <w:ilvl w:val="0"/>
                <w:numId w:val="2"/>
              </w:numPr>
              <w:spacing w:line="0" w:lineRule="atLeast"/>
              <w:ind w:leftChars="0" w:left="462" w:hanging="502"/>
              <w:jc w:val="both"/>
              <w:rPr>
                <w:rFonts w:ascii="標楷體" w:eastAsia="標楷體" w:hAnsi="標楷體"/>
                <w:kern w:val="2"/>
              </w:rPr>
            </w:pPr>
            <w:r w:rsidRPr="004F4C9B">
              <w:rPr>
                <w:rFonts w:ascii="標楷體" w:eastAsia="標楷體" w:hAnsi="標楷體" w:hint="eastAsia"/>
                <w:kern w:val="2"/>
              </w:rPr>
              <w:t>委託人為自然人者，除下列情形外，應親持身分證正本並於受託契約當場簽章辦理開戶及留存身分證影本。</w:t>
            </w:r>
          </w:p>
          <w:p w:rsidR="007F2331" w:rsidRDefault="007F2331" w:rsidP="007F2331">
            <w:pPr>
              <w:pStyle w:val="ac"/>
              <w:numPr>
                <w:ilvl w:val="0"/>
                <w:numId w:val="3"/>
              </w:numPr>
              <w:spacing w:line="0" w:lineRule="atLeast"/>
              <w:ind w:leftChars="0"/>
              <w:jc w:val="both"/>
              <w:rPr>
                <w:rFonts w:ascii="標楷體" w:eastAsia="標楷體" w:hAnsi="標楷體"/>
                <w:kern w:val="2"/>
              </w:rPr>
            </w:pPr>
            <w:r w:rsidRPr="00F67918">
              <w:rPr>
                <w:rFonts w:ascii="標楷體" w:eastAsia="標楷體" w:hAnsi="標楷體" w:hint="eastAsia"/>
                <w:kern w:val="2"/>
              </w:rPr>
              <w:t>委託人為無行為能力人、限制行為能力人或受輔助宣告之人，應由法定代理人、監護人或輔助人親持本人及委託人之身分證正本辦理開戶並當場簽章及留存本人及委託人之身分證影本，如委託人尚未領取身分證時，得以戶口名簿代之；法定代理人為監護人者並應檢附具有監護權之證明文件。</w:t>
            </w:r>
          </w:p>
          <w:p w:rsidR="007F2331" w:rsidRDefault="007F2331" w:rsidP="007F2331">
            <w:pPr>
              <w:pStyle w:val="ac"/>
              <w:numPr>
                <w:ilvl w:val="0"/>
                <w:numId w:val="3"/>
              </w:numPr>
              <w:spacing w:line="0" w:lineRule="atLeast"/>
              <w:ind w:leftChars="0"/>
              <w:jc w:val="both"/>
              <w:rPr>
                <w:rFonts w:ascii="標楷體" w:eastAsia="標楷體" w:hAnsi="標楷體"/>
                <w:kern w:val="2"/>
              </w:rPr>
            </w:pPr>
            <w:r w:rsidRPr="00F67918">
              <w:rPr>
                <w:rFonts w:ascii="標楷體" w:eastAsia="標楷體" w:hAnsi="標楷體" w:hint="eastAsia"/>
                <w:kern w:val="2"/>
              </w:rPr>
              <w:t>委託人為法人派駐國外工作者，得委託代理人親持代理人及委託人之身分證正本，檢具經我國駐外機關或委託機構認證之授權書及派遣法人出具之派駐國外工作證明文件辦理開戶。</w:t>
            </w:r>
          </w:p>
          <w:p w:rsidR="007F2331" w:rsidRPr="007F2331" w:rsidRDefault="007F2331" w:rsidP="007F2331">
            <w:pPr>
              <w:pStyle w:val="ac"/>
              <w:numPr>
                <w:ilvl w:val="0"/>
                <w:numId w:val="3"/>
              </w:numPr>
              <w:spacing w:line="0" w:lineRule="atLeast"/>
              <w:ind w:leftChars="0"/>
              <w:jc w:val="both"/>
              <w:rPr>
                <w:rFonts w:ascii="標楷體" w:eastAsia="標楷體" w:hAnsi="標楷體"/>
                <w:kern w:val="2"/>
              </w:rPr>
            </w:pPr>
            <w:r w:rsidRPr="00F67918">
              <w:rPr>
                <w:rFonts w:ascii="標楷體" w:eastAsia="標楷體" w:hAnsi="標楷體" w:hint="eastAsia"/>
                <w:kern w:val="2"/>
              </w:rPr>
              <w:t>委託人不開立信用交易帳戶，採通信或電子化方式辦理開戶者，依本公司「證券商受理線上開戶委託人身分認證及額度分級管理標準」規定辦理。</w:t>
            </w:r>
          </w:p>
          <w:p w:rsidR="007F2331" w:rsidRDefault="007F2331" w:rsidP="007F2331">
            <w:pPr>
              <w:pStyle w:val="ac"/>
              <w:numPr>
                <w:ilvl w:val="0"/>
                <w:numId w:val="2"/>
              </w:numPr>
              <w:spacing w:line="0" w:lineRule="atLeast"/>
              <w:ind w:leftChars="0" w:left="490" w:hanging="490"/>
              <w:jc w:val="both"/>
              <w:rPr>
                <w:rFonts w:ascii="標楷體" w:eastAsia="標楷體" w:hAnsi="標楷體"/>
                <w:kern w:val="2"/>
              </w:rPr>
            </w:pPr>
            <w:r w:rsidRPr="007F2331">
              <w:rPr>
                <w:rFonts w:ascii="標楷體" w:eastAsia="標楷體" w:hAnsi="標楷體" w:hint="eastAsia"/>
                <w:kern w:val="2"/>
              </w:rPr>
              <w:t>委託人為法人者，由被授權人檢附法人登記證明文件影本、</w:t>
            </w:r>
            <w:r w:rsidRPr="007F2331">
              <w:rPr>
                <w:rFonts w:ascii="標楷體" w:eastAsia="標楷體" w:hAnsi="標楷體" w:hint="eastAsia"/>
                <w:kern w:val="2"/>
              </w:rPr>
              <w:lastRenderedPageBreak/>
              <w:t>稅捐機構發給之設立扣繳單位編配統一編號通知單影本（若屬營利事業得免檢附上開通知單影本）、授權書暨法人代表人及被授權人身分證影本辦理。</w:t>
            </w:r>
          </w:p>
          <w:p w:rsidR="007F2331" w:rsidRDefault="007F2331" w:rsidP="007F2331">
            <w:pPr>
              <w:pStyle w:val="ac"/>
              <w:numPr>
                <w:ilvl w:val="0"/>
                <w:numId w:val="2"/>
              </w:numPr>
              <w:spacing w:line="0" w:lineRule="atLeast"/>
              <w:ind w:leftChars="0" w:left="490" w:hanging="490"/>
              <w:jc w:val="both"/>
              <w:rPr>
                <w:rFonts w:ascii="標楷體" w:eastAsia="標楷體" w:hAnsi="標楷體"/>
                <w:kern w:val="2"/>
              </w:rPr>
            </w:pPr>
            <w:r w:rsidRPr="00F67918">
              <w:rPr>
                <w:rFonts w:ascii="標楷體" w:eastAsia="標楷體" w:hAnsi="標楷體" w:hint="eastAsia"/>
                <w:kern w:val="2"/>
              </w:rPr>
              <w:t>委託人為非法人團體者，應以其負責人之個人名義開戶，將團體名稱併列於戶名內，並由其負責人檢附主管機關登記證照（或核准成立、備案或其他登錄證明之文件）影本、稅捐機構發給之設立扣繳單位編配統一編號通知單影本（如係免扣繳所得稅者，須另附「所得稅免扣繳證明」乙份）及負責人身分證影本辦理。</w:t>
            </w:r>
          </w:p>
          <w:p w:rsidR="007F2331" w:rsidRDefault="007F2331" w:rsidP="007F2331">
            <w:pPr>
              <w:spacing w:line="0" w:lineRule="atLeast"/>
              <w:jc w:val="both"/>
              <w:rPr>
                <w:rFonts w:ascii="標楷體" w:eastAsia="標楷體" w:hAnsi="標楷體"/>
                <w:kern w:val="2"/>
              </w:rPr>
            </w:pPr>
            <w:r>
              <w:rPr>
                <w:rFonts w:ascii="標楷體" w:eastAsia="標楷體" w:hAnsi="標楷體" w:hint="eastAsia"/>
                <w:kern w:val="2"/>
              </w:rPr>
              <w:t xml:space="preserve">    </w:t>
            </w:r>
            <w:r w:rsidRPr="00F67918">
              <w:rPr>
                <w:rFonts w:ascii="標楷體" w:eastAsia="標楷體" w:hAnsi="標楷體" w:hint="eastAsia"/>
                <w:kern w:val="2"/>
              </w:rPr>
              <w:t>委託人或其法定代理人或被授權人於簽訂受託契約時，應留存本人或其法定代理人或被授權人印鑑卡或簽名樣式卡，憑同式印鑑或簽名當面委託買賣、申購有價證券，或辦理交割相關手續。但委託人取消委任授權時，得採足以確認申請人為本人及其意思表示之通信或電子化方式為之；境外華僑及外國人在臺代理人及保管機構為同一人者，得以該保管機構之代理開戶暨交割專用章為其留存印鑑。</w:t>
            </w:r>
          </w:p>
          <w:p w:rsidR="007F2331" w:rsidRPr="007F2331" w:rsidRDefault="007F2331" w:rsidP="007F2331">
            <w:pPr>
              <w:spacing w:line="0" w:lineRule="atLeast"/>
              <w:jc w:val="both"/>
              <w:rPr>
                <w:rFonts w:ascii="標楷體" w:eastAsia="標楷體" w:hAnsi="標楷體"/>
                <w:kern w:val="2"/>
              </w:rPr>
            </w:pPr>
            <w:r>
              <w:rPr>
                <w:rFonts w:ascii="標楷體" w:eastAsia="標楷體" w:hAnsi="標楷體" w:hint="eastAsia"/>
                <w:kern w:val="2"/>
              </w:rPr>
              <w:t xml:space="preserve">    </w:t>
            </w:r>
            <w:r w:rsidRPr="00F67918">
              <w:rPr>
                <w:rFonts w:ascii="標楷體" w:eastAsia="標楷體" w:hAnsi="標楷體" w:hint="eastAsia"/>
                <w:kern w:val="2"/>
              </w:rPr>
              <w:t>委託人或其法定代理人委由代理人代理委託買賣、申購有價證券或辦理交割相關手續，應出具授權書為之，並應留存代理人印鑑卡或簽名樣式卡憑以辦理。但委託人取消委任授權時，得依前項但書規定辦理。</w:t>
            </w:r>
          </w:p>
          <w:p w:rsidR="007F2331" w:rsidRDefault="007F2331" w:rsidP="007F2331">
            <w:pPr>
              <w:spacing w:line="0" w:lineRule="atLeast"/>
              <w:jc w:val="both"/>
              <w:rPr>
                <w:rFonts w:ascii="標楷體" w:eastAsia="標楷體" w:hAnsi="標楷體"/>
                <w:kern w:val="2"/>
              </w:rPr>
            </w:pPr>
            <w:r w:rsidRPr="007F2331">
              <w:rPr>
                <w:rFonts w:ascii="標楷體" w:eastAsia="標楷體" w:hAnsi="標楷體" w:hint="eastAsia"/>
                <w:kern w:val="2"/>
              </w:rPr>
              <w:t xml:space="preserve">    </w:t>
            </w:r>
            <w:r w:rsidRPr="00F67918">
              <w:rPr>
                <w:rFonts w:ascii="標楷體" w:eastAsia="標楷體" w:hAnsi="標楷體" w:hint="eastAsia"/>
                <w:kern w:val="2"/>
              </w:rPr>
              <w:t>證券經紀商受理銷戶時，得採足以確認申請人為本人及其意思表示之通信或電子化方式為之。</w:t>
            </w:r>
          </w:p>
          <w:p w:rsidR="007F2331" w:rsidRDefault="007F2331" w:rsidP="007F2331">
            <w:pPr>
              <w:spacing w:line="0" w:lineRule="atLeast"/>
              <w:jc w:val="both"/>
              <w:rPr>
                <w:rFonts w:ascii="標楷體" w:eastAsia="標楷體" w:hAnsi="標楷體"/>
                <w:kern w:val="2"/>
              </w:rPr>
            </w:pPr>
            <w:r>
              <w:rPr>
                <w:rFonts w:ascii="標楷體" w:eastAsia="標楷體" w:hAnsi="標楷體" w:hint="eastAsia"/>
                <w:kern w:val="2"/>
              </w:rPr>
              <w:t xml:space="preserve">    </w:t>
            </w:r>
            <w:r w:rsidRPr="00F67918">
              <w:rPr>
                <w:rFonts w:ascii="標楷體" w:eastAsia="標楷體" w:hAnsi="標楷體" w:hint="eastAsia"/>
                <w:kern w:val="2"/>
              </w:rPr>
              <w:t>受託契約應以本準則、本公司營業細則、公告、通函及證券商業同業公會規約等為契約之一部分，並載明下列事項：</w:t>
            </w:r>
          </w:p>
          <w:p w:rsidR="007F2331" w:rsidRDefault="007F2331" w:rsidP="007F2331">
            <w:pPr>
              <w:pStyle w:val="ac"/>
              <w:numPr>
                <w:ilvl w:val="0"/>
                <w:numId w:val="4"/>
              </w:numPr>
              <w:spacing w:line="0" w:lineRule="atLeast"/>
              <w:ind w:leftChars="0" w:left="476" w:hanging="488"/>
              <w:jc w:val="both"/>
              <w:rPr>
                <w:rFonts w:ascii="標楷體" w:eastAsia="標楷體" w:hAnsi="標楷體"/>
                <w:kern w:val="2"/>
              </w:rPr>
            </w:pPr>
            <w:r w:rsidRPr="007F2331">
              <w:rPr>
                <w:rFonts w:ascii="標楷體" w:eastAsia="標楷體" w:hAnsi="標楷體" w:hint="eastAsia"/>
                <w:kern w:val="2"/>
              </w:rPr>
              <w:lastRenderedPageBreak/>
              <w:t>委託人為自然人：姓名、性別、年齡、籍貫、職業、住址、身分證統一編號；若有代理人者，代理人姓名及身分證統一編號。</w:t>
            </w:r>
          </w:p>
          <w:p w:rsidR="007F2331" w:rsidRPr="007F2331" w:rsidRDefault="007F2331" w:rsidP="007F2331">
            <w:pPr>
              <w:pStyle w:val="ac"/>
              <w:numPr>
                <w:ilvl w:val="0"/>
                <w:numId w:val="4"/>
              </w:numPr>
              <w:spacing w:line="0" w:lineRule="atLeast"/>
              <w:ind w:leftChars="0" w:left="476" w:hanging="488"/>
              <w:jc w:val="both"/>
              <w:rPr>
                <w:rFonts w:ascii="標楷體" w:eastAsia="標楷體" w:hAnsi="標楷體"/>
                <w:kern w:val="2"/>
              </w:rPr>
            </w:pPr>
            <w:r w:rsidRPr="007F2331">
              <w:rPr>
                <w:rFonts w:ascii="標楷體" w:eastAsia="標楷體" w:hAnsi="標楷體" w:hint="eastAsia"/>
                <w:kern w:val="2"/>
              </w:rPr>
              <w:t>委託人為法人：法人名稱、地址、統一編號、電話、代表人及被授權人。</w:t>
            </w:r>
          </w:p>
          <w:p w:rsidR="007F2331" w:rsidRDefault="007F2331" w:rsidP="007F2331">
            <w:pPr>
              <w:spacing w:line="0" w:lineRule="atLeast"/>
              <w:ind w:left="-12"/>
              <w:jc w:val="both"/>
              <w:rPr>
                <w:rFonts w:ascii="標楷體" w:eastAsia="標楷體" w:hAnsi="標楷體"/>
                <w:kern w:val="2"/>
              </w:rPr>
            </w:pPr>
            <w:r w:rsidRPr="007F2331">
              <w:rPr>
                <w:rFonts w:ascii="標楷體" w:eastAsia="標楷體" w:hAnsi="標楷體" w:hint="eastAsia"/>
                <w:kern w:val="2"/>
              </w:rPr>
              <w:t xml:space="preserve">    </w:t>
            </w:r>
            <w:r w:rsidRPr="00F67918">
              <w:rPr>
                <w:rFonts w:ascii="標楷體" w:eastAsia="標楷體" w:hAnsi="標楷體" w:hint="eastAsia"/>
                <w:kern w:val="2"/>
              </w:rPr>
              <w:t>證券經紀商應於委託人開設有價證券集中保管帳戶及在其指定之金融機構開立存款帳戶後，始得受其委託辦理買賣證券。</w:t>
            </w:r>
          </w:p>
          <w:p w:rsidR="007F2331" w:rsidRDefault="007F2331" w:rsidP="007F2331">
            <w:pPr>
              <w:spacing w:line="0" w:lineRule="atLeast"/>
              <w:ind w:left="-12"/>
              <w:jc w:val="both"/>
              <w:rPr>
                <w:rFonts w:ascii="標楷體" w:eastAsia="標楷體" w:hAnsi="標楷體"/>
                <w:kern w:val="2"/>
              </w:rPr>
            </w:pPr>
            <w:r>
              <w:rPr>
                <w:rFonts w:ascii="標楷體" w:eastAsia="標楷體" w:hAnsi="標楷體" w:hint="eastAsia"/>
                <w:kern w:val="2"/>
              </w:rPr>
              <w:t xml:space="preserve">    </w:t>
            </w:r>
            <w:r w:rsidRPr="00F67918">
              <w:rPr>
                <w:rFonts w:ascii="標楷體" w:eastAsia="標楷體" w:hAnsi="標楷體" w:hint="eastAsia"/>
                <w:kern w:val="2"/>
              </w:rPr>
              <w:t>前項開立存款帳戶之規定，下列各款不適用之：</w:t>
            </w:r>
          </w:p>
          <w:p w:rsidR="007F2331" w:rsidRDefault="007F2331" w:rsidP="007F2331">
            <w:pPr>
              <w:pStyle w:val="ac"/>
              <w:numPr>
                <w:ilvl w:val="0"/>
                <w:numId w:val="5"/>
              </w:numPr>
              <w:spacing w:line="0" w:lineRule="atLeast"/>
              <w:ind w:leftChars="0" w:left="518" w:hanging="518"/>
              <w:jc w:val="both"/>
              <w:rPr>
                <w:rFonts w:ascii="標楷體" w:eastAsia="標楷體" w:hAnsi="標楷體"/>
                <w:kern w:val="2"/>
              </w:rPr>
            </w:pPr>
            <w:r w:rsidRPr="007F2331">
              <w:rPr>
                <w:rFonts w:ascii="標楷體" w:eastAsia="標楷體" w:hAnsi="標楷體" w:hint="eastAsia"/>
                <w:kern w:val="2"/>
              </w:rPr>
              <w:t>境外華僑及外國人、證券投資信託基金、行政院國家發展基金投資之創業投資事業、保險業及將所持有海外公司債轉換成股票或海外存託憑證兌回原有價證券之華僑或外國人由保管機構代理開立存款帳戶者，得以匯撥（匯款）方式收受或交付價金。</w:t>
            </w:r>
          </w:p>
          <w:p w:rsidR="007F2331" w:rsidRPr="007F2331" w:rsidRDefault="007F2331" w:rsidP="007F2331">
            <w:pPr>
              <w:pStyle w:val="ac"/>
              <w:numPr>
                <w:ilvl w:val="0"/>
                <w:numId w:val="5"/>
              </w:numPr>
              <w:spacing w:line="0" w:lineRule="atLeast"/>
              <w:ind w:leftChars="0" w:left="518" w:hanging="518"/>
              <w:jc w:val="both"/>
              <w:rPr>
                <w:rFonts w:ascii="標楷體" w:eastAsia="標楷體" w:hAnsi="標楷體"/>
                <w:kern w:val="2"/>
              </w:rPr>
            </w:pPr>
            <w:r w:rsidRPr="00F67918">
              <w:rPr>
                <w:rFonts w:ascii="標楷體" w:eastAsia="標楷體" w:hAnsi="標楷體" w:hint="eastAsia"/>
                <w:kern w:val="2"/>
              </w:rPr>
              <w:t>信託業具有集保參加人身分者，其所管理之集合性質信託資金專戶，得以匯撥（匯款）方式收受或交付價金。</w:t>
            </w:r>
          </w:p>
          <w:p w:rsidR="007F2331" w:rsidRPr="007F2331" w:rsidRDefault="007F2331" w:rsidP="007F2331">
            <w:pPr>
              <w:pStyle w:val="ac"/>
              <w:numPr>
                <w:ilvl w:val="0"/>
                <w:numId w:val="5"/>
              </w:numPr>
              <w:spacing w:line="0" w:lineRule="atLeast"/>
              <w:ind w:leftChars="0" w:left="518" w:hanging="518"/>
              <w:jc w:val="both"/>
              <w:rPr>
                <w:rFonts w:ascii="標楷體" w:eastAsia="標楷體" w:hAnsi="標楷體"/>
                <w:kern w:val="2"/>
              </w:rPr>
            </w:pPr>
            <w:r w:rsidRPr="00F67918">
              <w:rPr>
                <w:rFonts w:ascii="標楷體" w:eastAsia="標楷體" w:hAnsi="標楷體" w:hint="eastAsia"/>
                <w:kern w:val="2"/>
              </w:rPr>
              <w:t>海外存託憑證存託機構於受託兌回賣出持股時，得透過其保管機構之存款帳戶，以匯撥（匯款）方式收受價金。</w:t>
            </w:r>
          </w:p>
          <w:p w:rsidR="007F2331" w:rsidRPr="007F2331" w:rsidRDefault="007F2331" w:rsidP="007F2331">
            <w:pPr>
              <w:pStyle w:val="ac"/>
              <w:numPr>
                <w:ilvl w:val="0"/>
                <w:numId w:val="5"/>
              </w:numPr>
              <w:spacing w:line="0" w:lineRule="atLeast"/>
              <w:ind w:leftChars="0" w:left="518" w:hanging="518"/>
              <w:jc w:val="both"/>
              <w:rPr>
                <w:rFonts w:ascii="標楷體" w:eastAsia="標楷體" w:hAnsi="標楷體"/>
                <w:kern w:val="2"/>
              </w:rPr>
            </w:pPr>
            <w:r w:rsidRPr="00F67918">
              <w:rPr>
                <w:rFonts w:ascii="標楷體" w:eastAsia="標楷體" w:hAnsi="標楷體" w:hint="eastAsia"/>
                <w:kern w:val="2"/>
              </w:rPr>
              <w:t>委任人全權委託證券投資顧問事業或證券投資信託事業買賣有價證券者，得於保管機構開設存款帳戶以匯撥（匯款）方式收受或交付價金。</w:t>
            </w:r>
          </w:p>
          <w:p w:rsidR="007F2331" w:rsidRDefault="007F2331" w:rsidP="007F2331">
            <w:pPr>
              <w:pStyle w:val="ac"/>
              <w:numPr>
                <w:ilvl w:val="0"/>
                <w:numId w:val="5"/>
              </w:numPr>
              <w:spacing w:line="0" w:lineRule="atLeast"/>
              <w:ind w:leftChars="0" w:left="518" w:hanging="518"/>
              <w:jc w:val="both"/>
              <w:rPr>
                <w:rFonts w:ascii="標楷體" w:eastAsia="標楷體" w:hAnsi="標楷體"/>
                <w:kern w:val="2"/>
              </w:rPr>
            </w:pPr>
            <w:r w:rsidRPr="00F67918">
              <w:rPr>
                <w:rFonts w:ascii="標楷體" w:eastAsia="標楷體" w:hAnsi="標楷體" w:hint="eastAsia"/>
                <w:kern w:val="2"/>
              </w:rPr>
              <w:t>國內銀行及保險公司，如其取得中華信用評等公司評級twA-等級以上，或經主管機關核准或認可之信用評等機構評級與中華信用評等公司之twA-同等級以上之資格條件者，於上開評等之有效期間</w:t>
            </w:r>
            <w:r w:rsidRPr="00F67918">
              <w:rPr>
                <w:rFonts w:ascii="標楷體" w:eastAsia="標楷體" w:hAnsi="標楷體" w:hint="eastAsia"/>
                <w:kern w:val="2"/>
              </w:rPr>
              <w:lastRenderedPageBreak/>
              <w:t>內，得以匯撥（匯款）方式收受或交付價金。</w:t>
            </w:r>
          </w:p>
          <w:p w:rsidR="004F4C9B" w:rsidRPr="003D5589" w:rsidRDefault="007F2331" w:rsidP="003D5589">
            <w:pPr>
              <w:pStyle w:val="ac"/>
              <w:numPr>
                <w:ilvl w:val="0"/>
                <w:numId w:val="5"/>
              </w:numPr>
              <w:spacing w:line="0" w:lineRule="atLeast"/>
              <w:ind w:leftChars="0" w:left="518" w:hanging="518"/>
              <w:jc w:val="both"/>
              <w:rPr>
                <w:rFonts w:ascii="標楷體" w:eastAsia="標楷體" w:hAnsi="標楷體"/>
                <w:kern w:val="2"/>
              </w:rPr>
            </w:pPr>
            <w:r w:rsidRPr="003D5589">
              <w:rPr>
                <w:rFonts w:ascii="標楷體" w:eastAsia="標楷體" w:hAnsi="標楷體" w:hint="eastAsia"/>
                <w:kern w:val="2"/>
              </w:rPr>
              <w:t>政府機關依法令規定透過各該機關之存款帳戶辦理證券買賣款項交割作業者，得以匯撥（匯款）方式收受或交付價金。</w:t>
            </w:r>
          </w:p>
          <w:p w:rsidR="004F4C9B" w:rsidRPr="006D4402" w:rsidRDefault="004F4C9B" w:rsidP="00A2732C">
            <w:pPr>
              <w:pStyle w:val="aa"/>
              <w:ind w:left="410" w:hangingChars="171" w:hanging="410"/>
              <w:jc w:val="both"/>
              <w:rPr>
                <w:rFonts w:ascii="標楷體" w:eastAsia="標楷體" w:hAnsi="標楷體"/>
                <w:color w:val="FF0000"/>
                <w:u w:val="single"/>
              </w:rPr>
            </w:pPr>
            <w:r>
              <w:rPr>
                <w:rFonts w:ascii="標楷體" w:eastAsia="標楷體" w:hAnsi="標楷體" w:hint="eastAsia"/>
                <w:color w:val="FF0000"/>
                <w:u w:val="single"/>
              </w:rPr>
              <w:t>七、</w:t>
            </w:r>
            <w:r w:rsidRPr="006D4402">
              <w:rPr>
                <w:rFonts w:ascii="標楷體" w:eastAsia="標楷體" w:hAnsi="標楷體" w:hint="eastAsia"/>
                <w:color w:val="FF0000"/>
                <w:u w:val="single"/>
              </w:rPr>
              <w:t>委託人同意留存交割款項於證券商交割專戶者，得與證券商約定以本人存款帳戶匯撥（匯款）方式收受或交付價金。</w:t>
            </w:r>
          </w:p>
          <w:p w:rsidR="004F4C9B" w:rsidRPr="006D4402" w:rsidRDefault="004F4C9B" w:rsidP="00A2732C">
            <w:pPr>
              <w:spacing w:line="0" w:lineRule="atLeast"/>
              <w:ind w:left="396" w:hanging="396"/>
              <w:jc w:val="both"/>
              <w:rPr>
                <w:rFonts w:ascii="標楷體" w:eastAsia="標楷體" w:hAnsi="標楷體"/>
                <w:color w:val="FF0000"/>
                <w:kern w:val="2"/>
                <w:u w:val="single"/>
              </w:rPr>
            </w:pPr>
          </w:p>
        </w:tc>
        <w:tc>
          <w:tcPr>
            <w:tcW w:w="3649"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F4C9B" w:rsidRDefault="00B2397C" w:rsidP="00A2732C">
            <w:pPr>
              <w:spacing w:line="0" w:lineRule="atLeast"/>
              <w:jc w:val="both"/>
              <w:rPr>
                <w:rFonts w:ascii="標楷體" w:eastAsia="標楷體" w:hAnsi="標楷體"/>
                <w:kern w:val="2"/>
              </w:rPr>
            </w:pPr>
            <w:hyperlink r:id="rId11" w:history="1">
              <w:r w:rsidR="004F4C9B">
                <w:rPr>
                  <w:rStyle w:val="a3"/>
                  <w:rFonts w:ascii="標楷體" w:eastAsia="標楷體" w:hAnsi="標楷體" w:hint="eastAsia"/>
                  <w:color w:val="auto"/>
                  <w:kern w:val="2"/>
                  <w:u w:val="none"/>
                </w:rPr>
                <w:t>第三條</w:t>
              </w:r>
            </w:hyperlink>
          </w:p>
          <w:p w:rsidR="004F4C9B" w:rsidRDefault="004F4C9B" w:rsidP="004F4C9B">
            <w:pPr>
              <w:spacing w:line="0" w:lineRule="atLeast"/>
              <w:jc w:val="both"/>
              <w:rPr>
                <w:rFonts w:ascii="標楷體" w:eastAsia="標楷體" w:hAnsi="標楷體"/>
                <w:kern w:val="2"/>
              </w:rPr>
            </w:pPr>
            <w:r>
              <w:rPr>
                <w:rFonts w:ascii="標楷體" w:eastAsia="標楷體" w:hAnsi="標楷體" w:hint="eastAsia"/>
                <w:kern w:val="2"/>
              </w:rPr>
              <w:t xml:space="preserve">    </w:t>
            </w:r>
            <w:r w:rsidRPr="00F67918">
              <w:rPr>
                <w:rFonts w:ascii="標楷體" w:eastAsia="標楷體" w:hAnsi="標楷體" w:hint="eastAsia"/>
                <w:kern w:val="2"/>
              </w:rPr>
              <w:t>證券經紀商於接受委託證券買賣時，必須先與委託人辦妥受託契約，未經辦妥受託契約者，證券經紀商應不得受理。證券經紀商與委託人簽訂受託契約時，應依下列規定辦理：</w:t>
            </w:r>
          </w:p>
          <w:p w:rsidR="003D5589" w:rsidRPr="003D5589" w:rsidRDefault="004F4C9B" w:rsidP="003D5589">
            <w:pPr>
              <w:pStyle w:val="ac"/>
              <w:numPr>
                <w:ilvl w:val="1"/>
                <w:numId w:val="3"/>
              </w:numPr>
              <w:spacing w:line="0" w:lineRule="atLeast"/>
              <w:ind w:leftChars="0" w:left="499" w:hanging="499"/>
              <w:jc w:val="both"/>
              <w:rPr>
                <w:rFonts w:ascii="標楷體" w:eastAsia="標楷體" w:hAnsi="標楷體"/>
                <w:kern w:val="2"/>
              </w:rPr>
            </w:pPr>
            <w:r w:rsidRPr="003D5589">
              <w:rPr>
                <w:rFonts w:ascii="標楷體" w:eastAsia="標楷體" w:hAnsi="標楷體" w:hint="eastAsia"/>
                <w:kern w:val="2"/>
              </w:rPr>
              <w:t>委託人為自然人者，除下列情形外，應親持身分證正本並於受託契約當場簽章辦理開戶及留存身分證影本。</w:t>
            </w:r>
          </w:p>
          <w:p w:rsidR="004F4C9B" w:rsidRDefault="004F4C9B" w:rsidP="003D5589">
            <w:pPr>
              <w:pStyle w:val="ac"/>
              <w:numPr>
                <w:ilvl w:val="0"/>
                <w:numId w:val="6"/>
              </w:numPr>
              <w:spacing w:line="0" w:lineRule="atLeast"/>
              <w:ind w:leftChars="0" w:left="714" w:hanging="588"/>
              <w:jc w:val="both"/>
              <w:rPr>
                <w:rFonts w:ascii="標楷體" w:eastAsia="標楷體" w:hAnsi="標楷體"/>
                <w:kern w:val="2"/>
              </w:rPr>
            </w:pPr>
            <w:r w:rsidRPr="003D5589">
              <w:rPr>
                <w:rFonts w:ascii="標楷體" w:eastAsia="標楷體" w:hAnsi="標楷體" w:hint="eastAsia"/>
                <w:kern w:val="2"/>
              </w:rPr>
              <w:t>委託人為無行為能力人、限</w:t>
            </w:r>
            <w:r w:rsidR="003D5589">
              <w:rPr>
                <w:rFonts w:ascii="標楷體" w:eastAsia="標楷體" w:hAnsi="標楷體" w:hint="eastAsia"/>
                <w:kern w:val="2"/>
              </w:rPr>
              <w:t xml:space="preserve"> </w:t>
            </w:r>
            <w:r w:rsidRPr="003D5589">
              <w:rPr>
                <w:rFonts w:ascii="標楷體" w:eastAsia="標楷體" w:hAnsi="標楷體" w:hint="eastAsia"/>
                <w:kern w:val="2"/>
              </w:rPr>
              <w:t>制行為能力人或受輔助宣告之人，應由法定代理人、監護人或輔助人親持本人及委託人之身分證正本辦理開戶並當場簽章及留存本人及委託人之身分證影本，如委託人尚未領取身分證時，得以戶口名簿代之；法定代理人為監護人者並應檢附具有監護權之證明文件。</w:t>
            </w:r>
          </w:p>
          <w:p w:rsidR="007F2331" w:rsidRDefault="007F2331" w:rsidP="003D5589">
            <w:pPr>
              <w:pStyle w:val="ac"/>
              <w:numPr>
                <w:ilvl w:val="0"/>
                <w:numId w:val="6"/>
              </w:numPr>
              <w:spacing w:line="0" w:lineRule="atLeast"/>
              <w:ind w:leftChars="0" w:left="714" w:hanging="588"/>
              <w:jc w:val="both"/>
              <w:rPr>
                <w:rFonts w:ascii="標楷體" w:eastAsia="標楷體" w:hAnsi="標楷體"/>
                <w:kern w:val="2"/>
              </w:rPr>
            </w:pPr>
            <w:r w:rsidRPr="003D5589">
              <w:rPr>
                <w:rFonts w:ascii="標楷體" w:eastAsia="標楷體" w:hAnsi="標楷體" w:hint="eastAsia"/>
                <w:kern w:val="2"/>
              </w:rPr>
              <w:t>委託人為法人派駐國外工</w:t>
            </w:r>
            <w:r w:rsidR="003D5589" w:rsidRPr="003D5589">
              <w:rPr>
                <w:rFonts w:ascii="標楷體" w:eastAsia="標楷體" w:hAnsi="標楷體" w:hint="eastAsia"/>
                <w:kern w:val="2"/>
              </w:rPr>
              <w:t xml:space="preserve"> </w:t>
            </w:r>
            <w:r w:rsidRPr="003D5589">
              <w:rPr>
                <w:rFonts w:ascii="標楷體" w:eastAsia="標楷體" w:hAnsi="標楷體" w:hint="eastAsia"/>
                <w:kern w:val="2"/>
              </w:rPr>
              <w:t>作者，得委託代理人親持代理人及委託人之身分證正本，檢具經我國駐外機關或委託機構認證之授權書及派遣法人出具之派駐國外工作證明文件辦理開戶。</w:t>
            </w:r>
          </w:p>
          <w:p w:rsidR="007F2331" w:rsidRPr="003D5589" w:rsidRDefault="007F2331" w:rsidP="003D5589">
            <w:pPr>
              <w:pStyle w:val="ac"/>
              <w:numPr>
                <w:ilvl w:val="0"/>
                <w:numId w:val="6"/>
              </w:numPr>
              <w:spacing w:line="0" w:lineRule="atLeast"/>
              <w:ind w:leftChars="0" w:left="714" w:hanging="588"/>
              <w:jc w:val="both"/>
              <w:rPr>
                <w:rFonts w:ascii="標楷體" w:eastAsia="標楷體" w:hAnsi="標楷體"/>
                <w:kern w:val="2"/>
              </w:rPr>
            </w:pPr>
            <w:r w:rsidRPr="003D5589">
              <w:rPr>
                <w:rFonts w:ascii="標楷體" w:eastAsia="標楷體" w:hAnsi="標楷體" w:hint="eastAsia"/>
                <w:kern w:val="2"/>
              </w:rPr>
              <w:t>委託人不開立信用交易帳戶，採通信或電子化方式辦理開戶者，依本公司「證券商受理線上開戶委託人身分認證及額度分級管理標準」規定辦理。</w:t>
            </w:r>
          </w:p>
          <w:p w:rsidR="007F2331" w:rsidRDefault="007F2331" w:rsidP="003D5589">
            <w:pPr>
              <w:pStyle w:val="ac"/>
              <w:numPr>
                <w:ilvl w:val="1"/>
                <w:numId w:val="3"/>
              </w:numPr>
              <w:spacing w:line="0" w:lineRule="atLeast"/>
              <w:ind w:leftChars="0" w:left="462" w:hanging="490"/>
              <w:jc w:val="both"/>
              <w:rPr>
                <w:rFonts w:ascii="標楷體" w:eastAsia="標楷體" w:hAnsi="標楷體"/>
                <w:kern w:val="2"/>
              </w:rPr>
            </w:pPr>
            <w:r w:rsidRPr="003D5589">
              <w:rPr>
                <w:rFonts w:ascii="標楷體" w:eastAsia="標楷體" w:hAnsi="標楷體" w:hint="eastAsia"/>
                <w:kern w:val="2"/>
              </w:rPr>
              <w:t>委託人為法人者，由被授權人檢附法人登記證明文件影本、</w:t>
            </w:r>
            <w:r w:rsidRPr="003D5589">
              <w:rPr>
                <w:rFonts w:ascii="標楷體" w:eastAsia="標楷體" w:hAnsi="標楷體" w:hint="eastAsia"/>
                <w:kern w:val="2"/>
              </w:rPr>
              <w:lastRenderedPageBreak/>
              <w:t>稅捐機構發給之設立扣繳單</w:t>
            </w:r>
            <w:r w:rsidR="003D5589">
              <w:rPr>
                <w:rFonts w:ascii="標楷體" w:eastAsia="標楷體" w:hAnsi="標楷體" w:hint="eastAsia"/>
                <w:kern w:val="2"/>
              </w:rPr>
              <w:t xml:space="preserve"> </w:t>
            </w:r>
            <w:r w:rsidRPr="003D5589">
              <w:rPr>
                <w:rFonts w:ascii="標楷體" w:eastAsia="標楷體" w:hAnsi="標楷體" w:hint="eastAsia"/>
                <w:kern w:val="2"/>
              </w:rPr>
              <w:t>位編配統一編號通知單影本（若屬營利事業得免檢附上</w:t>
            </w:r>
            <w:r w:rsidR="003D5589">
              <w:rPr>
                <w:rFonts w:ascii="標楷體" w:eastAsia="標楷體" w:hAnsi="標楷體" w:hint="eastAsia"/>
                <w:kern w:val="2"/>
              </w:rPr>
              <w:t xml:space="preserve"> </w:t>
            </w:r>
            <w:r w:rsidRPr="003D5589">
              <w:rPr>
                <w:rFonts w:ascii="標楷體" w:eastAsia="標楷體" w:hAnsi="標楷體" w:hint="eastAsia"/>
                <w:kern w:val="2"/>
              </w:rPr>
              <w:t>開通知單影本）、授權書暨法</w:t>
            </w:r>
            <w:r w:rsidR="003D5589">
              <w:rPr>
                <w:rFonts w:ascii="標楷體" w:eastAsia="標楷體" w:hAnsi="標楷體" w:hint="eastAsia"/>
                <w:kern w:val="2"/>
              </w:rPr>
              <w:t xml:space="preserve"> </w:t>
            </w:r>
            <w:r w:rsidRPr="003D5589">
              <w:rPr>
                <w:rFonts w:ascii="標楷體" w:eastAsia="標楷體" w:hAnsi="標楷體" w:hint="eastAsia"/>
                <w:kern w:val="2"/>
              </w:rPr>
              <w:t>人代表人及被授權人身分證</w:t>
            </w:r>
            <w:r w:rsidR="003D5589">
              <w:rPr>
                <w:rFonts w:ascii="標楷體" w:eastAsia="標楷體" w:hAnsi="標楷體" w:hint="eastAsia"/>
                <w:kern w:val="2"/>
              </w:rPr>
              <w:t xml:space="preserve"> </w:t>
            </w:r>
            <w:r w:rsidRPr="003D5589">
              <w:rPr>
                <w:rFonts w:ascii="標楷體" w:eastAsia="標楷體" w:hAnsi="標楷體" w:hint="eastAsia"/>
                <w:kern w:val="2"/>
              </w:rPr>
              <w:t>影本辦理。</w:t>
            </w:r>
          </w:p>
          <w:p w:rsidR="007F2331" w:rsidRPr="003D5589" w:rsidRDefault="007F2331" w:rsidP="003D5589">
            <w:pPr>
              <w:pStyle w:val="ac"/>
              <w:numPr>
                <w:ilvl w:val="1"/>
                <w:numId w:val="3"/>
              </w:numPr>
              <w:spacing w:line="0" w:lineRule="atLeast"/>
              <w:ind w:leftChars="0" w:left="462" w:hanging="490"/>
              <w:jc w:val="both"/>
              <w:rPr>
                <w:rFonts w:ascii="標楷體" w:eastAsia="標楷體" w:hAnsi="標楷體"/>
                <w:kern w:val="2"/>
              </w:rPr>
            </w:pPr>
            <w:r w:rsidRPr="003D5589">
              <w:rPr>
                <w:rFonts w:ascii="標楷體" w:eastAsia="標楷體" w:hAnsi="標楷體" w:hint="eastAsia"/>
                <w:kern w:val="2"/>
              </w:rPr>
              <w:t>委託人為非法人團體者，應以其負責人之個人名義開戶，將團體名稱併列於戶名內，並由其負責人檢附主管機關登記</w:t>
            </w:r>
            <w:r w:rsidR="003D5589">
              <w:rPr>
                <w:rFonts w:ascii="標楷體" w:eastAsia="標楷體" w:hAnsi="標楷體" w:hint="eastAsia"/>
                <w:kern w:val="2"/>
              </w:rPr>
              <w:t xml:space="preserve"> </w:t>
            </w:r>
            <w:r w:rsidRPr="003D5589">
              <w:rPr>
                <w:rFonts w:ascii="標楷體" w:eastAsia="標楷體" w:hAnsi="標楷體" w:hint="eastAsia"/>
                <w:kern w:val="2"/>
              </w:rPr>
              <w:t>證照（或核准成立、備案或其他登錄證明之文件）影本、稅捐機構發給之設立扣繳單位</w:t>
            </w:r>
            <w:r w:rsidR="003D5589">
              <w:rPr>
                <w:rFonts w:ascii="標楷體" w:eastAsia="標楷體" w:hAnsi="標楷體" w:hint="eastAsia"/>
                <w:kern w:val="2"/>
              </w:rPr>
              <w:t xml:space="preserve"> </w:t>
            </w:r>
            <w:r w:rsidRPr="003D5589">
              <w:rPr>
                <w:rFonts w:ascii="標楷體" w:eastAsia="標楷體" w:hAnsi="標楷體" w:hint="eastAsia"/>
                <w:kern w:val="2"/>
              </w:rPr>
              <w:t>編配統一編號通知單影本（如係免扣繳所得稅者，須另附</w:t>
            </w:r>
            <w:r w:rsidR="003D5589">
              <w:rPr>
                <w:rFonts w:ascii="標楷體" w:eastAsia="標楷體" w:hAnsi="標楷體" w:hint="eastAsia"/>
                <w:kern w:val="2"/>
              </w:rPr>
              <w:t xml:space="preserve">  </w:t>
            </w:r>
            <w:r w:rsidRPr="003D5589">
              <w:rPr>
                <w:rFonts w:ascii="標楷體" w:eastAsia="標楷體" w:hAnsi="標楷體" w:hint="eastAsia"/>
                <w:kern w:val="2"/>
              </w:rPr>
              <w:t>「所得稅免扣繳證明」乙份）及負責人身分證影本辦理。</w:t>
            </w:r>
          </w:p>
          <w:p w:rsidR="007F2331" w:rsidRDefault="007F2331" w:rsidP="007F2331">
            <w:pPr>
              <w:spacing w:line="0" w:lineRule="atLeast"/>
              <w:jc w:val="both"/>
              <w:rPr>
                <w:rFonts w:ascii="標楷體" w:eastAsia="標楷體" w:hAnsi="標楷體"/>
                <w:kern w:val="2"/>
              </w:rPr>
            </w:pPr>
            <w:r>
              <w:rPr>
                <w:rFonts w:ascii="標楷體" w:eastAsia="標楷體" w:hAnsi="標楷體" w:hint="eastAsia"/>
                <w:kern w:val="2"/>
              </w:rPr>
              <w:t xml:space="preserve">    </w:t>
            </w:r>
            <w:r w:rsidRPr="00F67918">
              <w:rPr>
                <w:rFonts w:ascii="標楷體" w:eastAsia="標楷體" w:hAnsi="標楷體" w:hint="eastAsia"/>
                <w:kern w:val="2"/>
              </w:rPr>
              <w:t>委託人或其法定代理人或被授權人於簽訂受託契約時，應留存本人或其法定代理人或被授權人印鑑卡或簽名樣式卡，憑同式印鑑或簽名當面委託買賣、申購有價證券，或辦理交割相關手續。但委託人取消委任授權時，得採足以確認申請人為本人及其意思表示之通信或電子化方式為之；境外華僑及外國人在臺代理人及保管機構為同一人者，得以該保管機構之代理開戶暨交割專用章為其留存印鑑。</w:t>
            </w:r>
          </w:p>
          <w:p w:rsidR="007F2331" w:rsidRPr="007F2331" w:rsidRDefault="007F2331" w:rsidP="007F2331">
            <w:pPr>
              <w:spacing w:line="0" w:lineRule="atLeast"/>
              <w:jc w:val="both"/>
              <w:rPr>
                <w:rFonts w:ascii="標楷體" w:eastAsia="標楷體" w:hAnsi="標楷體"/>
                <w:kern w:val="2"/>
              </w:rPr>
            </w:pPr>
            <w:r>
              <w:rPr>
                <w:rFonts w:ascii="標楷體" w:eastAsia="標楷體" w:hAnsi="標楷體" w:hint="eastAsia"/>
                <w:kern w:val="2"/>
              </w:rPr>
              <w:t xml:space="preserve">    </w:t>
            </w:r>
            <w:r w:rsidRPr="00F67918">
              <w:rPr>
                <w:rFonts w:ascii="標楷體" w:eastAsia="標楷體" w:hAnsi="標楷體" w:hint="eastAsia"/>
                <w:kern w:val="2"/>
              </w:rPr>
              <w:t>委託人或其法定代理人委由代理人代理委託買賣、申購有價證券或辦理交割相關手續，應出具授權書為之，並應留存代理人印鑑卡或簽名樣式卡憑以辦理。但委託人取消委任授權時，得依前項但書規定辦理。</w:t>
            </w:r>
          </w:p>
          <w:p w:rsidR="007F2331" w:rsidRDefault="007F2331" w:rsidP="007F2331">
            <w:pPr>
              <w:spacing w:line="0" w:lineRule="atLeast"/>
              <w:jc w:val="both"/>
              <w:rPr>
                <w:rFonts w:ascii="標楷體" w:eastAsia="標楷體" w:hAnsi="標楷體"/>
                <w:kern w:val="2"/>
              </w:rPr>
            </w:pPr>
            <w:r w:rsidRPr="007F2331">
              <w:rPr>
                <w:rFonts w:ascii="標楷體" w:eastAsia="標楷體" w:hAnsi="標楷體" w:hint="eastAsia"/>
                <w:kern w:val="2"/>
              </w:rPr>
              <w:t xml:space="preserve">    </w:t>
            </w:r>
            <w:r w:rsidRPr="00F67918">
              <w:rPr>
                <w:rFonts w:ascii="標楷體" w:eastAsia="標楷體" w:hAnsi="標楷體" w:hint="eastAsia"/>
                <w:kern w:val="2"/>
              </w:rPr>
              <w:t>證券經紀商受理銷戶時，得採足以確認申請人為本人及其意思表示之通信或電子化方式為之。</w:t>
            </w:r>
          </w:p>
          <w:p w:rsidR="007F2331" w:rsidRDefault="007F2331" w:rsidP="007F2331">
            <w:pPr>
              <w:spacing w:line="0" w:lineRule="atLeast"/>
              <w:jc w:val="both"/>
              <w:rPr>
                <w:rFonts w:ascii="標楷體" w:eastAsia="標楷體" w:hAnsi="標楷體"/>
                <w:kern w:val="2"/>
              </w:rPr>
            </w:pPr>
            <w:r>
              <w:rPr>
                <w:rFonts w:ascii="標楷體" w:eastAsia="標楷體" w:hAnsi="標楷體" w:hint="eastAsia"/>
                <w:kern w:val="2"/>
              </w:rPr>
              <w:t xml:space="preserve">    </w:t>
            </w:r>
            <w:r w:rsidRPr="00F67918">
              <w:rPr>
                <w:rFonts w:ascii="標楷體" w:eastAsia="標楷體" w:hAnsi="標楷體" w:hint="eastAsia"/>
                <w:kern w:val="2"/>
              </w:rPr>
              <w:t>受託契約應以本準則、本公司營業細則、公告、通函及證券商業同業公會規約等為契約之一部分，並載明下列事項：</w:t>
            </w:r>
          </w:p>
          <w:p w:rsidR="007F2331" w:rsidRDefault="007F2331" w:rsidP="003D5589">
            <w:pPr>
              <w:pStyle w:val="ac"/>
              <w:numPr>
                <w:ilvl w:val="1"/>
                <w:numId w:val="6"/>
              </w:numPr>
              <w:spacing w:line="0" w:lineRule="atLeast"/>
              <w:ind w:leftChars="0" w:left="499" w:hanging="485"/>
              <w:jc w:val="both"/>
              <w:rPr>
                <w:rFonts w:ascii="標楷體" w:eastAsia="標楷體" w:hAnsi="標楷體"/>
                <w:kern w:val="2"/>
              </w:rPr>
            </w:pPr>
            <w:r w:rsidRPr="003D5589">
              <w:rPr>
                <w:rFonts w:ascii="標楷體" w:eastAsia="標楷體" w:hAnsi="標楷體" w:hint="eastAsia"/>
                <w:kern w:val="2"/>
              </w:rPr>
              <w:lastRenderedPageBreak/>
              <w:t>委託人為自然人：姓名、性別、年齡、籍貫、職業、住址、身分證統一編號；若有代理人者，代理人姓名及身分證統一編號。</w:t>
            </w:r>
          </w:p>
          <w:p w:rsidR="007F2331" w:rsidRPr="003D5589" w:rsidRDefault="007F2331" w:rsidP="003D5589">
            <w:pPr>
              <w:pStyle w:val="ac"/>
              <w:numPr>
                <w:ilvl w:val="1"/>
                <w:numId w:val="6"/>
              </w:numPr>
              <w:spacing w:line="0" w:lineRule="atLeast"/>
              <w:ind w:leftChars="0" w:left="499" w:hanging="485"/>
              <w:jc w:val="both"/>
              <w:rPr>
                <w:rFonts w:ascii="標楷體" w:eastAsia="標楷體" w:hAnsi="標楷體"/>
                <w:kern w:val="2"/>
              </w:rPr>
            </w:pPr>
            <w:r w:rsidRPr="003D5589">
              <w:rPr>
                <w:rFonts w:ascii="標楷體" w:eastAsia="標楷體" w:hAnsi="標楷體" w:hint="eastAsia"/>
                <w:kern w:val="2"/>
              </w:rPr>
              <w:t>委託人為法人：法人名稱、地址、統一編號、電話、代表人及被授權人。</w:t>
            </w:r>
          </w:p>
          <w:p w:rsidR="007F2331" w:rsidRDefault="007F2331" w:rsidP="007F2331">
            <w:pPr>
              <w:spacing w:line="0" w:lineRule="atLeast"/>
              <w:ind w:left="-12"/>
              <w:jc w:val="both"/>
              <w:rPr>
                <w:rFonts w:ascii="標楷體" w:eastAsia="標楷體" w:hAnsi="標楷體"/>
                <w:kern w:val="2"/>
              </w:rPr>
            </w:pPr>
            <w:r w:rsidRPr="007F2331">
              <w:rPr>
                <w:rFonts w:ascii="標楷體" w:eastAsia="標楷體" w:hAnsi="標楷體" w:hint="eastAsia"/>
                <w:kern w:val="2"/>
              </w:rPr>
              <w:t xml:space="preserve">    </w:t>
            </w:r>
            <w:r w:rsidRPr="00F67918">
              <w:rPr>
                <w:rFonts w:ascii="標楷體" w:eastAsia="標楷體" w:hAnsi="標楷體" w:hint="eastAsia"/>
                <w:kern w:val="2"/>
              </w:rPr>
              <w:t>證券經紀商應於委託人開設</w:t>
            </w:r>
            <w:r w:rsidR="003D5589">
              <w:rPr>
                <w:rFonts w:ascii="標楷體" w:eastAsia="標楷體" w:hAnsi="標楷體" w:hint="eastAsia"/>
                <w:kern w:val="2"/>
              </w:rPr>
              <w:t xml:space="preserve"> </w:t>
            </w:r>
            <w:r w:rsidRPr="00F67918">
              <w:rPr>
                <w:rFonts w:ascii="標楷體" w:eastAsia="標楷體" w:hAnsi="標楷體" w:hint="eastAsia"/>
                <w:kern w:val="2"/>
              </w:rPr>
              <w:t>有</w:t>
            </w:r>
            <w:r w:rsidR="003D5589">
              <w:rPr>
                <w:rFonts w:ascii="標楷體" w:eastAsia="標楷體" w:hAnsi="標楷體" w:hint="eastAsia"/>
                <w:kern w:val="2"/>
              </w:rPr>
              <w:t xml:space="preserve"> </w:t>
            </w:r>
            <w:r w:rsidRPr="00F67918">
              <w:rPr>
                <w:rFonts w:ascii="標楷體" w:eastAsia="標楷體" w:hAnsi="標楷體" w:hint="eastAsia"/>
                <w:kern w:val="2"/>
              </w:rPr>
              <w:t>價證券集中保管帳戶及在其指定之金融機構開立存款帳戶後，始得受其委託辦理買賣證券。</w:t>
            </w:r>
          </w:p>
          <w:p w:rsidR="007F2331" w:rsidRDefault="007F2331" w:rsidP="007F2331">
            <w:pPr>
              <w:spacing w:line="0" w:lineRule="atLeast"/>
              <w:ind w:left="-12"/>
              <w:jc w:val="both"/>
              <w:rPr>
                <w:rFonts w:ascii="標楷體" w:eastAsia="標楷體" w:hAnsi="標楷體"/>
                <w:kern w:val="2"/>
              </w:rPr>
            </w:pPr>
            <w:r>
              <w:rPr>
                <w:rFonts w:ascii="標楷體" w:eastAsia="標楷體" w:hAnsi="標楷體" w:hint="eastAsia"/>
                <w:kern w:val="2"/>
              </w:rPr>
              <w:t xml:space="preserve">    </w:t>
            </w:r>
            <w:r w:rsidRPr="00F67918">
              <w:rPr>
                <w:rFonts w:ascii="標楷體" w:eastAsia="標楷體" w:hAnsi="標楷體" w:hint="eastAsia"/>
                <w:kern w:val="2"/>
              </w:rPr>
              <w:t>前項開立存款帳戶之規定，下列各款不適用之：</w:t>
            </w:r>
          </w:p>
          <w:p w:rsidR="007F2331" w:rsidRDefault="007F2331" w:rsidP="003D5589">
            <w:pPr>
              <w:pStyle w:val="ac"/>
              <w:numPr>
                <w:ilvl w:val="0"/>
                <w:numId w:val="7"/>
              </w:numPr>
              <w:spacing w:line="0" w:lineRule="atLeast"/>
              <w:ind w:leftChars="0"/>
              <w:jc w:val="both"/>
              <w:rPr>
                <w:rFonts w:ascii="標楷體" w:eastAsia="標楷體" w:hAnsi="標楷體"/>
                <w:kern w:val="2"/>
              </w:rPr>
            </w:pPr>
            <w:r w:rsidRPr="003D5589">
              <w:rPr>
                <w:rFonts w:ascii="標楷體" w:eastAsia="標楷體" w:hAnsi="標楷體" w:hint="eastAsia"/>
                <w:kern w:val="2"/>
              </w:rPr>
              <w:t>境外華僑及外國人、證券投資信託基金、行政院國家發展基金投資之創業投資事業、保險業及將所持有海外公司債轉換成股票或海外存託憑證兌回原有價證券之華僑或外國人由保管機構代理開立存款帳戶者，得以匯撥（匯款）方式收受或交付價金。</w:t>
            </w:r>
          </w:p>
          <w:p w:rsidR="007F2331" w:rsidRDefault="007F2331" w:rsidP="003D5589">
            <w:pPr>
              <w:pStyle w:val="ac"/>
              <w:numPr>
                <w:ilvl w:val="0"/>
                <w:numId w:val="7"/>
              </w:numPr>
              <w:spacing w:line="0" w:lineRule="atLeast"/>
              <w:ind w:leftChars="0"/>
              <w:jc w:val="both"/>
              <w:rPr>
                <w:rFonts w:ascii="標楷體" w:eastAsia="標楷體" w:hAnsi="標楷體"/>
                <w:kern w:val="2"/>
              </w:rPr>
            </w:pPr>
            <w:r w:rsidRPr="003D5589">
              <w:rPr>
                <w:rFonts w:ascii="標楷體" w:eastAsia="標楷體" w:hAnsi="標楷體" w:hint="eastAsia"/>
                <w:kern w:val="2"/>
              </w:rPr>
              <w:t>信託業具有集保參加人身分者，其所管理之集合性質信託資金專戶，得以匯撥（匯款）方式收受或交付價金。</w:t>
            </w:r>
          </w:p>
          <w:p w:rsidR="007F2331" w:rsidRDefault="007F2331" w:rsidP="003D5589">
            <w:pPr>
              <w:pStyle w:val="ac"/>
              <w:numPr>
                <w:ilvl w:val="0"/>
                <w:numId w:val="7"/>
              </w:numPr>
              <w:spacing w:line="0" w:lineRule="atLeast"/>
              <w:ind w:leftChars="0"/>
              <w:jc w:val="both"/>
              <w:rPr>
                <w:rFonts w:ascii="標楷體" w:eastAsia="標楷體" w:hAnsi="標楷體"/>
                <w:kern w:val="2"/>
              </w:rPr>
            </w:pPr>
            <w:r w:rsidRPr="003D5589">
              <w:rPr>
                <w:rFonts w:ascii="標楷體" w:eastAsia="標楷體" w:hAnsi="標楷體" w:hint="eastAsia"/>
                <w:kern w:val="2"/>
              </w:rPr>
              <w:t>海外存託憑證存託機構於受託兌回賣出持股時，得透過其保管機構之存款帳戶，以匯撥（匯款）方式收受價金。</w:t>
            </w:r>
          </w:p>
          <w:p w:rsidR="007F2331" w:rsidRDefault="007F2331" w:rsidP="003D5589">
            <w:pPr>
              <w:pStyle w:val="ac"/>
              <w:numPr>
                <w:ilvl w:val="0"/>
                <w:numId w:val="7"/>
              </w:numPr>
              <w:spacing w:line="0" w:lineRule="atLeast"/>
              <w:ind w:leftChars="0"/>
              <w:jc w:val="both"/>
              <w:rPr>
                <w:rFonts w:ascii="標楷體" w:eastAsia="標楷體" w:hAnsi="標楷體"/>
                <w:kern w:val="2"/>
              </w:rPr>
            </w:pPr>
            <w:r w:rsidRPr="003D5589">
              <w:rPr>
                <w:rFonts w:ascii="標楷體" w:eastAsia="標楷體" w:hAnsi="標楷體" w:hint="eastAsia"/>
                <w:kern w:val="2"/>
              </w:rPr>
              <w:t>委任人全權委託證券投資顧問事業或證券投資信託事業買賣有價證券者，得於保管機構開設存款帳戶以匯撥（匯款）方式收受或交付價金。</w:t>
            </w:r>
          </w:p>
          <w:p w:rsidR="007F2331" w:rsidRDefault="007F2331" w:rsidP="003D5589">
            <w:pPr>
              <w:pStyle w:val="ac"/>
              <w:numPr>
                <w:ilvl w:val="0"/>
                <w:numId w:val="7"/>
              </w:numPr>
              <w:spacing w:line="0" w:lineRule="atLeast"/>
              <w:ind w:leftChars="0"/>
              <w:jc w:val="both"/>
              <w:rPr>
                <w:rFonts w:ascii="標楷體" w:eastAsia="標楷體" w:hAnsi="標楷體"/>
                <w:kern w:val="2"/>
              </w:rPr>
            </w:pPr>
            <w:r w:rsidRPr="003D5589">
              <w:rPr>
                <w:rFonts w:ascii="標楷體" w:eastAsia="標楷體" w:hAnsi="標楷體" w:hint="eastAsia"/>
                <w:kern w:val="2"/>
              </w:rPr>
              <w:t>國內銀行及保險公司，如其取得中華信用評等公司評級twA-等級以上，或經主管機關核准或認可之信用評等機構評級與中華信用評等公司之twA-同等級以上之資格條件者，於上開評等之有效期間</w:t>
            </w:r>
            <w:r w:rsidRPr="003D5589">
              <w:rPr>
                <w:rFonts w:ascii="標楷體" w:eastAsia="標楷體" w:hAnsi="標楷體" w:hint="eastAsia"/>
                <w:kern w:val="2"/>
              </w:rPr>
              <w:lastRenderedPageBreak/>
              <w:t>內，得以匯撥（匯款）方式收受或交付價金。</w:t>
            </w:r>
          </w:p>
          <w:p w:rsidR="007F2331" w:rsidRPr="003D5589" w:rsidRDefault="007F2331" w:rsidP="003D5589">
            <w:pPr>
              <w:pStyle w:val="ac"/>
              <w:numPr>
                <w:ilvl w:val="0"/>
                <w:numId w:val="7"/>
              </w:numPr>
              <w:spacing w:line="0" w:lineRule="atLeast"/>
              <w:ind w:leftChars="0"/>
              <w:jc w:val="both"/>
              <w:rPr>
                <w:rFonts w:ascii="標楷體" w:eastAsia="標楷體" w:hAnsi="標楷體"/>
                <w:kern w:val="2"/>
              </w:rPr>
            </w:pPr>
            <w:r w:rsidRPr="003D5589">
              <w:rPr>
                <w:rFonts w:ascii="標楷體" w:eastAsia="標楷體" w:hAnsi="標楷體" w:hint="eastAsia"/>
                <w:kern w:val="2"/>
              </w:rPr>
              <w:t>政府機關依法令規定透過各該機關之存款帳戶辦理證券買賣款項交割作業者，得以匯撥（匯款）方式收受或交付價金。</w:t>
            </w:r>
          </w:p>
        </w:tc>
        <w:tc>
          <w:tcPr>
            <w:tcW w:w="2021" w:type="dxa"/>
            <w:tcBorders>
              <w:top w:val="nil"/>
              <w:left w:val="nil"/>
              <w:bottom w:val="single" w:sz="8" w:space="0" w:color="auto"/>
              <w:right w:val="single" w:sz="8" w:space="0" w:color="auto"/>
            </w:tcBorders>
            <w:tcMar>
              <w:top w:w="0" w:type="dxa"/>
              <w:left w:w="28" w:type="dxa"/>
              <w:bottom w:w="0" w:type="dxa"/>
              <w:right w:w="28" w:type="dxa"/>
            </w:tcMar>
            <w:hideMark/>
          </w:tcPr>
          <w:p w:rsidR="004F4C9B" w:rsidRDefault="004F4C9B" w:rsidP="00A2732C">
            <w:pPr>
              <w:spacing w:line="0" w:lineRule="atLeast"/>
              <w:jc w:val="both"/>
              <w:rPr>
                <w:rFonts w:ascii="標楷體" w:eastAsia="標楷體" w:hAnsi="標楷體"/>
                <w:kern w:val="2"/>
              </w:rPr>
            </w:pPr>
            <w:r>
              <w:rPr>
                <w:rFonts w:ascii="標楷體" w:eastAsia="標楷體" w:hAnsi="標楷體" w:hint="eastAsia"/>
                <w:kern w:val="2"/>
              </w:rPr>
              <w:lastRenderedPageBreak/>
              <w:t>新增第</w:t>
            </w:r>
            <w:r w:rsidR="00317425">
              <w:rPr>
                <w:rFonts w:ascii="標楷體" w:eastAsia="標楷體" w:hAnsi="標楷體" w:hint="eastAsia"/>
                <w:kern w:val="2"/>
              </w:rPr>
              <w:t>七</w:t>
            </w:r>
            <w:r>
              <w:rPr>
                <w:rFonts w:ascii="標楷體" w:eastAsia="標楷體" w:hAnsi="標楷體" w:hint="eastAsia"/>
                <w:kern w:val="2"/>
              </w:rPr>
              <w:t>項第七款客戶已與證券商簽訂證券商交割專戶留存客戶款項契約者，得不須開立劃撥交割銀行帳戶。</w:t>
            </w:r>
          </w:p>
        </w:tc>
      </w:tr>
    </w:tbl>
    <w:p w:rsidR="009E60CE" w:rsidRPr="004F4C9B" w:rsidRDefault="009E60CE"/>
    <w:p w:rsidR="009E60CE" w:rsidRDefault="009E60CE"/>
    <w:p w:rsidR="009E60CE" w:rsidRDefault="009E60CE"/>
    <w:p w:rsidR="009E60CE" w:rsidRDefault="009E60CE"/>
    <w:p w:rsidR="009E60CE" w:rsidRDefault="009E60CE"/>
    <w:p w:rsidR="009E60CE" w:rsidRDefault="009E60CE"/>
    <w:p w:rsidR="009E60CE" w:rsidRDefault="009E60CE"/>
    <w:p w:rsidR="009E60CE" w:rsidRDefault="009E60CE"/>
    <w:p w:rsidR="009E60CE" w:rsidRDefault="009E60CE"/>
    <w:p w:rsidR="009E60CE" w:rsidRDefault="009E60CE"/>
    <w:p w:rsidR="009E60CE" w:rsidRDefault="009E60CE"/>
    <w:p w:rsidR="009E60CE" w:rsidRDefault="009E60CE"/>
    <w:p w:rsidR="009E60CE" w:rsidRDefault="009E60CE"/>
    <w:p w:rsidR="009E60CE" w:rsidRDefault="009E60CE"/>
    <w:p w:rsidR="009E60CE" w:rsidRDefault="009E60CE"/>
    <w:p w:rsidR="005D5C6D" w:rsidRDefault="005D5C6D"/>
    <w:p w:rsidR="005D5C6D" w:rsidRDefault="005D5C6D"/>
    <w:p w:rsidR="005D5C6D" w:rsidRDefault="005D5C6D"/>
    <w:p w:rsidR="005D5C6D" w:rsidRDefault="005D5C6D"/>
    <w:p w:rsidR="005D5C6D" w:rsidRDefault="005D5C6D"/>
    <w:p w:rsidR="005D5C6D" w:rsidRDefault="005D5C6D"/>
    <w:p w:rsidR="005D5C6D" w:rsidRDefault="005D5C6D"/>
    <w:p w:rsidR="005D5C6D" w:rsidRDefault="005D5C6D"/>
    <w:p w:rsidR="005D5C6D" w:rsidRDefault="005D5C6D"/>
    <w:p w:rsidR="005D5C6D" w:rsidRDefault="005D5C6D"/>
    <w:p w:rsidR="009E60CE" w:rsidRDefault="009E60CE"/>
    <w:p w:rsidR="009E60CE" w:rsidRPr="009E60CE" w:rsidRDefault="009E60CE"/>
    <w:p w:rsidR="00FF4F7A" w:rsidRPr="002E1F37" w:rsidRDefault="00FF4F7A" w:rsidP="00FF4F7A">
      <w:pPr>
        <w:spacing w:line="0" w:lineRule="atLeast"/>
        <w:jc w:val="center"/>
        <w:rPr>
          <w:rFonts w:ascii="標楷體" w:eastAsia="標楷體" w:hAnsi="標楷體"/>
          <w:sz w:val="36"/>
          <w:szCs w:val="36"/>
        </w:rPr>
      </w:pPr>
      <w:r w:rsidRPr="002E1F37">
        <w:rPr>
          <w:rFonts w:ascii="標楷體" w:eastAsia="標楷體" w:hAnsi="標楷體" w:hint="eastAsia"/>
          <w:sz w:val="36"/>
          <w:szCs w:val="36"/>
        </w:rPr>
        <w:lastRenderedPageBreak/>
        <w:t>證券商交割專戶設置客戶分戶帳作業要點</w:t>
      </w:r>
    </w:p>
    <w:p w:rsidR="00FF4F7A" w:rsidRPr="002E1F37" w:rsidRDefault="005357A9" w:rsidP="00FF4F7A">
      <w:pPr>
        <w:spacing w:line="0" w:lineRule="atLeast"/>
        <w:jc w:val="center"/>
        <w:rPr>
          <w:rFonts w:ascii="標楷體" w:eastAsia="標楷體" w:hAnsi="標楷體"/>
          <w:sz w:val="36"/>
          <w:szCs w:val="36"/>
        </w:rPr>
      </w:pPr>
      <w:r w:rsidRPr="005357A9">
        <w:rPr>
          <w:rFonts w:ascii="標楷體" w:eastAsia="標楷體" w:hAnsi="標楷體" w:hint="eastAsia"/>
          <w:sz w:val="36"/>
          <w:szCs w:val="36"/>
        </w:rPr>
        <w:t>第</w:t>
      </w:r>
      <w:r>
        <w:rPr>
          <w:rFonts w:ascii="標楷體" w:eastAsia="標楷體" w:hAnsi="標楷體" w:hint="eastAsia"/>
          <w:sz w:val="36"/>
          <w:szCs w:val="36"/>
        </w:rPr>
        <w:t>十二</w:t>
      </w:r>
      <w:r w:rsidRPr="005357A9">
        <w:rPr>
          <w:rFonts w:ascii="標楷體" w:eastAsia="標楷體" w:hAnsi="標楷體" w:hint="eastAsia"/>
          <w:sz w:val="36"/>
          <w:szCs w:val="36"/>
        </w:rPr>
        <w:t>條修正條文對照表</w:t>
      </w:r>
    </w:p>
    <w:p w:rsidR="00FF4F7A" w:rsidRPr="002E1F37" w:rsidRDefault="00FF4F7A" w:rsidP="00FF4F7A">
      <w:pPr>
        <w:spacing w:line="0" w:lineRule="atLeast"/>
        <w:jc w:val="right"/>
        <w:rPr>
          <w:rFonts w:ascii="標楷體" w:eastAsia="標楷體" w:hAnsi="標楷體"/>
        </w:rPr>
      </w:pPr>
    </w:p>
    <w:tbl>
      <w:tblPr>
        <w:tblW w:w="92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44"/>
        <w:gridCol w:w="3544"/>
        <w:gridCol w:w="2126"/>
      </w:tblGrid>
      <w:tr w:rsidR="0097797B" w:rsidRPr="002E1F37" w:rsidTr="0097797B">
        <w:tc>
          <w:tcPr>
            <w:tcW w:w="3544" w:type="dxa"/>
          </w:tcPr>
          <w:p w:rsidR="0097797B" w:rsidRPr="002E1F37" w:rsidRDefault="0097797B" w:rsidP="0097797B">
            <w:pPr>
              <w:spacing w:line="360" w:lineRule="exact"/>
              <w:jc w:val="center"/>
              <w:rPr>
                <w:rFonts w:ascii="標楷體" w:eastAsia="標楷體" w:hAnsi="標楷體"/>
              </w:rPr>
            </w:pPr>
            <w:r w:rsidRPr="002E1F37">
              <w:rPr>
                <w:rFonts w:ascii="標楷體" w:eastAsia="標楷體" w:hAnsi="標楷體" w:hint="eastAsia"/>
              </w:rPr>
              <w:t>修正條文</w:t>
            </w:r>
          </w:p>
        </w:tc>
        <w:tc>
          <w:tcPr>
            <w:tcW w:w="3544" w:type="dxa"/>
          </w:tcPr>
          <w:p w:rsidR="0097797B" w:rsidRPr="002E1F37" w:rsidRDefault="001A4CEE" w:rsidP="0097797B">
            <w:pPr>
              <w:spacing w:line="360" w:lineRule="exact"/>
              <w:jc w:val="center"/>
              <w:rPr>
                <w:rFonts w:ascii="標楷體" w:eastAsia="標楷體" w:hAnsi="標楷體"/>
              </w:rPr>
            </w:pPr>
            <w:r>
              <w:rPr>
                <w:rFonts w:ascii="標楷體" w:eastAsia="標楷體" w:hAnsi="標楷體" w:hint="eastAsia"/>
              </w:rPr>
              <w:t>現行</w:t>
            </w:r>
            <w:r w:rsidR="0097797B" w:rsidRPr="002E1F37">
              <w:rPr>
                <w:rFonts w:ascii="標楷體" w:eastAsia="標楷體" w:hAnsi="標楷體" w:hint="eastAsia"/>
              </w:rPr>
              <w:t>條文</w:t>
            </w:r>
          </w:p>
        </w:tc>
        <w:tc>
          <w:tcPr>
            <w:tcW w:w="2126" w:type="dxa"/>
          </w:tcPr>
          <w:p w:rsidR="0097797B" w:rsidRPr="002E1F37" w:rsidRDefault="001A4CEE" w:rsidP="0097797B">
            <w:pPr>
              <w:spacing w:line="360" w:lineRule="exact"/>
              <w:jc w:val="center"/>
              <w:rPr>
                <w:rFonts w:ascii="標楷體" w:eastAsia="標楷體" w:hAnsi="標楷體"/>
              </w:rPr>
            </w:pPr>
            <w:r>
              <w:rPr>
                <w:rFonts w:ascii="標楷體" w:eastAsia="標楷體" w:hAnsi="標楷體" w:hint="eastAsia"/>
                <w:kern w:val="2"/>
              </w:rPr>
              <w:t>說明</w:t>
            </w:r>
          </w:p>
        </w:tc>
      </w:tr>
      <w:tr w:rsidR="0097797B" w:rsidRPr="002E1F37" w:rsidTr="0097797B">
        <w:tc>
          <w:tcPr>
            <w:tcW w:w="3544" w:type="dxa"/>
          </w:tcPr>
          <w:p w:rsidR="0097797B" w:rsidRPr="00834D08" w:rsidRDefault="00B2397C" w:rsidP="0097797B">
            <w:pPr>
              <w:spacing w:line="0" w:lineRule="atLeast"/>
              <w:jc w:val="both"/>
              <w:rPr>
                <w:rFonts w:ascii="標楷體" w:eastAsia="標楷體" w:hAnsi="標楷體"/>
              </w:rPr>
            </w:pPr>
            <w:hyperlink r:id="rId12" w:history="1">
              <w:r w:rsidR="0097797B" w:rsidRPr="00834D08">
                <w:rPr>
                  <w:rFonts w:ascii="標楷體" w:eastAsia="標楷體" w:hAnsi="標楷體"/>
                </w:rPr>
                <w:t>第十二條</w:t>
              </w:r>
            </w:hyperlink>
            <w:r w:rsidR="0097797B" w:rsidRPr="00834D08">
              <w:rPr>
                <w:rFonts w:ascii="標楷體" w:eastAsia="標楷體" w:hAnsi="標楷體"/>
              </w:rPr>
              <w:t xml:space="preserve"> </w:t>
            </w:r>
          </w:p>
          <w:p w:rsidR="0097797B" w:rsidRPr="00834D08" w:rsidRDefault="0097797B" w:rsidP="0097797B">
            <w:pPr>
              <w:spacing w:line="0" w:lineRule="atLeast"/>
              <w:jc w:val="both"/>
              <w:rPr>
                <w:rFonts w:ascii="標楷體" w:eastAsia="標楷體" w:hAnsi="標楷體"/>
              </w:rPr>
            </w:pPr>
            <w:r w:rsidRPr="00834D08">
              <w:rPr>
                <w:rFonts w:ascii="標楷體" w:eastAsia="標楷體" w:hAnsi="標楷體" w:hint="eastAsia"/>
              </w:rPr>
              <w:t>證券商交割專戶留存客戶款項契約範本，由券商公會擬訂之，報主管機關備查，並應載明下列事項：</w:t>
            </w:r>
          </w:p>
          <w:p w:rsidR="0097797B" w:rsidRPr="00834D08" w:rsidRDefault="0097797B" w:rsidP="0097797B">
            <w:pPr>
              <w:spacing w:line="0" w:lineRule="atLeast"/>
              <w:ind w:left="396" w:hangingChars="165" w:hanging="396"/>
              <w:jc w:val="both"/>
              <w:rPr>
                <w:rFonts w:ascii="標楷體" w:eastAsia="標楷體" w:hAnsi="標楷體"/>
              </w:rPr>
            </w:pPr>
            <w:r w:rsidRPr="00834D08">
              <w:rPr>
                <w:rFonts w:ascii="標楷體" w:eastAsia="標楷體" w:hAnsi="標楷體" w:hint="eastAsia"/>
              </w:rPr>
              <w:t>一、客戶留存款項範圍。</w:t>
            </w:r>
          </w:p>
          <w:p w:rsidR="0097797B" w:rsidRPr="00834D08" w:rsidRDefault="0097797B" w:rsidP="0097797B">
            <w:pPr>
              <w:spacing w:line="0" w:lineRule="atLeast"/>
              <w:ind w:left="396" w:hangingChars="165" w:hanging="396"/>
              <w:jc w:val="both"/>
              <w:rPr>
                <w:rFonts w:ascii="標楷體" w:eastAsia="標楷體" w:hAnsi="標楷體"/>
              </w:rPr>
            </w:pPr>
            <w:r w:rsidRPr="00834D08">
              <w:rPr>
                <w:rFonts w:ascii="標楷體" w:eastAsia="標楷體" w:hAnsi="標楷體" w:hint="eastAsia"/>
              </w:rPr>
              <w:t>二、為客戶辦理應支付款項之範圍及順序。</w:t>
            </w:r>
          </w:p>
          <w:p w:rsidR="0097797B" w:rsidRPr="00834D08" w:rsidRDefault="0097797B" w:rsidP="0097797B">
            <w:pPr>
              <w:spacing w:line="0" w:lineRule="atLeast"/>
              <w:ind w:left="396" w:hangingChars="165" w:hanging="396"/>
              <w:jc w:val="both"/>
              <w:rPr>
                <w:rFonts w:ascii="標楷體" w:eastAsia="標楷體" w:hAnsi="標楷體"/>
              </w:rPr>
            </w:pPr>
            <w:r w:rsidRPr="00834D08">
              <w:rPr>
                <w:rFonts w:ascii="標楷體" w:eastAsia="標楷體" w:hAnsi="標楷體" w:hint="eastAsia"/>
              </w:rPr>
              <w:t>三、利息結算及給付方式。</w:t>
            </w:r>
          </w:p>
          <w:p w:rsidR="0097797B" w:rsidRPr="00834D08" w:rsidRDefault="0097797B" w:rsidP="0097797B">
            <w:pPr>
              <w:spacing w:line="0" w:lineRule="atLeast"/>
              <w:ind w:left="396" w:hangingChars="165" w:hanging="396"/>
              <w:jc w:val="both"/>
              <w:rPr>
                <w:rFonts w:ascii="標楷體" w:eastAsia="標楷體" w:hAnsi="標楷體"/>
              </w:rPr>
            </w:pPr>
            <w:r w:rsidRPr="00834D08">
              <w:rPr>
                <w:rFonts w:ascii="標楷體" w:eastAsia="標楷體" w:hAnsi="標楷體" w:hint="eastAsia"/>
              </w:rPr>
              <w:t>四、客戶領回資金之程序。</w:t>
            </w:r>
          </w:p>
          <w:p w:rsidR="0097797B" w:rsidRPr="00834D08" w:rsidRDefault="0097797B" w:rsidP="0097797B">
            <w:pPr>
              <w:spacing w:line="0" w:lineRule="atLeast"/>
              <w:ind w:left="396" w:hangingChars="165" w:hanging="396"/>
              <w:jc w:val="both"/>
              <w:rPr>
                <w:rFonts w:ascii="標楷體" w:eastAsia="標楷體" w:hAnsi="標楷體"/>
              </w:rPr>
            </w:pPr>
            <w:r w:rsidRPr="00834D08">
              <w:rPr>
                <w:rFonts w:ascii="標楷體" w:eastAsia="標楷體" w:hAnsi="標楷體" w:hint="eastAsia"/>
              </w:rPr>
              <w:t>五、客戶查詢其款項方式。</w:t>
            </w:r>
          </w:p>
          <w:p w:rsidR="0097797B" w:rsidRPr="00834D08" w:rsidRDefault="0097797B" w:rsidP="0097797B">
            <w:pPr>
              <w:spacing w:line="0" w:lineRule="atLeast"/>
              <w:ind w:left="396" w:hangingChars="165" w:hanging="396"/>
              <w:jc w:val="both"/>
              <w:rPr>
                <w:rFonts w:ascii="標楷體" w:eastAsia="標楷體" w:hAnsi="標楷體"/>
              </w:rPr>
            </w:pPr>
            <w:r w:rsidRPr="00834D08">
              <w:rPr>
                <w:rFonts w:ascii="標楷體" w:eastAsia="標楷體" w:hAnsi="標楷體" w:hint="eastAsia"/>
              </w:rPr>
              <w:t>六、證券商應就客戶分戶帳之款項留存收付紀錄。</w:t>
            </w:r>
          </w:p>
          <w:p w:rsidR="0097797B" w:rsidRPr="00834D08" w:rsidRDefault="0097797B" w:rsidP="0097797B">
            <w:pPr>
              <w:spacing w:line="0" w:lineRule="atLeast"/>
              <w:ind w:left="396" w:hangingChars="165" w:hanging="396"/>
              <w:jc w:val="both"/>
              <w:rPr>
                <w:rFonts w:ascii="標楷體" w:eastAsia="標楷體" w:hAnsi="標楷體"/>
              </w:rPr>
            </w:pPr>
            <w:r w:rsidRPr="00834D08">
              <w:rPr>
                <w:rFonts w:ascii="標楷體" w:eastAsia="標楷體" w:hAnsi="標楷體" w:hint="eastAsia"/>
              </w:rPr>
              <w:t>七、證券商管理費費率。</w:t>
            </w:r>
          </w:p>
          <w:p w:rsidR="0097797B" w:rsidRPr="00834D08" w:rsidRDefault="0097797B" w:rsidP="0097797B">
            <w:pPr>
              <w:spacing w:line="0" w:lineRule="atLeast"/>
              <w:ind w:left="396" w:hangingChars="165" w:hanging="396"/>
              <w:jc w:val="both"/>
              <w:rPr>
                <w:rFonts w:ascii="標楷體" w:eastAsia="標楷體" w:hAnsi="標楷體"/>
              </w:rPr>
            </w:pPr>
            <w:r w:rsidRPr="00834D08">
              <w:rPr>
                <w:rFonts w:ascii="標楷體" w:eastAsia="標楷體" w:hAnsi="標楷體" w:hint="eastAsia"/>
              </w:rPr>
              <w:t>八、契約之生效日期、契約變更與終止之處理方式。</w:t>
            </w:r>
          </w:p>
          <w:p w:rsidR="0097797B" w:rsidRPr="00834D08" w:rsidRDefault="0097797B" w:rsidP="0097797B">
            <w:pPr>
              <w:spacing w:line="0" w:lineRule="atLeast"/>
              <w:ind w:left="396" w:hangingChars="165" w:hanging="396"/>
              <w:jc w:val="both"/>
              <w:rPr>
                <w:rFonts w:ascii="標楷體" w:eastAsia="標楷體" w:hAnsi="標楷體"/>
              </w:rPr>
            </w:pPr>
            <w:r w:rsidRPr="00834D08">
              <w:rPr>
                <w:rFonts w:ascii="標楷體" w:eastAsia="標楷體" w:hAnsi="標楷體" w:hint="eastAsia"/>
              </w:rPr>
              <w:t>九、依個人資料保護法及其相關法令，客戶同意證券商得將其個人分戶帳相關資料提供證券交易所、櫃檯買賣中心及其他主管機關所指定之機構。</w:t>
            </w:r>
          </w:p>
          <w:p w:rsidR="0097797B" w:rsidRPr="00834D08" w:rsidRDefault="0097797B" w:rsidP="0097797B">
            <w:pPr>
              <w:spacing w:line="0" w:lineRule="atLeast"/>
              <w:ind w:left="396" w:hangingChars="165" w:hanging="396"/>
              <w:jc w:val="both"/>
              <w:rPr>
                <w:rFonts w:ascii="標楷體" w:eastAsia="標楷體" w:hAnsi="標楷體"/>
              </w:rPr>
            </w:pPr>
            <w:r w:rsidRPr="00834D08">
              <w:rPr>
                <w:rFonts w:ascii="標楷體" w:eastAsia="標楷體" w:hAnsi="標楷體" w:hint="eastAsia"/>
              </w:rPr>
              <w:t>十、爭議事項之處理。</w:t>
            </w:r>
          </w:p>
          <w:p w:rsidR="0097797B" w:rsidRPr="00834D08" w:rsidRDefault="0097797B" w:rsidP="0097797B">
            <w:pPr>
              <w:spacing w:line="0" w:lineRule="atLeast"/>
              <w:jc w:val="both"/>
              <w:rPr>
                <w:rFonts w:ascii="標楷體" w:eastAsia="標楷體" w:hAnsi="標楷體"/>
              </w:rPr>
            </w:pPr>
          </w:p>
        </w:tc>
        <w:tc>
          <w:tcPr>
            <w:tcW w:w="3544" w:type="dxa"/>
          </w:tcPr>
          <w:p w:rsidR="0097797B" w:rsidRPr="00834D08" w:rsidRDefault="00B2397C" w:rsidP="0097797B">
            <w:pPr>
              <w:spacing w:line="0" w:lineRule="atLeast"/>
              <w:jc w:val="both"/>
              <w:rPr>
                <w:rFonts w:ascii="標楷體" w:eastAsia="標楷體" w:hAnsi="標楷體"/>
              </w:rPr>
            </w:pPr>
            <w:hyperlink r:id="rId13" w:history="1">
              <w:r w:rsidR="0097797B" w:rsidRPr="00834D08">
                <w:rPr>
                  <w:rFonts w:ascii="標楷體" w:eastAsia="標楷體" w:hAnsi="標楷體"/>
                </w:rPr>
                <w:t>第十二條</w:t>
              </w:r>
            </w:hyperlink>
            <w:r w:rsidR="0097797B" w:rsidRPr="00834D08">
              <w:rPr>
                <w:rFonts w:ascii="標楷體" w:eastAsia="標楷體" w:hAnsi="標楷體"/>
              </w:rPr>
              <w:t xml:space="preserve"> </w:t>
            </w:r>
          </w:p>
          <w:p w:rsidR="0097797B" w:rsidRPr="00840ED7" w:rsidRDefault="0097797B" w:rsidP="0097797B">
            <w:pPr>
              <w:spacing w:line="0" w:lineRule="atLeast"/>
              <w:jc w:val="both"/>
              <w:rPr>
                <w:rFonts w:ascii="標楷體" w:eastAsia="標楷體" w:hAnsi="標楷體"/>
                <w:strike/>
                <w:color w:val="FF0000"/>
              </w:rPr>
            </w:pPr>
            <w:r w:rsidRPr="00840ED7">
              <w:rPr>
                <w:rFonts w:ascii="標楷體" w:eastAsia="標楷體" w:hAnsi="標楷體" w:hint="eastAsia"/>
                <w:strike/>
                <w:color w:val="FF0000"/>
              </w:rPr>
              <w:t>證券商應審查客戶已開立從事集中交易市場或櫃檯買賣市場有價證券交易所需之證券款項劃撥帳戶，始得與其簽訂證券商交割專戶留存客戶款項契約。</w:t>
            </w:r>
          </w:p>
          <w:p w:rsidR="0097797B" w:rsidRPr="00834D08" w:rsidRDefault="0097797B" w:rsidP="0097797B">
            <w:pPr>
              <w:spacing w:line="0" w:lineRule="atLeast"/>
              <w:jc w:val="both"/>
              <w:rPr>
                <w:rFonts w:ascii="標楷體" w:eastAsia="標楷體" w:hAnsi="標楷體"/>
              </w:rPr>
            </w:pPr>
            <w:r w:rsidRPr="00840ED7">
              <w:rPr>
                <w:rFonts w:ascii="標楷體" w:eastAsia="標楷體" w:hAnsi="標楷體" w:hint="eastAsia"/>
                <w:strike/>
                <w:color w:val="FF0000"/>
              </w:rPr>
              <w:t>前項</w:t>
            </w:r>
            <w:r w:rsidRPr="00834D08">
              <w:rPr>
                <w:rFonts w:ascii="標楷體" w:eastAsia="標楷體" w:hAnsi="標楷體" w:hint="eastAsia"/>
              </w:rPr>
              <w:t>證券商交割專戶留存客戶款項契約範本，由券商公會擬訂之，報主管機關備查，並應載明下列事項：</w:t>
            </w:r>
          </w:p>
          <w:p w:rsidR="0097797B" w:rsidRPr="00834D08" w:rsidRDefault="0097797B" w:rsidP="0097797B">
            <w:pPr>
              <w:spacing w:line="0" w:lineRule="atLeast"/>
              <w:ind w:left="396" w:hangingChars="165" w:hanging="396"/>
              <w:jc w:val="both"/>
              <w:rPr>
                <w:rFonts w:ascii="標楷體" w:eastAsia="標楷體" w:hAnsi="標楷體"/>
              </w:rPr>
            </w:pPr>
            <w:r w:rsidRPr="00834D08">
              <w:rPr>
                <w:rFonts w:ascii="標楷體" w:eastAsia="標楷體" w:hAnsi="標楷體" w:hint="eastAsia"/>
              </w:rPr>
              <w:t>一、客戶留存款項範圍。</w:t>
            </w:r>
          </w:p>
          <w:p w:rsidR="0097797B" w:rsidRPr="00834D08" w:rsidRDefault="0097797B" w:rsidP="0097797B">
            <w:pPr>
              <w:spacing w:line="0" w:lineRule="atLeast"/>
              <w:ind w:left="396" w:hangingChars="165" w:hanging="396"/>
              <w:jc w:val="both"/>
              <w:rPr>
                <w:rFonts w:ascii="標楷體" w:eastAsia="標楷體" w:hAnsi="標楷體"/>
              </w:rPr>
            </w:pPr>
            <w:r w:rsidRPr="00834D08">
              <w:rPr>
                <w:rFonts w:ascii="標楷體" w:eastAsia="標楷體" w:hAnsi="標楷體" w:hint="eastAsia"/>
              </w:rPr>
              <w:t>二、為客戶辦理應支付款項之範圍及順序。</w:t>
            </w:r>
          </w:p>
          <w:p w:rsidR="0097797B" w:rsidRPr="00834D08" w:rsidRDefault="0097797B" w:rsidP="0097797B">
            <w:pPr>
              <w:spacing w:line="0" w:lineRule="atLeast"/>
              <w:ind w:left="396" w:hangingChars="165" w:hanging="396"/>
              <w:jc w:val="both"/>
              <w:rPr>
                <w:rFonts w:ascii="標楷體" w:eastAsia="標楷體" w:hAnsi="標楷體"/>
              </w:rPr>
            </w:pPr>
            <w:r w:rsidRPr="00834D08">
              <w:rPr>
                <w:rFonts w:ascii="標楷體" w:eastAsia="標楷體" w:hAnsi="標楷體" w:hint="eastAsia"/>
              </w:rPr>
              <w:t>三、利息結算及給付方式。</w:t>
            </w:r>
          </w:p>
          <w:p w:rsidR="0097797B" w:rsidRPr="00834D08" w:rsidRDefault="0097797B" w:rsidP="0097797B">
            <w:pPr>
              <w:spacing w:line="0" w:lineRule="atLeast"/>
              <w:ind w:left="396" w:hangingChars="165" w:hanging="396"/>
              <w:jc w:val="both"/>
              <w:rPr>
                <w:rFonts w:ascii="標楷體" w:eastAsia="標楷體" w:hAnsi="標楷體"/>
              </w:rPr>
            </w:pPr>
            <w:r w:rsidRPr="00834D08">
              <w:rPr>
                <w:rFonts w:ascii="標楷體" w:eastAsia="標楷體" w:hAnsi="標楷體" w:hint="eastAsia"/>
              </w:rPr>
              <w:t>四、客戶領回資金之程序。</w:t>
            </w:r>
          </w:p>
          <w:p w:rsidR="0097797B" w:rsidRPr="00834D08" w:rsidRDefault="0097797B" w:rsidP="0097797B">
            <w:pPr>
              <w:spacing w:line="0" w:lineRule="atLeast"/>
              <w:ind w:left="396" w:hangingChars="165" w:hanging="396"/>
              <w:jc w:val="both"/>
              <w:rPr>
                <w:rFonts w:ascii="標楷體" w:eastAsia="標楷體" w:hAnsi="標楷體"/>
              </w:rPr>
            </w:pPr>
            <w:r w:rsidRPr="00834D08">
              <w:rPr>
                <w:rFonts w:ascii="標楷體" w:eastAsia="標楷體" w:hAnsi="標楷體" w:hint="eastAsia"/>
              </w:rPr>
              <w:t>五、客戶查詢其款項方式。</w:t>
            </w:r>
          </w:p>
          <w:p w:rsidR="0097797B" w:rsidRPr="00834D08" w:rsidRDefault="0097797B" w:rsidP="0097797B">
            <w:pPr>
              <w:spacing w:line="0" w:lineRule="atLeast"/>
              <w:ind w:left="396" w:hangingChars="165" w:hanging="396"/>
              <w:jc w:val="both"/>
              <w:rPr>
                <w:rFonts w:ascii="標楷體" w:eastAsia="標楷體" w:hAnsi="標楷體"/>
              </w:rPr>
            </w:pPr>
            <w:r w:rsidRPr="00834D08">
              <w:rPr>
                <w:rFonts w:ascii="標楷體" w:eastAsia="標楷體" w:hAnsi="標楷體" w:hint="eastAsia"/>
              </w:rPr>
              <w:t>六、證券商應就客戶分戶帳之款項留存收付紀錄。</w:t>
            </w:r>
          </w:p>
          <w:p w:rsidR="0097797B" w:rsidRPr="00834D08" w:rsidRDefault="0097797B" w:rsidP="0097797B">
            <w:pPr>
              <w:spacing w:line="0" w:lineRule="atLeast"/>
              <w:ind w:left="396" w:hangingChars="165" w:hanging="396"/>
              <w:jc w:val="both"/>
              <w:rPr>
                <w:rFonts w:ascii="標楷體" w:eastAsia="標楷體" w:hAnsi="標楷體"/>
              </w:rPr>
            </w:pPr>
            <w:r w:rsidRPr="00834D08">
              <w:rPr>
                <w:rFonts w:ascii="標楷體" w:eastAsia="標楷體" w:hAnsi="標楷體" w:hint="eastAsia"/>
              </w:rPr>
              <w:t>七、證券商管理費費率。</w:t>
            </w:r>
          </w:p>
          <w:p w:rsidR="0097797B" w:rsidRPr="00834D08" w:rsidRDefault="0097797B" w:rsidP="0097797B">
            <w:pPr>
              <w:spacing w:line="0" w:lineRule="atLeast"/>
              <w:ind w:left="396" w:hangingChars="165" w:hanging="396"/>
              <w:jc w:val="both"/>
              <w:rPr>
                <w:rFonts w:ascii="標楷體" w:eastAsia="標楷體" w:hAnsi="標楷體"/>
              </w:rPr>
            </w:pPr>
            <w:r w:rsidRPr="00834D08">
              <w:rPr>
                <w:rFonts w:ascii="標楷體" w:eastAsia="標楷體" w:hAnsi="標楷體" w:hint="eastAsia"/>
              </w:rPr>
              <w:t>八、契約之生效日期、契約變更與終止之處理方式。</w:t>
            </w:r>
          </w:p>
          <w:p w:rsidR="0097797B" w:rsidRPr="00834D08" w:rsidRDefault="0097797B" w:rsidP="0097797B">
            <w:pPr>
              <w:spacing w:line="0" w:lineRule="atLeast"/>
              <w:ind w:left="396" w:hangingChars="165" w:hanging="396"/>
              <w:jc w:val="both"/>
              <w:rPr>
                <w:rFonts w:ascii="標楷體" w:eastAsia="標楷體" w:hAnsi="標楷體"/>
              </w:rPr>
            </w:pPr>
            <w:r w:rsidRPr="00834D08">
              <w:rPr>
                <w:rFonts w:ascii="標楷體" w:eastAsia="標楷體" w:hAnsi="標楷體" w:hint="eastAsia"/>
              </w:rPr>
              <w:t>九、依個人資料保護法及其相關法令，客戶同意證券商得將其個人分戶帳相關資料提供證券交易所、櫃檯買賣中心及其他主管機關所指定之機構。</w:t>
            </w:r>
          </w:p>
          <w:p w:rsidR="0097797B" w:rsidRPr="00834D08" w:rsidRDefault="0097797B" w:rsidP="0097797B">
            <w:pPr>
              <w:spacing w:line="0" w:lineRule="atLeast"/>
              <w:ind w:left="396" w:hangingChars="165" w:hanging="396"/>
              <w:jc w:val="both"/>
              <w:rPr>
                <w:rFonts w:ascii="標楷體" w:eastAsia="標楷體" w:hAnsi="標楷體"/>
              </w:rPr>
            </w:pPr>
            <w:r w:rsidRPr="00834D08">
              <w:rPr>
                <w:rFonts w:ascii="標楷體" w:eastAsia="標楷體" w:hAnsi="標楷體" w:hint="eastAsia"/>
              </w:rPr>
              <w:t>十、爭議事項之處理。</w:t>
            </w:r>
          </w:p>
        </w:tc>
        <w:tc>
          <w:tcPr>
            <w:tcW w:w="2126" w:type="dxa"/>
          </w:tcPr>
          <w:p w:rsidR="0097797B" w:rsidRPr="002E1F37" w:rsidRDefault="0097797B" w:rsidP="0097797B">
            <w:pPr>
              <w:spacing w:line="0" w:lineRule="atLeast"/>
              <w:jc w:val="both"/>
              <w:rPr>
                <w:rFonts w:ascii="標楷體" w:eastAsia="標楷體" w:hAnsi="標楷體"/>
              </w:rPr>
            </w:pPr>
            <w:r>
              <w:rPr>
                <w:rFonts w:ascii="標楷體" w:eastAsia="標楷體" w:hAnsi="標楷體" w:hint="eastAsia"/>
                <w:kern w:val="2"/>
              </w:rPr>
              <w:t>配合開放</w:t>
            </w:r>
            <w:r w:rsidR="007042B0">
              <w:rPr>
                <w:rFonts w:ascii="標楷體" w:eastAsia="標楷體" w:hAnsi="標楷體" w:hint="eastAsia"/>
                <w:kern w:val="2"/>
              </w:rPr>
              <w:t>客戶已與證券商簽訂證券商交割專戶留存客戶款項契約者，得不須開立劃撥交割銀行帳戶。</w:t>
            </w:r>
          </w:p>
        </w:tc>
      </w:tr>
    </w:tbl>
    <w:p w:rsidR="00FF4F7A" w:rsidRPr="00FF4F7A" w:rsidRDefault="00FF4F7A" w:rsidP="00D514A4">
      <w:pPr>
        <w:rPr>
          <w:rFonts w:ascii="標楷體" w:eastAsia="標楷體" w:hAnsi="標楷體"/>
        </w:rPr>
      </w:pPr>
    </w:p>
    <w:sectPr w:rsidR="00FF4F7A" w:rsidRPr="00FF4F7A" w:rsidSect="000F6EC3">
      <w:footerReference w:type="default" r:id="rId1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97C" w:rsidRDefault="00B2397C" w:rsidP="00C23845">
      <w:r>
        <w:separator/>
      </w:r>
    </w:p>
  </w:endnote>
  <w:endnote w:type="continuationSeparator" w:id="0">
    <w:p w:rsidR="00B2397C" w:rsidRDefault="00B2397C" w:rsidP="00C2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3238"/>
      <w:docPartObj>
        <w:docPartGallery w:val="Page Numbers (Bottom of Page)"/>
        <w:docPartUnique/>
      </w:docPartObj>
    </w:sdtPr>
    <w:sdtEndPr/>
    <w:sdtContent>
      <w:p w:rsidR="00C23845" w:rsidRDefault="00235D75">
        <w:pPr>
          <w:pStyle w:val="a6"/>
          <w:jc w:val="center"/>
        </w:pPr>
        <w:r>
          <w:fldChar w:fldCharType="begin"/>
        </w:r>
        <w:r>
          <w:instrText xml:space="preserve"> PAGE   \* MERGEFORMAT </w:instrText>
        </w:r>
        <w:r>
          <w:fldChar w:fldCharType="separate"/>
        </w:r>
        <w:r w:rsidR="00CD289B" w:rsidRPr="00CD289B">
          <w:rPr>
            <w:noProof/>
            <w:lang w:val="zh-TW"/>
          </w:rPr>
          <w:t>1</w:t>
        </w:r>
        <w:r>
          <w:rPr>
            <w:noProof/>
            <w:lang w:val="zh-TW"/>
          </w:rPr>
          <w:fldChar w:fldCharType="end"/>
        </w:r>
      </w:p>
    </w:sdtContent>
  </w:sdt>
  <w:p w:rsidR="00C23845" w:rsidRDefault="00C238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97C" w:rsidRDefault="00B2397C" w:rsidP="00C23845">
      <w:r>
        <w:separator/>
      </w:r>
    </w:p>
  </w:footnote>
  <w:footnote w:type="continuationSeparator" w:id="0">
    <w:p w:rsidR="00B2397C" w:rsidRDefault="00B2397C" w:rsidP="00C23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454B0"/>
    <w:multiLevelType w:val="hybridMultilevel"/>
    <w:tmpl w:val="3578BD1C"/>
    <w:lvl w:ilvl="0" w:tplc="C37ADA66">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A96518"/>
    <w:multiLevelType w:val="hybridMultilevel"/>
    <w:tmpl w:val="8F6A737A"/>
    <w:lvl w:ilvl="0" w:tplc="B2D8B4FC">
      <w:start w:val="1"/>
      <w:numFmt w:val="taiwaneseCountingThousand"/>
      <w:lvlText w:val="%1、"/>
      <w:lvlJc w:val="left"/>
      <w:pPr>
        <w:ind w:left="432" w:hanging="43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34B61D2"/>
    <w:multiLevelType w:val="hybridMultilevel"/>
    <w:tmpl w:val="98F8FF42"/>
    <w:lvl w:ilvl="0" w:tplc="E63886C8">
      <w:start w:val="1"/>
      <w:numFmt w:val="taiwaneseCountingThousand"/>
      <w:lvlText w:val="(%1)"/>
      <w:lvlJc w:val="left"/>
      <w:pPr>
        <w:ind w:left="480" w:hanging="480"/>
      </w:pPr>
      <w:rPr>
        <w:rFonts w:hint="default"/>
      </w:rPr>
    </w:lvl>
    <w:lvl w:ilvl="1" w:tplc="224E83FA">
      <w:start w:val="1"/>
      <w:numFmt w:val="taiwaneseCountingThousand"/>
      <w:lvlText w:val="%2、"/>
      <w:lvlJc w:val="left"/>
      <w:pPr>
        <w:ind w:left="912" w:hanging="43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40C29C9"/>
    <w:multiLevelType w:val="hybridMultilevel"/>
    <w:tmpl w:val="61FEDE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DE26EDF"/>
    <w:multiLevelType w:val="hybridMultilevel"/>
    <w:tmpl w:val="0EDEA2FE"/>
    <w:lvl w:ilvl="0" w:tplc="3E166592">
      <w:start w:val="1"/>
      <w:numFmt w:val="taiwaneseCountingThousand"/>
      <w:lvlText w:val="%1、"/>
      <w:lvlJc w:val="left"/>
      <w:pPr>
        <w:ind w:left="396" w:hanging="408"/>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5" w15:restartNumberingAfterBreak="0">
    <w:nsid w:val="66AC178A"/>
    <w:multiLevelType w:val="hybridMultilevel"/>
    <w:tmpl w:val="A094EA76"/>
    <w:lvl w:ilvl="0" w:tplc="9C42073E">
      <w:start w:val="1"/>
      <w:numFmt w:val="taiwaneseCountingThousand"/>
      <w:lvlText w:val="（%1）"/>
      <w:lvlJc w:val="left"/>
      <w:pPr>
        <w:ind w:left="655" w:hanging="720"/>
      </w:pPr>
      <w:rPr>
        <w:rFonts w:hint="default"/>
      </w:rPr>
    </w:lvl>
    <w:lvl w:ilvl="1" w:tplc="3C0C28DE">
      <w:start w:val="1"/>
      <w:numFmt w:val="taiwaneseCountingThousand"/>
      <w:lvlText w:val="%2、"/>
      <w:lvlJc w:val="left"/>
      <w:pPr>
        <w:ind w:left="847" w:hanging="432"/>
      </w:pPr>
      <w:rPr>
        <w:rFonts w:hint="default"/>
      </w:r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6" w15:restartNumberingAfterBreak="0">
    <w:nsid w:val="6E1A3BC7"/>
    <w:multiLevelType w:val="hybridMultilevel"/>
    <w:tmpl w:val="E99E0ED0"/>
    <w:lvl w:ilvl="0" w:tplc="57A83A88">
      <w:start w:val="1"/>
      <w:numFmt w:val="taiwaneseCountingThousand"/>
      <w:lvlText w:val="%1、"/>
      <w:lvlJc w:val="left"/>
      <w:pPr>
        <w:ind w:left="645"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0"/>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7A"/>
    <w:rsid w:val="00010D29"/>
    <w:rsid w:val="00013E4C"/>
    <w:rsid w:val="000250FC"/>
    <w:rsid w:val="000F6EC3"/>
    <w:rsid w:val="00132E70"/>
    <w:rsid w:val="00182E33"/>
    <w:rsid w:val="0019678F"/>
    <w:rsid w:val="001A4CEE"/>
    <w:rsid w:val="001D67E3"/>
    <w:rsid w:val="00205BFC"/>
    <w:rsid w:val="00210AB6"/>
    <w:rsid w:val="00235D75"/>
    <w:rsid w:val="00236EB6"/>
    <w:rsid w:val="002D4C1F"/>
    <w:rsid w:val="00317425"/>
    <w:rsid w:val="003D5589"/>
    <w:rsid w:val="004A7E87"/>
    <w:rsid w:val="004E6E38"/>
    <w:rsid w:val="004F4C9B"/>
    <w:rsid w:val="005357A9"/>
    <w:rsid w:val="005A48FF"/>
    <w:rsid w:val="005B4431"/>
    <w:rsid w:val="005C6D68"/>
    <w:rsid w:val="005D5C6D"/>
    <w:rsid w:val="00672950"/>
    <w:rsid w:val="006D4402"/>
    <w:rsid w:val="007042B0"/>
    <w:rsid w:val="00705A95"/>
    <w:rsid w:val="00726B2B"/>
    <w:rsid w:val="007F2331"/>
    <w:rsid w:val="008C721F"/>
    <w:rsid w:val="0097797B"/>
    <w:rsid w:val="009E60CE"/>
    <w:rsid w:val="00B2397C"/>
    <w:rsid w:val="00C23845"/>
    <w:rsid w:val="00C44072"/>
    <w:rsid w:val="00CD289B"/>
    <w:rsid w:val="00D029F4"/>
    <w:rsid w:val="00D26D6D"/>
    <w:rsid w:val="00D514A4"/>
    <w:rsid w:val="00D74B92"/>
    <w:rsid w:val="00F506A9"/>
    <w:rsid w:val="00FF4F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A8F08A-0B49-4BD0-8BBC-A25CF47D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F7A"/>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4F7A"/>
    <w:rPr>
      <w:color w:val="0000FF"/>
      <w:u w:val="single"/>
    </w:rPr>
  </w:style>
  <w:style w:type="paragraph" w:styleId="HTML">
    <w:name w:val="HTML Preformatted"/>
    <w:basedOn w:val="a"/>
    <w:link w:val="HTML0"/>
    <w:uiPriority w:val="99"/>
    <w:unhideWhenUsed/>
    <w:rsid w:val="00FF4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rsid w:val="00FF4F7A"/>
    <w:rPr>
      <w:rFonts w:ascii="細明體" w:eastAsia="細明體" w:hAnsi="細明體" w:cs="細明體"/>
      <w:kern w:val="0"/>
      <w:szCs w:val="24"/>
    </w:rPr>
  </w:style>
  <w:style w:type="paragraph" w:styleId="a4">
    <w:name w:val="header"/>
    <w:basedOn w:val="a"/>
    <w:link w:val="a5"/>
    <w:uiPriority w:val="99"/>
    <w:unhideWhenUsed/>
    <w:rsid w:val="00C23845"/>
    <w:pPr>
      <w:tabs>
        <w:tab w:val="center" w:pos="4153"/>
        <w:tab w:val="right" w:pos="8306"/>
      </w:tabs>
      <w:snapToGrid w:val="0"/>
    </w:pPr>
    <w:rPr>
      <w:sz w:val="20"/>
      <w:szCs w:val="20"/>
    </w:rPr>
  </w:style>
  <w:style w:type="character" w:customStyle="1" w:styleId="a5">
    <w:name w:val="頁首 字元"/>
    <w:basedOn w:val="a0"/>
    <w:link w:val="a4"/>
    <w:uiPriority w:val="99"/>
    <w:rsid w:val="00C23845"/>
    <w:rPr>
      <w:rFonts w:ascii="Calibri" w:eastAsia="新細明體" w:hAnsi="Calibri" w:cs="新細明體"/>
      <w:kern w:val="0"/>
      <w:sz w:val="20"/>
      <w:szCs w:val="20"/>
    </w:rPr>
  </w:style>
  <w:style w:type="paragraph" w:styleId="a6">
    <w:name w:val="footer"/>
    <w:basedOn w:val="a"/>
    <w:link w:val="a7"/>
    <w:uiPriority w:val="99"/>
    <w:unhideWhenUsed/>
    <w:rsid w:val="00C23845"/>
    <w:pPr>
      <w:tabs>
        <w:tab w:val="center" w:pos="4153"/>
        <w:tab w:val="right" w:pos="8306"/>
      </w:tabs>
      <w:snapToGrid w:val="0"/>
    </w:pPr>
    <w:rPr>
      <w:sz w:val="20"/>
      <w:szCs w:val="20"/>
    </w:rPr>
  </w:style>
  <w:style w:type="character" w:customStyle="1" w:styleId="a7">
    <w:name w:val="頁尾 字元"/>
    <w:basedOn w:val="a0"/>
    <w:link w:val="a6"/>
    <w:uiPriority w:val="99"/>
    <w:rsid w:val="00C23845"/>
    <w:rPr>
      <w:rFonts w:ascii="Calibri" w:eastAsia="新細明體" w:hAnsi="Calibri" w:cs="新細明體"/>
      <w:kern w:val="0"/>
      <w:sz w:val="20"/>
      <w:szCs w:val="20"/>
    </w:rPr>
  </w:style>
  <w:style w:type="paragraph" w:styleId="a8">
    <w:name w:val="Balloon Text"/>
    <w:basedOn w:val="a"/>
    <w:link w:val="a9"/>
    <w:uiPriority w:val="99"/>
    <w:semiHidden/>
    <w:unhideWhenUsed/>
    <w:rsid w:val="00C2384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23845"/>
    <w:rPr>
      <w:rFonts w:asciiTheme="majorHAnsi" w:eastAsiaTheme="majorEastAsia" w:hAnsiTheme="majorHAnsi" w:cstheme="majorBidi"/>
      <w:kern w:val="0"/>
      <w:sz w:val="18"/>
      <w:szCs w:val="18"/>
    </w:rPr>
  </w:style>
  <w:style w:type="paragraph" w:styleId="aa">
    <w:name w:val="Plain Text"/>
    <w:basedOn w:val="a"/>
    <w:link w:val="ab"/>
    <w:uiPriority w:val="99"/>
    <w:semiHidden/>
    <w:unhideWhenUsed/>
    <w:rsid w:val="006D4402"/>
    <w:pPr>
      <w:widowControl w:val="0"/>
    </w:pPr>
    <w:rPr>
      <w:rFonts w:hAnsi="Courier New" w:cs="Courier New"/>
      <w:kern w:val="2"/>
      <w:szCs w:val="22"/>
    </w:rPr>
  </w:style>
  <w:style w:type="character" w:customStyle="1" w:styleId="ab">
    <w:name w:val="純文字 字元"/>
    <w:basedOn w:val="a0"/>
    <w:link w:val="aa"/>
    <w:uiPriority w:val="99"/>
    <w:semiHidden/>
    <w:rsid w:val="006D4402"/>
    <w:rPr>
      <w:rFonts w:ascii="Calibri" w:eastAsia="新細明體" w:hAnsi="Courier New" w:cs="Courier New"/>
    </w:rPr>
  </w:style>
  <w:style w:type="paragraph" w:styleId="ac">
    <w:name w:val="List Paragraph"/>
    <w:basedOn w:val="a"/>
    <w:uiPriority w:val="34"/>
    <w:qFormat/>
    <w:rsid w:val="004F4C9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9828">
      <w:bodyDiv w:val="1"/>
      <w:marLeft w:val="0"/>
      <w:marRight w:val="0"/>
      <w:marTop w:val="0"/>
      <w:marBottom w:val="0"/>
      <w:divBdr>
        <w:top w:val="none" w:sz="0" w:space="0" w:color="auto"/>
        <w:left w:val="none" w:sz="0" w:space="0" w:color="auto"/>
        <w:bottom w:val="none" w:sz="0" w:space="0" w:color="auto"/>
        <w:right w:val="none" w:sz="0" w:space="0" w:color="auto"/>
      </w:divBdr>
    </w:div>
    <w:div w:id="286666956">
      <w:bodyDiv w:val="1"/>
      <w:marLeft w:val="0"/>
      <w:marRight w:val="0"/>
      <w:marTop w:val="0"/>
      <w:marBottom w:val="0"/>
      <w:divBdr>
        <w:top w:val="none" w:sz="0" w:space="0" w:color="auto"/>
        <w:left w:val="none" w:sz="0" w:space="0" w:color="auto"/>
        <w:bottom w:val="none" w:sz="0" w:space="0" w:color="auto"/>
        <w:right w:val="none" w:sz="0" w:space="0" w:color="auto"/>
      </w:divBdr>
    </w:div>
    <w:div w:id="1176071758">
      <w:bodyDiv w:val="1"/>
      <w:marLeft w:val="0"/>
      <w:marRight w:val="0"/>
      <w:marTop w:val="0"/>
      <w:marBottom w:val="0"/>
      <w:divBdr>
        <w:top w:val="none" w:sz="0" w:space="0" w:color="auto"/>
        <w:left w:val="none" w:sz="0" w:space="0" w:color="auto"/>
        <w:bottom w:val="none" w:sz="0" w:space="0" w:color="auto"/>
        <w:right w:val="none" w:sz="0" w:space="0" w:color="auto"/>
      </w:divBdr>
    </w:div>
    <w:div w:id="1272736531">
      <w:bodyDiv w:val="1"/>
      <w:marLeft w:val="0"/>
      <w:marRight w:val="0"/>
      <w:marTop w:val="0"/>
      <w:marBottom w:val="0"/>
      <w:divBdr>
        <w:top w:val="none" w:sz="0" w:space="0" w:color="auto"/>
        <w:left w:val="none" w:sz="0" w:space="0" w:color="auto"/>
        <w:bottom w:val="none" w:sz="0" w:space="0" w:color="auto"/>
        <w:right w:val="none" w:sz="0" w:space="0" w:color="auto"/>
      </w:divBdr>
    </w:div>
    <w:div w:id="1316570704">
      <w:bodyDiv w:val="1"/>
      <w:marLeft w:val="0"/>
      <w:marRight w:val="0"/>
      <w:marTop w:val="0"/>
      <w:marBottom w:val="0"/>
      <w:divBdr>
        <w:top w:val="none" w:sz="0" w:space="0" w:color="auto"/>
        <w:left w:val="none" w:sz="0" w:space="0" w:color="auto"/>
        <w:bottom w:val="none" w:sz="0" w:space="0" w:color="auto"/>
        <w:right w:val="none" w:sz="0" w:space="0" w:color="auto"/>
      </w:divBdr>
    </w:div>
    <w:div w:id="2021345481">
      <w:bodyDiv w:val="1"/>
      <w:marLeft w:val="0"/>
      <w:marRight w:val="0"/>
      <w:marTop w:val="0"/>
      <w:marBottom w:val="0"/>
      <w:divBdr>
        <w:top w:val="none" w:sz="0" w:space="0" w:color="auto"/>
        <w:left w:val="none" w:sz="0" w:space="0" w:color="auto"/>
        <w:bottom w:val="none" w:sz="0" w:space="0" w:color="auto"/>
        <w:right w:val="none" w:sz="0" w:space="0" w:color="auto"/>
      </w:divBdr>
    </w:div>
    <w:div w:id="204459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aw.com.tw/LawArticleRef.aspx?LawID=G0100501&amp;ModifyDate=1050926&amp;LawNO=83000&amp;k1=&amp;k2=&amp;k3=&amp;c1=&amp;c2=&amp;ak1=&amp;ak2=&amp;ak3=&amp;ac1=&amp;ac2=&amp;rng=80-90&amp;SLawNO=&amp;ELawNO=" TargetMode="External"/><Relationship Id="rId13" Type="http://schemas.openxmlformats.org/officeDocument/2006/relationships/hyperlink" Target="http://www.selaw.com.tw/LawArticleRef.aspx?LawID=G0103810&amp;ModifyDate=1050714&amp;LawNO=12000&amp;k1=&amp;k2=&amp;k3=&amp;c1=&amp;c2=&amp;ak1=&amp;ak2=&amp;ak3=&amp;ac1=&amp;ac2=&amp;rng=&amp;SLawNO=&amp;ELawNO=" TargetMode="External"/><Relationship Id="rId3" Type="http://schemas.openxmlformats.org/officeDocument/2006/relationships/settings" Target="settings.xml"/><Relationship Id="rId7" Type="http://schemas.openxmlformats.org/officeDocument/2006/relationships/hyperlink" Target="http://www.selaw.com.tw/LawArticleRef.aspx?LawID=G0100501&amp;ModifyDate=1050926&amp;LawNO=83000&amp;k1=&amp;k2=&amp;k3=&amp;c1=&amp;c2=&amp;ak1=&amp;ak2=&amp;ak3=&amp;ac1=&amp;ac2=&amp;rng=80-90&amp;SLawNO=&amp;ELawNO=" TargetMode="External"/><Relationship Id="rId12" Type="http://schemas.openxmlformats.org/officeDocument/2006/relationships/hyperlink" Target="http://www.selaw.com.tw/LawArticleRef.aspx?LawID=G0103810&amp;ModifyDate=1050714&amp;LawNO=12000&amp;k1=&amp;k2=&amp;k3=&amp;c1=&amp;c2=&amp;ak1=&amp;ak2=&amp;ak3=&amp;ac1=&amp;ac2=&amp;rng=&amp;SLawNO=&amp;ELawN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law.com.tw/LawArticleRef.aspx?LawID=G0100501&amp;ModifyDate=1050926&amp;LawNO=83000&amp;k1=&amp;k2=&amp;k3=&amp;c1=&amp;c2=&amp;ak1=&amp;ak2=&amp;ak3=&amp;ac1=&amp;ac2=&amp;rng=80-90&amp;SLawNO=&amp;ELawN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law.com.tw/LawArticleRef.aspx?LawID=G0100501&amp;ModifyDate=1050926&amp;LawNO=83000&amp;k1=&amp;k2=&amp;k3=&amp;c1=&amp;c2=&amp;ak1=&amp;ak2=&amp;ak3=&amp;ac1=&amp;ac2=&amp;rng=80-90&amp;SLawNO=&amp;ELawNO=" TargetMode="External"/><Relationship Id="rId4" Type="http://schemas.openxmlformats.org/officeDocument/2006/relationships/webSettings" Target="webSettings.xml"/><Relationship Id="rId9" Type="http://schemas.openxmlformats.org/officeDocument/2006/relationships/hyperlink" Target="http://www.selaw.com.tw/LawContent.aspx?LawID=G0100106"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1021</Words>
  <Characters>5822</Characters>
  <Application>Microsoft Office Word</Application>
  <DocSecurity>0</DocSecurity>
  <Lines>48</Lines>
  <Paragraphs>13</Paragraphs>
  <ScaleCrop>false</ScaleCrop>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黃美玲</cp:lastModifiedBy>
  <cp:revision>2</cp:revision>
  <cp:lastPrinted>2017-08-07T01:29:00Z</cp:lastPrinted>
  <dcterms:created xsi:type="dcterms:W3CDTF">2017-08-07T01:29:00Z</dcterms:created>
  <dcterms:modified xsi:type="dcterms:W3CDTF">2017-08-07T01:29:00Z</dcterms:modified>
</cp:coreProperties>
</file>