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7F" w:rsidRDefault="003F053C" w:rsidP="004549E0">
      <w:pPr>
        <w:spacing w:beforeLines="50" w:before="180" w:afterLines="50" w:after="180" w:line="400" w:lineRule="exact"/>
        <w:jc w:val="center"/>
        <w:rPr>
          <w:rFonts w:ascii="標楷體" w:eastAsia="標楷體" w:hAnsi="標楷體"/>
          <w:sz w:val="32"/>
          <w:szCs w:val="32"/>
        </w:rPr>
      </w:pPr>
      <w:r>
        <w:fldChar w:fldCharType="begin"/>
      </w:r>
      <w:r>
        <w:instrText xml:space="preserve"> HYPERLINK "http://www.selaw.com.tw/Scripts/newsdetail.asp?no=G0100275" </w:instrText>
      </w:r>
      <w:r>
        <w:fldChar w:fldCharType="separate"/>
      </w:r>
      <w:r w:rsidR="00274057" w:rsidRPr="00274057">
        <w:rPr>
          <w:rFonts w:eastAsia="標楷體" w:hAnsi="標楷體" w:hint="eastAsia"/>
          <w:sz w:val="32"/>
          <w:szCs w:val="32"/>
        </w:rPr>
        <w:t>臺灣證券交易所公開資訊觀測站「</w:t>
      </w:r>
      <w:r w:rsidR="00274057" w:rsidRPr="00FF451E">
        <w:rPr>
          <w:rFonts w:eastAsia="標楷體" w:hAnsi="標楷體"/>
          <w:sz w:val="32"/>
          <w:szCs w:val="32"/>
        </w:rPr>
        <w:t>臺灣存託憑證</w:t>
      </w:r>
      <w:r w:rsidR="00274057" w:rsidRPr="00274057">
        <w:rPr>
          <w:rFonts w:eastAsia="標楷體" w:hAnsi="標楷體" w:hint="eastAsia"/>
          <w:sz w:val="32"/>
          <w:szCs w:val="32"/>
        </w:rPr>
        <w:t>財務重點專區」資訊揭露處理原則</w:t>
      </w:r>
      <w:r>
        <w:rPr>
          <w:rFonts w:eastAsia="標楷體" w:hAnsi="標楷體"/>
          <w:sz w:val="32"/>
          <w:szCs w:val="32"/>
        </w:rPr>
        <w:fldChar w:fldCharType="end"/>
      </w:r>
      <w:r w:rsidR="005F06DB">
        <w:rPr>
          <w:rFonts w:eastAsia="標楷體" w:hAnsi="標楷體" w:hint="eastAsia"/>
          <w:sz w:val="32"/>
          <w:szCs w:val="32"/>
        </w:rPr>
        <w:t>第三條</w:t>
      </w:r>
      <w:r w:rsidR="006568C0">
        <w:rPr>
          <w:rFonts w:eastAsia="標楷體" w:hAnsi="標楷體" w:hint="eastAsia"/>
          <w:sz w:val="32"/>
          <w:szCs w:val="32"/>
        </w:rPr>
        <w:t>及第四條</w:t>
      </w:r>
      <w:r w:rsidR="004549E0" w:rsidRPr="002618B1">
        <w:rPr>
          <w:rFonts w:ascii="標楷體" w:eastAsia="標楷體" w:hAnsi="標楷體" w:hint="eastAsia"/>
          <w:sz w:val="32"/>
          <w:szCs w:val="32"/>
        </w:rPr>
        <w:t>修正條文對照表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9"/>
        <w:gridCol w:w="3788"/>
        <w:gridCol w:w="2189"/>
      </w:tblGrid>
      <w:tr w:rsidR="004549E0" w:rsidRPr="002618B1" w:rsidTr="006568C0">
        <w:trPr>
          <w:tblHeader/>
        </w:trPr>
        <w:tc>
          <w:tcPr>
            <w:tcW w:w="3794" w:type="dxa"/>
            <w:tcBorders>
              <w:bottom w:val="single" w:sz="4" w:space="0" w:color="000000"/>
            </w:tcBorders>
            <w:shd w:val="pct10" w:color="auto" w:fill="auto"/>
          </w:tcPr>
          <w:p w:rsidR="004549E0" w:rsidRPr="002618B1" w:rsidRDefault="004549E0" w:rsidP="00722BFA">
            <w:pPr>
              <w:spacing w:line="240" w:lineRule="atLeast"/>
              <w:jc w:val="distribute"/>
              <w:rPr>
                <w:rFonts w:ascii="標楷體" w:eastAsia="標楷體" w:hAnsi="標楷體"/>
              </w:rPr>
            </w:pPr>
            <w:r w:rsidRPr="002618B1">
              <w:rPr>
                <w:rFonts w:ascii="標楷體" w:eastAsia="標楷體" w:hAnsi="標楷體" w:hint="eastAsia"/>
              </w:rPr>
              <w:t>修正條文</w:t>
            </w:r>
          </w:p>
        </w:tc>
        <w:tc>
          <w:tcPr>
            <w:tcW w:w="3827" w:type="dxa"/>
            <w:shd w:val="pct10" w:color="auto" w:fill="auto"/>
          </w:tcPr>
          <w:p w:rsidR="004549E0" w:rsidRPr="002618B1" w:rsidRDefault="004549E0" w:rsidP="001D7490">
            <w:pPr>
              <w:spacing w:line="240" w:lineRule="atLeast"/>
              <w:jc w:val="distribute"/>
              <w:rPr>
                <w:rFonts w:ascii="標楷體" w:eastAsia="標楷體" w:hAnsi="標楷體"/>
              </w:rPr>
            </w:pPr>
            <w:r w:rsidRPr="002618B1">
              <w:rPr>
                <w:rFonts w:ascii="標楷體" w:eastAsia="標楷體" w:hAnsi="標楷體" w:hint="eastAsia"/>
              </w:rPr>
              <w:t>現行條文</w:t>
            </w:r>
          </w:p>
        </w:tc>
        <w:tc>
          <w:tcPr>
            <w:tcW w:w="2233" w:type="dxa"/>
            <w:shd w:val="pct10" w:color="auto" w:fill="auto"/>
          </w:tcPr>
          <w:p w:rsidR="004549E0" w:rsidRPr="002618B1" w:rsidRDefault="004549E0" w:rsidP="001D7490">
            <w:pPr>
              <w:spacing w:line="240" w:lineRule="atLeast"/>
              <w:jc w:val="distribute"/>
              <w:rPr>
                <w:rFonts w:ascii="標楷體" w:eastAsia="標楷體" w:hAnsi="標楷體"/>
              </w:rPr>
            </w:pPr>
            <w:r w:rsidRPr="002618B1">
              <w:rPr>
                <w:rFonts w:ascii="標楷體" w:eastAsia="標楷體" w:hAnsi="標楷體" w:hint="eastAsia"/>
              </w:rPr>
              <w:t>說明</w:t>
            </w:r>
          </w:p>
        </w:tc>
      </w:tr>
      <w:tr w:rsidR="004549E0" w:rsidRPr="002618B1" w:rsidTr="006568C0">
        <w:trPr>
          <w:trHeight w:val="7944"/>
        </w:trPr>
        <w:tc>
          <w:tcPr>
            <w:tcW w:w="3794" w:type="dxa"/>
          </w:tcPr>
          <w:p w:rsidR="004549E0" w:rsidRDefault="004549E0" w:rsidP="00CE6D73">
            <w:pPr>
              <w:jc w:val="both"/>
              <w:rPr>
                <w:rFonts w:eastAsia="標楷體" w:hAnsi="標楷體"/>
              </w:rPr>
            </w:pPr>
            <w:r w:rsidRPr="004549E0">
              <w:rPr>
                <w:rFonts w:eastAsia="標楷體" w:hAnsi="標楷體" w:hint="eastAsia"/>
              </w:rPr>
              <w:t>三、資訊揭露項目：</w:t>
            </w:r>
          </w:p>
          <w:p w:rsidR="00DB4F8D" w:rsidRPr="004549E0" w:rsidRDefault="00DB4F8D" w:rsidP="00DB4F8D">
            <w:pPr>
              <w:jc w:val="both"/>
              <w:rPr>
                <w:rFonts w:eastAsia="標楷體" w:hAnsi="標楷體"/>
              </w:rPr>
            </w:pPr>
            <w:r w:rsidRPr="004549E0">
              <w:rPr>
                <w:rFonts w:eastAsia="標楷體" w:hAnsi="標楷體" w:hint="eastAsia"/>
              </w:rPr>
              <w:t>（</w:t>
            </w:r>
            <w:r>
              <w:rPr>
                <w:rFonts w:eastAsia="標楷體" w:hAnsi="標楷體" w:hint="eastAsia"/>
              </w:rPr>
              <w:t>前</w:t>
            </w:r>
            <w:r w:rsidRPr="004549E0">
              <w:rPr>
                <w:rFonts w:eastAsia="標楷體" w:hAnsi="標楷體" w:hint="eastAsia"/>
              </w:rPr>
              <w:t>略）</w:t>
            </w:r>
          </w:p>
          <w:p w:rsidR="004549E0" w:rsidRDefault="004549E0" w:rsidP="00DB4F8D">
            <w:pPr>
              <w:ind w:left="989" w:hangingChars="412" w:hanging="989"/>
              <w:jc w:val="both"/>
              <w:rPr>
                <w:rFonts w:eastAsia="標楷體" w:hAnsi="標楷體"/>
              </w:rPr>
            </w:pPr>
            <w:r w:rsidRPr="004549E0">
              <w:rPr>
                <w:rFonts w:eastAsia="標楷體" w:hAnsi="標楷體" w:hint="eastAsia"/>
              </w:rPr>
              <w:t>（</w:t>
            </w:r>
            <w:r w:rsidR="00DB4F8D">
              <w:rPr>
                <w:rFonts w:eastAsia="標楷體" w:hAnsi="標楷體" w:hint="eastAsia"/>
              </w:rPr>
              <w:t>三</w:t>
            </w:r>
            <w:r w:rsidRPr="004549E0">
              <w:rPr>
                <w:rFonts w:eastAsia="標楷體" w:hAnsi="標楷體" w:hint="eastAsia"/>
              </w:rPr>
              <w:t>）</w:t>
            </w:r>
            <w:r w:rsidR="00DB4F8D">
              <w:rPr>
                <w:rFonts w:eastAsia="標楷體" w:hAnsi="標楷體" w:hint="eastAsia"/>
              </w:rPr>
              <w:t>警示指標</w:t>
            </w:r>
            <w:r w:rsidRPr="004549E0">
              <w:rPr>
                <w:rFonts w:eastAsia="標楷體" w:hAnsi="標楷體" w:hint="eastAsia"/>
              </w:rPr>
              <w:t>：</w:t>
            </w:r>
          </w:p>
          <w:p w:rsidR="00316612" w:rsidRPr="004549E0" w:rsidRDefault="00316612" w:rsidP="00DB4F8D">
            <w:pPr>
              <w:ind w:left="989" w:hangingChars="412" w:hanging="989"/>
              <w:jc w:val="both"/>
              <w:rPr>
                <w:rFonts w:eastAsia="標楷體" w:hAnsi="標楷體"/>
              </w:rPr>
            </w:pPr>
            <w:r w:rsidRPr="004549E0">
              <w:rPr>
                <w:rFonts w:eastAsia="標楷體" w:hAnsi="標楷體" w:hint="eastAsia"/>
              </w:rPr>
              <w:t>（</w:t>
            </w:r>
            <w:r>
              <w:rPr>
                <w:rFonts w:eastAsia="標楷體" w:hAnsi="標楷體" w:hint="eastAsia"/>
              </w:rPr>
              <w:t>指標</w:t>
            </w:r>
            <w:r>
              <w:rPr>
                <w:rFonts w:eastAsia="標楷體" w:hAnsi="標楷體" w:hint="eastAsia"/>
              </w:rPr>
              <w:t>1</w:t>
            </w:r>
            <w:r>
              <w:rPr>
                <w:rFonts w:eastAsia="標楷體" w:hAnsi="標楷體" w:hint="eastAsia"/>
              </w:rPr>
              <w:t>至指標</w:t>
            </w:r>
            <w:r>
              <w:rPr>
                <w:rFonts w:eastAsia="標楷體" w:hAnsi="標楷體" w:hint="eastAsia"/>
              </w:rPr>
              <w:t>4</w:t>
            </w:r>
            <w:r w:rsidRPr="004549E0">
              <w:rPr>
                <w:rFonts w:eastAsia="標楷體" w:hAnsi="標楷體" w:hint="eastAsia"/>
              </w:rPr>
              <w:t>略）</w:t>
            </w:r>
          </w:p>
          <w:p w:rsidR="001C26AE" w:rsidRPr="001C26AE" w:rsidRDefault="001C26AE" w:rsidP="001C26AE">
            <w:pPr>
              <w:ind w:leftChars="296" w:left="1699" w:hangingChars="412" w:hanging="989"/>
              <w:jc w:val="both"/>
              <w:rPr>
                <w:rFonts w:eastAsia="標楷體" w:hAnsi="標楷體"/>
                <w:u w:val="single"/>
              </w:rPr>
            </w:pPr>
            <w:r w:rsidRPr="00DB4F8D">
              <w:rPr>
                <w:rFonts w:eastAsia="標楷體" w:hAnsi="標楷體" w:hint="eastAsia"/>
              </w:rPr>
              <w:t>指標</w:t>
            </w:r>
            <w:r w:rsidRPr="00DB4F8D">
              <w:rPr>
                <w:rFonts w:eastAsia="標楷體" w:hAnsi="標楷體" w:hint="eastAsia"/>
              </w:rPr>
              <w:t xml:space="preserve"> 5</w:t>
            </w:r>
            <w:r w:rsidRPr="00DB4F8D">
              <w:rPr>
                <w:rFonts w:eastAsia="標楷體" w:hAnsi="標楷體" w:hint="eastAsia"/>
              </w:rPr>
              <w:t>：</w:t>
            </w:r>
            <w:r w:rsidR="006568C0" w:rsidRPr="001C26AE">
              <w:rPr>
                <w:rFonts w:eastAsia="標楷體" w:hAnsi="標楷體" w:hint="eastAsia"/>
                <w:u w:val="single"/>
              </w:rPr>
              <w:t>最近期財務報告營業收入及應收帳款週轉率分別較去年同期衰退百分之五十及百分之三十以上，或營業收入及存貨週轉率分別較去年同期衰退百分之五十及百分之三十以上者。</w:t>
            </w:r>
          </w:p>
          <w:p w:rsidR="001C26AE" w:rsidRPr="001C26AE" w:rsidRDefault="001C26AE" w:rsidP="001C26AE">
            <w:pPr>
              <w:ind w:leftChars="296" w:left="1699" w:hangingChars="412" w:hanging="989"/>
              <w:jc w:val="both"/>
              <w:rPr>
                <w:rFonts w:eastAsia="標楷體" w:hAnsi="標楷體"/>
                <w:u w:val="single"/>
              </w:rPr>
            </w:pPr>
            <w:r w:rsidRPr="001C26AE">
              <w:rPr>
                <w:rFonts w:eastAsia="標楷體" w:hAnsi="標楷體" w:hint="eastAsia"/>
                <w:u w:val="single"/>
              </w:rPr>
              <w:t>指標</w:t>
            </w:r>
            <w:r w:rsidRPr="001C26AE">
              <w:rPr>
                <w:rFonts w:eastAsia="標楷體" w:hAnsi="標楷體" w:hint="eastAsia"/>
                <w:u w:val="single"/>
              </w:rPr>
              <w:t xml:space="preserve"> 6</w:t>
            </w:r>
            <w:r w:rsidRPr="001C26AE">
              <w:rPr>
                <w:rFonts w:eastAsia="標楷體" w:hAnsi="標楷體" w:hint="eastAsia"/>
                <w:u w:val="single"/>
              </w:rPr>
              <w:t>：</w:t>
            </w:r>
            <w:r w:rsidR="006568C0" w:rsidRPr="001C26AE">
              <w:rPr>
                <w:rFonts w:eastAsia="標楷體" w:hAnsi="標楷體" w:hint="eastAsia"/>
                <w:u w:val="single"/>
              </w:rPr>
              <w:t>未依法指定訴訟及非訟代理人者。</w:t>
            </w:r>
          </w:p>
          <w:p w:rsidR="001C26AE" w:rsidRPr="000E1D9F" w:rsidRDefault="001C26AE" w:rsidP="001C26AE">
            <w:pPr>
              <w:ind w:leftChars="296" w:left="1699" w:hangingChars="412" w:hanging="989"/>
              <w:jc w:val="both"/>
              <w:rPr>
                <w:rFonts w:eastAsia="標楷體" w:hAnsi="標楷體"/>
              </w:rPr>
            </w:pPr>
            <w:r w:rsidRPr="001C26AE">
              <w:rPr>
                <w:rFonts w:eastAsia="標楷體" w:hAnsi="標楷體" w:hint="eastAsia"/>
                <w:u w:val="single"/>
              </w:rPr>
              <w:t>指標</w:t>
            </w:r>
            <w:r w:rsidRPr="001C26AE">
              <w:rPr>
                <w:rFonts w:eastAsia="標楷體" w:hAnsi="標楷體" w:hint="eastAsia"/>
                <w:u w:val="single"/>
              </w:rPr>
              <w:t xml:space="preserve"> 7</w:t>
            </w:r>
            <w:r w:rsidRPr="00DB4F8D">
              <w:rPr>
                <w:rFonts w:eastAsia="標楷體" w:hAnsi="標楷體" w:hint="eastAsia"/>
              </w:rPr>
              <w:t>：其他經本公司綜合考量應公布者。</w:t>
            </w:r>
          </w:p>
          <w:p w:rsidR="00C60FCE" w:rsidRPr="001C26AE" w:rsidRDefault="00C60FCE" w:rsidP="00CE6D73">
            <w:pPr>
              <w:ind w:leftChars="495" w:left="1188" w:firstLineChars="210" w:firstLine="504"/>
              <w:jc w:val="both"/>
              <w:rPr>
                <w:rFonts w:eastAsia="標楷體" w:hAnsi="標楷體"/>
              </w:rPr>
            </w:pPr>
          </w:p>
          <w:p w:rsidR="004549E0" w:rsidRPr="004549E0" w:rsidRDefault="004549E0" w:rsidP="00CE6D73">
            <w:pPr>
              <w:jc w:val="both"/>
              <w:rPr>
                <w:rFonts w:eastAsia="標楷體" w:hAnsi="標楷體"/>
              </w:rPr>
            </w:pPr>
            <w:r w:rsidRPr="004549E0">
              <w:rPr>
                <w:rFonts w:eastAsia="標楷體" w:hAnsi="標楷體" w:hint="eastAsia"/>
              </w:rPr>
              <w:t>（以下略）</w:t>
            </w:r>
          </w:p>
          <w:p w:rsidR="004549E0" w:rsidRPr="004549E0" w:rsidRDefault="004549E0" w:rsidP="00CE6D73">
            <w:pPr>
              <w:pStyle w:val="HTML"/>
              <w:jc w:val="both"/>
              <w:rPr>
                <w:rFonts w:ascii="標楷體" w:eastAsia="標楷體" w:hAnsi="標楷體"/>
                <w:color w:val="auto"/>
              </w:rPr>
            </w:pPr>
          </w:p>
        </w:tc>
        <w:tc>
          <w:tcPr>
            <w:tcW w:w="3827" w:type="dxa"/>
          </w:tcPr>
          <w:p w:rsidR="004549E0" w:rsidRDefault="004549E0" w:rsidP="00CE6D73">
            <w:pPr>
              <w:jc w:val="both"/>
              <w:rPr>
                <w:rFonts w:eastAsia="標楷體" w:hAnsi="標楷體"/>
              </w:rPr>
            </w:pPr>
            <w:r w:rsidRPr="004549E0">
              <w:rPr>
                <w:rFonts w:eastAsia="標楷體" w:hAnsi="標楷體" w:hint="eastAsia"/>
              </w:rPr>
              <w:t>三、資訊揭露項目：</w:t>
            </w:r>
          </w:p>
          <w:p w:rsidR="00DB4F8D" w:rsidRPr="004549E0" w:rsidRDefault="00DB4F8D" w:rsidP="00DB4F8D">
            <w:pPr>
              <w:jc w:val="both"/>
              <w:rPr>
                <w:rFonts w:eastAsia="標楷體" w:hAnsi="標楷體"/>
              </w:rPr>
            </w:pPr>
            <w:r w:rsidRPr="004549E0">
              <w:rPr>
                <w:rFonts w:eastAsia="標楷體" w:hAnsi="標楷體" w:hint="eastAsia"/>
              </w:rPr>
              <w:t>（</w:t>
            </w:r>
            <w:r>
              <w:rPr>
                <w:rFonts w:eastAsia="標楷體" w:hAnsi="標楷體" w:hint="eastAsia"/>
              </w:rPr>
              <w:t>前</w:t>
            </w:r>
            <w:r w:rsidRPr="004549E0">
              <w:rPr>
                <w:rFonts w:eastAsia="標楷體" w:hAnsi="標楷體" w:hint="eastAsia"/>
              </w:rPr>
              <w:t>略）</w:t>
            </w:r>
          </w:p>
          <w:p w:rsidR="00DB4F8D" w:rsidRDefault="00DB4F8D" w:rsidP="00DB4F8D">
            <w:pPr>
              <w:ind w:left="989" w:hangingChars="412" w:hanging="989"/>
              <w:jc w:val="both"/>
              <w:rPr>
                <w:rFonts w:eastAsia="標楷體" w:hAnsi="標楷體"/>
              </w:rPr>
            </w:pPr>
            <w:r w:rsidRPr="004549E0">
              <w:rPr>
                <w:rFonts w:eastAsia="標楷體" w:hAnsi="標楷體" w:hint="eastAsia"/>
              </w:rPr>
              <w:t>（</w:t>
            </w:r>
            <w:r>
              <w:rPr>
                <w:rFonts w:eastAsia="標楷體" w:hAnsi="標楷體" w:hint="eastAsia"/>
              </w:rPr>
              <w:t>三</w:t>
            </w:r>
            <w:r w:rsidRPr="004549E0">
              <w:rPr>
                <w:rFonts w:eastAsia="標楷體" w:hAnsi="標楷體" w:hint="eastAsia"/>
              </w:rPr>
              <w:t>）</w:t>
            </w:r>
            <w:r>
              <w:rPr>
                <w:rFonts w:eastAsia="標楷體" w:hAnsi="標楷體" w:hint="eastAsia"/>
              </w:rPr>
              <w:t>警示指標</w:t>
            </w:r>
            <w:r w:rsidRPr="004549E0">
              <w:rPr>
                <w:rFonts w:eastAsia="標楷體" w:hAnsi="標楷體" w:hint="eastAsia"/>
              </w:rPr>
              <w:t>：</w:t>
            </w:r>
          </w:p>
          <w:p w:rsidR="00316612" w:rsidRPr="004549E0" w:rsidRDefault="00316612" w:rsidP="00316612">
            <w:pPr>
              <w:ind w:left="989" w:hangingChars="412" w:hanging="989"/>
              <w:jc w:val="both"/>
              <w:rPr>
                <w:rFonts w:eastAsia="標楷體" w:hAnsi="標楷體"/>
              </w:rPr>
            </w:pPr>
            <w:r w:rsidRPr="004549E0">
              <w:rPr>
                <w:rFonts w:eastAsia="標楷體" w:hAnsi="標楷體" w:hint="eastAsia"/>
              </w:rPr>
              <w:t>（</w:t>
            </w:r>
            <w:r>
              <w:rPr>
                <w:rFonts w:eastAsia="標楷體" w:hAnsi="標楷體" w:hint="eastAsia"/>
              </w:rPr>
              <w:t>指標</w:t>
            </w:r>
            <w:r>
              <w:rPr>
                <w:rFonts w:eastAsia="標楷體" w:hAnsi="標楷體" w:hint="eastAsia"/>
              </w:rPr>
              <w:t>1</w:t>
            </w:r>
            <w:r>
              <w:rPr>
                <w:rFonts w:eastAsia="標楷體" w:hAnsi="標楷體" w:hint="eastAsia"/>
              </w:rPr>
              <w:t>至指標</w:t>
            </w:r>
            <w:r>
              <w:rPr>
                <w:rFonts w:eastAsia="標楷體" w:hAnsi="標楷體" w:hint="eastAsia"/>
              </w:rPr>
              <w:t>4</w:t>
            </w:r>
            <w:r w:rsidRPr="004549E0">
              <w:rPr>
                <w:rFonts w:eastAsia="標楷體" w:hAnsi="標楷體" w:hint="eastAsia"/>
              </w:rPr>
              <w:t>略）</w:t>
            </w:r>
          </w:p>
          <w:p w:rsidR="000E1D9F" w:rsidRPr="000E1D9F" w:rsidRDefault="000E1D9F" w:rsidP="00DB4F8D">
            <w:pPr>
              <w:ind w:leftChars="296" w:left="1699" w:hangingChars="412" w:hanging="989"/>
              <w:jc w:val="both"/>
              <w:rPr>
                <w:rFonts w:eastAsia="標楷體" w:hAnsi="標楷體"/>
              </w:rPr>
            </w:pPr>
            <w:r w:rsidRPr="00DB4F8D">
              <w:rPr>
                <w:rFonts w:eastAsia="標楷體" w:hAnsi="標楷體" w:hint="eastAsia"/>
              </w:rPr>
              <w:t>指標</w:t>
            </w:r>
            <w:r w:rsidRPr="00DB4F8D">
              <w:rPr>
                <w:rFonts w:eastAsia="標楷體" w:hAnsi="標楷體" w:hint="eastAsia"/>
              </w:rPr>
              <w:t xml:space="preserve"> </w:t>
            </w:r>
            <w:r w:rsidR="001C26AE">
              <w:rPr>
                <w:rFonts w:eastAsia="標楷體" w:hAnsi="標楷體"/>
              </w:rPr>
              <w:t>5</w:t>
            </w:r>
            <w:r w:rsidRPr="00DB4F8D">
              <w:rPr>
                <w:rFonts w:eastAsia="標楷體" w:hAnsi="標楷體" w:hint="eastAsia"/>
              </w:rPr>
              <w:t>：其他經本公司綜合考量應公布者。</w:t>
            </w:r>
          </w:p>
          <w:p w:rsidR="00DB4F8D" w:rsidRPr="00DB4F8D" w:rsidRDefault="00DB4F8D" w:rsidP="00DB4F8D">
            <w:pPr>
              <w:ind w:leftChars="200" w:left="1130" w:hangingChars="271" w:hanging="650"/>
              <w:jc w:val="both"/>
              <w:rPr>
                <w:rFonts w:eastAsia="標楷體" w:hAnsi="標楷體"/>
              </w:rPr>
            </w:pPr>
          </w:p>
          <w:p w:rsidR="004549E0" w:rsidRPr="004549E0" w:rsidRDefault="004549E0" w:rsidP="00CE6D73">
            <w:pPr>
              <w:jc w:val="both"/>
              <w:rPr>
                <w:rFonts w:eastAsia="標楷體" w:hAnsi="標楷體"/>
              </w:rPr>
            </w:pPr>
            <w:r w:rsidRPr="004549E0">
              <w:rPr>
                <w:rFonts w:eastAsia="標楷體" w:hAnsi="標楷體" w:hint="eastAsia"/>
              </w:rPr>
              <w:t>（以下略）</w:t>
            </w:r>
          </w:p>
          <w:p w:rsidR="004549E0" w:rsidRPr="004549E0" w:rsidRDefault="004549E0" w:rsidP="00CE6D73">
            <w:pPr>
              <w:pStyle w:val="HTML"/>
              <w:jc w:val="both"/>
              <w:rPr>
                <w:rFonts w:ascii="標楷體" w:eastAsia="標楷體" w:hAnsi="標楷體"/>
                <w:color w:val="auto"/>
              </w:rPr>
            </w:pPr>
          </w:p>
        </w:tc>
        <w:tc>
          <w:tcPr>
            <w:tcW w:w="2233" w:type="dxa"/>
          </w:tcPr>
          <w:p w:rsidR="004549E0" w:rsidRPr="004549E0" w:rsidRDefault="00620011" w:rsidP="00BF0C55">
            <w:pPr>
              <w:jc w:val="both"/>
              <w:rPr>
                <w:rFonts w:ascii="標楷體" w:eastAsia="標楷體" w:hAnsi="標楷體"/>
              </w:rPr>
            </w:pPr>
            <w:r>
              <w:rPr>
                <w:rFonts w:eastAsia="標楷體" w:hAnsi="標楷體" w:hint="eastAsia"/>
              </w:rPr>
              <w:t>考量近年臺灣存託憑證發行公司受處置下市時，部分案件之訴訟及非訟代理人已辭任，受處置原因亦多與財報相關，</w:t>
            </w:r>
            <w:r w:rsidRPr="001E0BAA">
              <w:rPr>
                <w:rFonts w:ascii="標楷體" w:eastAsia="標楷體" w:hAnsi="標楷體" w:hint="eastAsia"/>
                <w:color w:val="000000"/>
              </w:rPr>
              <w:t>爰</w:t>
            </w:r>
            <w:r w:rsidR="00316612">
              <w:rPr>
                <w:rFonts w:eastAsia="標楷體" w:hAnsi="標楷體" w:hint="eastAsia"/>
              </w:rPr>
              <w:t>增</w:t>
            </w:r>
            <w:r>
              <w:rPr>
                <w:rFonts w:eastAsia="標楷體" w:hAnsi="標楷體" w:hint="eastAsia"/>
              </w:rPr>
              <w:t>訂</w:t>
            </w:r>
            <w:r w:rsidR="00316612">
              <w:rPr>
                <w:rFonts w:eastAsia="標楷體" w:hAnsi="標楷體" w:hint="eastAsia"/>
              </w:rPr>
              <w:t>指標</w:t>
            </w:r>
            <w:r w:rsidR="00316612">
              <w:rPr>
                <w:rFonts w:eastAsia="標楷體" w:hAnsi="標楷體" w:hint="eastAsia"/>
              </w:rPr>
              <w:t>5</w:t>
            </w:r>
            <w:r>
              <w:rPr>
                <w:rFonts w:eastAsia="標楷體" w:hAnsi="標楷體" w:hint="eastAsia"/>
              </w:rPr>
              <w:t>與</w:t>
            </w:r>
            <w:r w:rsidR="00316612">
              <w:rPr>
                <w:rFonts w:eastAsia="標楷體" w:hAnsi="標楷體" w:hint="eastAsia"/>
              </w:rPr>
              <w:t>指標</w:t>
            </w:r>
            <w:r w:rsidR="00316612">
              <w:rPr>
                <w:rFonts w:eastAsia="標楷體" w:hAnsi="標楷體" w:hint="eastAsia"/>
              </w:rPr>
              <w:t>6</w:t>
            </w:r>
            <w:r w:rsidR="006568C0">
              <w:rPr>
                <w:rFonts w:eastAsia="標楷體" w:hAnsi="標楷體" w:hint="eastAsia"/>
              </w:rPr>
              <w:t>，並</w:t>
            </w:r>
            <w:r w:rsidR="00BF0C55">
              <w:rPr>
                <w:rFonts w:eastAsia="標楷體" w:hAnsi="標楷體" w:hint="eastAsia"/>
              </w:rPr>
              <w:t>配合</w:t>
            </w:r>
            <w:bookmarkStart w:id="0" w:name="_GoBack"/>
            <w:bookmarkEnd w:id="0"/>
            <w:r w:rsidR="006568C0">
              <w:rPr>
                <w:rFonts w:eastAsia="標楷體" w:hAnsi="標楷體" w:hint="eastAsia"/>
              </w:rPr>
              <w:t>調整指標項次</w:t>
            </w:r>
            <w:r w:rsidR="004549E0" w:rsidRPr="004549E0">
              <w:rPr>
                <w:rFonts w:eastAsia="標楷體" w:hAnsi="標楷體" w:hint="eastAsia"/>
              </w:rPr>
              <w:t>。</w:t>
            </w:r>
          </w:p>
        </w:tc>
      </w:tr>
      <w:tr w:rsidR="006568C0" w:rsidRPr="002618B1" w:rsidTr="006568C0">
        <w:trPr>
          <w:trHeight w:val="324"/>
        </w:trPr>
        <w:tc>
          <w:tcPr>
            <w:tcW w:w="3794" w:type="dxa"/>
            <w:tcBorders>
              <w:bottom w:val="single" w:sz="4" w:space="0" w:color="000000"/>
            </w:tcBorders>
          </w:tcPr>
          <w:p w:rsidR="006568C0" w:rsidRDefault="006568C0" w:rsidP="00CE6D73">
            <w:pPr>
              <w:pStyle w:val="HTML"/>
              <w:jc w:val="both"/>
              <w:rPr>
                <w:rFonts w:eastAsia="標楷體" w:hAnsi="標楷體"/>
              </w:rPr>
            </w:pPr>
            <w:r>
              <w:rPr>
                <w:rFonts w:eastAsia="標楷體" w:hAnsi="標楷體" w:hint="eastAsia"/>
              </w:rPr>
              <w:t>四、資訊揭露方式</w:t>
            </w:r>
          </w:p>
          <w:p w:rsidR="00853892" w:rsidRPr="004549E0" w:rsidRDefault="00853892" w:rsidP="00853892">
            <w:pPr>
              <w:jc w:val="both"/>
              <w:rPr>
                <w:rFonts w:eastAsia="標楷體" w:hAnsi="標楷體"/>
              </w:rPr>
            </w:pPr>
            <w:r w:rsidRPr="004549E0">
              <w:rPr>
                <w:rFonts w:eastAsia="標楷體" w:hAnsi="標楷體" w:hint="eastAsia"/>
              </w:rPr>
              <w:t>（</w:t>
            </w:r>
            <w:r>
              <w:rPr>
                <w:rFonts w:eastAsia="標楷體" w:hAnsi="標楷體" w:hint="eastAsia"/>
              </w:rPr>
              <w:t>前</w:t>
            </w:r>
            <w:r w:rsidRPr="004549E0">
              <w:rPr>
                <w:rFonts w:eastAsia="標楷體" w:hAnsi="標楷體" w:hint="eastAsia"/>
              </w:rPr>
              <w:t>略）</w:t>
            </w:r>
          </w:p>
          <w:p w:rsidR="00853892" w:rsidRDefault="00853892" w:rsidP="00853892">
            <w:pPr>
              <w:ind w:leftChars="14" w:left="742" w:hangingChars="295" w:hanging="708"/>
              <w:jc w:val="both"/>
              <w:rPr>
                <w:rFonts w:eastAsia="標楷體" w:hAnsi="標楷體"/>
              </w:rPr>
            </w:pPr>
            <w:r>
              <w:rPr>
                <w:rFonts w:eastAsia="標楷體" w:hAnsi="標楷體" w:hint="eastAsia"/>
              </w:rPr>
              <w:t>（二）</w:t>
            </w:r>
            <w:r w:rsidRPr="00853892">
              <w:rPr>
                <w:rFonts w:eastAsia="標楷體" w:hAnsi="標楷體" w:hint="eastAsia"/>
              </w:rPr>
              <w:t>以紅色標記顯示之指標資訊，若符合下列情事者，將不再以紅色標記顯示：</w:t>
            </w:r>
          </w:p>
          <w:p w:rsidR="00853892" w:rsidRDefault="00853892" w:rsidP="00853892">
            <w:pPr>
              <w:ind w:leftChars="14" w:left="742" w:hangingChars="295" w:hanging="708"/>
              <w:jc w:val="both"/>
              <w:rPr>
                <w:rFonts w:eastAsia="標楷體" w:hAnsi="標楷體"/>
              </w:rPr>
            </w:pPr>
            <w:r w:rsidRPr="004549E0">
              <w:rPr>
                <w:rFonts w:eastAsia="標楷體" w:hAnsi="標楷體" w:hint="eastAsia"/>
              </w:rPr>
              <w:t>（</w:t>
            </w:r>
            <w:r>
              <w:rPr>
                <w:rFonts w:eastAsia="標楷體" w:hAnsi="標楷體" w:hint="eastAsia"/>
              </w:rPr>
              <w:t>指標</w:t>
            </w:r>
            <w:r>
              <w:rPr>
                <w:rFonts w:eastAsia="標楷體" w:hAnsi="標楷體" w:hint="eastAsia"/>
              </w:rPr>
              <w:t>1</w:t>
            </w:r>
            <w:r w:rsidRPr="004549E0">
              <w:rPr>
                <w:rFonts w:eastAsia="標楷體" w:hAnsi="標楷體" w:hint="eastAsia"/>
              </w:rPr>
              <w:t>略）</w:t>
            </w:r>
          </w:p>
          <w:p w:rsidR="00853892" w:rsidRDefault="00853892" w:rsidP="00853892">
            <w:pPr>
              <w:ind w:leftChars="310" w:left="1877" w:hangingChars="472" w:hanging="1133"/>
              <w:jc w:val="both"/>
              <w:rPr>
                <w:rFonts w:eastAsia="標楷體" w:hAnsi="標楷體"/>
              </w:rPr>
            </w:pPr>
            <w:r w:rsidRPr="00853892">
              <w:rPr>
                <w:rFonts w:eastAsia="標楷體" w:hAnsi="標楷體" w:hint="eastAsia"/>
              </w:rPr>
              <w:t>指標</w:t>
            </w:r>
            <w:r w:rsidRPr="00853892">
              <w:rPr>
                <w:rFonts w:eastAsia="標楷體" w:hAnsi="標楷體" w:hint="eastAsia"/>
              </w:rPr>
              <w:t>2-</w:t>
            </w:r>
            <w:r>
              <w:rPr>
                <w:rFonts w:eastAsia="標楷體" w:hAnsi="標楷體" w:hint="eastAsia"/>
                <w:u w:val="single"/>
              </w:rPr>
              <w:t>5</w:t>
            </w:r>
            <w:r w:rsidRPr="00DB4F8D">
              <w:rPr>
                <w:rFonts w:eastAsia="標楷體" w:hAnsi="標楷體" w:hint="eastAsia"/>
              </w:rPr>
              <w:t>：</w:t>
            </w:r>
            <w:r w:rsidRPr="00853892">
              <w:rPr>
                <w:rFonts w:eastAsia="標楷體" w:hAnsi="標楷體" w:hint="eastAsia"/>
              </w:rPr>
              <w:t>經本公司檢視其最近期財務報告</w:t>
            </w:r>
            <w:r>
              <w:rPr>
                <w:rFonts w:eastAsia="標楷體" w:hAnsi="標楷體" w:hint="eastAsia"/>
              </w:rPr>
              <w:t>，已無該指標所定</w:t>
            </w:r>
            <w:r w:rsidRPr="00853892">
              <w:rPr>
                <w:rFonts w:eastAsia="標楷體" w:hAnsi="標楷體" w:hint="eastAsia"/>
              </w:rPr>
              <w:t>情事者。</w:t>
            </w:r>
          </w:p>
          <w:p w:rsidR="00853892" w:rsidRPr="0019232D" w:rsidRDefault="00853892" w:rsidP="0019232D">
            <w:pPr>
              <w:ind w:leftChars="310" w:left="1877" w:hangingChars="472" w:hanging="1133"/>
              <w:jc w:val="both"/>
              <w:rPr>
                <w:rFonts w:eastAsia="標楷體" w:hAnsi="標楷體"/>
                <w:u w:val="single"/>
              </w:rPr>
            </w:pPr>
            <w:r w:rsidRPr="0019232D">
              <w:rPr>
                <w:rFonts w:eastAsia="標楷體" w:hAnsi="標楷體" w:hint="eastAsia"/>
                <w:u w:val="single"/>
              </w:rPr>
              <w:t>指標</w:t>
            </w:r>
            <w:r w:rsidRPr="0019232D">
              <w:rPr>
                <w:rFonts w:eastAsia="標楷體" w:hAnsi="標楷體" w:hint="eastAsia"/>
                <w:u w:val="single"/>
              </w:rPr>
              <w:t xml:space="preserve"> 6</w:t>
            </w:r>
            <w:r w:rsidR="0019232D" w:rsidRPr="0019232D">
              <w:rPr>
                <w:rFonts w:eastAsia="標楷體" w:hAnsi="標楷體" w:hint="eastAsia"/>
                <w:u w:val="single"/>
              </w:rPr>
              <w:t xml:space="preserve"> </w:t>
            </w:r>
            <w:r w:rsidRPr="0019232D">
              <w:rPr>
                <w:rFonts w:eastAsia="標楷體" w:hAnsi="標楷體" w:hint="eastAsia"/>
                <w:u w:val="single"/>
              </w:rPr>
              <w:t>：已依法指定訴訟及非</w:t>
            </w:r>
            <w:proofErr w:type="gramStart"/>
            <w:r w:rsidRPr="0019232D">
              <w:rPr>
                <w:rFonts w:eastAsia="標楷體" w:hAnsi="標楷體" w:hint="eastAsia"/>
                <w:u w:val="single"/>
              </w:rPr>
              <w:t>訟</w:t>
            </w:r>
            <w:proofErr w:type="gramEnd"/>
            <w:r w:rsidRPr="0019232D">
              <w:rPr>
                <w:rFonts w:eastAsia="標楷體" w:hAnsi="標楷體" w:hint="eastAsia"/>
                <w:u w:val="single"/>
              </w:rPr>
              <w:t>代理人</w:t>
            </w:r>
            <w:r w:rsidRPr="0019232D">
              <w:rPr>
                <w:rFonts w:eastAsia="標楷體" w:hAnsi="標楷體" w:hint="eastAsia"/>
                <w:u w:val="single"/>
              </w:rPr>
              <w:lastRenderedPageBreak/>
              <w:t>者。</w:t>
            </w:r>
          </w:p>
          <w:p w:rsidR="00853892" w:rsidRDefault="00853892" w:rsidP="00853892">
            <w:pPr>
              <w:ind w:leftChars="310" w:left="1877" w:hangingChars="472" w:hanging="1133"/>
              <w:jc w:val="both"/>
              <w:rPr>
                <w:rFonts w:eastAsia="標楷體" w:hAnsi="標楷體"/>
              </w:rPr>
            </w:pPr>
            <w:r w:rsidRPr="00515070">
              <w:rPr>
                <w:rFonts w:eastAsia="標楷體" w:hAnsi="標楷體" w:hint="eastAsia"/>
                <w:u w:val="single"/>
              </w:rPr>
              <w:t>指標</w:t>
            </w:r>
            <w:r w:rsidRPr="00515070">
              <w:rPr>
                <w:rFonts w:eastAsia="標楷體" w:hAnsi="標楷體" w:hint="eastAsia"/>
                <w:u w:val="single"/>
              </w:rPr>
              <w:t xml:space="preserve"> </w:t>
            </w:r>
            <w:r w:rsidRPr="0019232D">
              <w:rPr>
                <w:rFonts w:eastAsia="標楷體" w:hAnsi="標楷體" w:hint="eastAsia"/>
                <w:u w:val="single"/>
              </w:rPr>
              <w:t>7</w:t>
            </w:r>
            <w:r w:rsidR="0019232D">
              <w:rPr>
                <w:rFonts w:eastAsia="標楷體" w:hAnsi="標楷體" w:hint="eastAsia"/>
              </w:rPr>
              <w:t xml:space="preserve"> </w:t>
            </w:r>
            <w:r w:rsidRPr="00DB4F8D">
              <w:rPr>
                <w:rFonts w:eastAsia="標楷體" w:hAnsi="標楷體" w:hint="eastAsia"/>
              </w:rPr>
              <w:t>：</w:t>
            </w:r>
            <w:r w:rsidRPr="00853892">
              <w:rPr>
                <w:rFonts w:eastAsia="標楷體" w:hAnsi="標楷體" w:hint="eastAsia"/>
              </w:rPr>
              <w:t>經本公司檢視其最近期財務報告或其他相關資料，經綜合考量已無應公布之情事者。</w:t>
            </w:r>
          </w:p>
          <w:p w:rsidR="0019232D" w:rsidRDefault="0019232D" w:rsidP="00853892">
            <w:pPr>
              <w:ind w:leftChars="310" w:left="1877" w:hangingChars="472" w:hanging="1133"/>
              <w:jc w:val="both"/>
              <w:rPr>
                <w:rFonts w:eastAsia="標楷體" w:hAnsi="標楷體"/>
              </w:rPr>
            </w:pPr>
          </w:p>
          <w:p w:rsidR="0019232D" w:rsidRPr="004549E0" w:rsidRDefault="0019232D" w:rsidP="0019232D">
            <w:pPr>
              <w:jc w:val="both"/>
              <w:rPr>
                <w:rFonts w:eastAsia="標楷體" w:hAnsi="標楷體"/>
              </w:rPr>
            </w:pPr>
            <w:r w:rsidRPr="004549E0">
              <w:rPr>
                <w:rFonts w:eastAsia="標楷體" w:hAnsi="標楷體" w:hint="eastAsia"/>
              </w:rPr>
              <w:t>（以下略）</w:t>
            </w:r>
          </w:p>
          <w:p w:rsidR="0019232D" w:rsidRPr="00853892" w:rsidRDefault="0019232D" w:rsidP="00853892">
            <w:pPr>
              <w:ind w:leftChars="310" w:left="1877" w:hangingChars="472" w:hanging="1133"/>
              <w:jc w:val="both"/>
              <w:rPr>
                <w:rFonts w:eastAsia="標楷體" w:hAnsi="標楷體"/>
              </w:rPr>
            </w:pPr>
          </w:p>
        </w:tc>
        <w:tc>
          <w:tcPr>
            <w:tcW w:w="3827" w:type="dxa"/>
          </w:tcPr>
          <w:p w:rsidR="00853892" w:rsidRDefault="00853892" w:rsidP="00853892">
            <w:pPr>
              <w:pStyle w:val="HTML"/>
              <w:jc w:val="both"/>
              <w:rPr>
                <w:rFonts w:eastAsia="標楷體" w:hAnsi="標楷體"/>
              </w:rPr>
            </w:pPr>
            <w:r>
              <w:rPr>
                <w:rFonts w:eastAsia="標楷體" w:hAnsi="標楷體" w:hint="eastAsia"/>
              </w:rPr>
              <w:lastRenderedPageBreak/>
              <w:t>四、資訊揭露方式</w:t>
            </w:r>
          </w:p>
          <w:p w:rsidR="00853892" w:rsidRPr="004549E0" w:rsidRDefault="00853892" w:rsidP="00853892">
            <w:pPr>
              <w:jc w:val="both"/>
              <w:rPr>
                <w:rFonts w:eastAsia="標楷體" w:hAnsi="標楷體"/>
              </w:rPr>
            </w:pPr>
            <w:r w:rsidRPr="004549E0">
              <w:rPr>
                <w:rFonts w:eastAsia="標楷體" w:hAnsi="標楷體" w:hint="eastAsia"/>
              </w:rPr>
              <w:t>（</w:t>
            </w:r>
            <w:r>
              <w:rPr>
                <w:rFonts w:eastAsia="標楷體" w:hAnsi="標楷體" w:hint="eastAsia"/>
              </w:rPr>
              <w:t>前</w:t>
            </w:r>
            <w:r w:rsidRPr="004549E0">
              <w:rPr>
                <w:rFonts w:eastAsia="標楷體" w:hAnsi="標楷體" w:hint="eastAsia"/>
              </w:rPr>
              <w:t>略）</w:t>
            </w:r>
          </w:p>
          <w:p w:rsidR="006568C0" w:rsidRDefault="00853892" w:rsidP="00853892">
            <w:pPr>
              <w:pStyle w:val="HTML"/>
              <w:ind w:left="802" w:hangingChars="334" w:hanging="802"/>
              <w:jc w:val="both"/>
              <w:rPr>
                <w:rFonts w:eastAsia="標楷體" w:hAnsi="標楷體"/>
              </w:rPr>
            </w:pPr>
            <w:r>
              <w:rPr>
                <w:rFonts w:eastAsia="標楷體" w:hAnsi="標楷體" w:hint="eastAsia"/>
              </w:rPr>
              <w:t>（二）</w:t>
            </w:r>
            <w:r w:rsidRPr="00853892">
              <w:rPr>
                <w:rFonts w:eastAsia="標楷體" w:hAnsi="標楷體" w:hint="eastAsia"/>
              </w:rPr>
              <w:t>以紅色標記顯示之指標資訊，若符合下列情事者，將不再以紅色標記顯示：</w:t>
            </w:r>
          </w:p>
          <w:p w:rsidR="00853892" w:rsidRDefault="00853892" w:rsidP="00853892">
            <w:pPr>
              <w:ind w:leftChars="14" w:left="742" w:hangingChars="295" w:hanging="708"/>
              <w:jc w:val="both"/>
              <w:rPr>
                <w:rFonts w:eastAsia="標楷體" w:hAnsi="標楷體"/>
              </w:rPr>
            </w:pPr>
            <w:r w:rsidRPr="004549E0">
              <w:rPr>
                <w:rFonts w:eastAsia="標楷體" w:hAnsi="標楷體" w:hint="eastAsia"/>
              </w:rPr>
              <w:t>（</w:t>
            </w:r>
            <w:r>
              <w:rPr>
                <w:rFonts w:eastAsia="標楷體" w:hAnsi="標楷體" w:hint="eastAsia"/>
              </w:rPr>
              <w:t>指標</w:t>
            </w:r>
            <w:r>
              <w:rPr>
                <w:rFonts w:eastAsia="標楷體" w:hAnsi="標楷體" w:hint="eastAsia"/>
              </w:rPr>
              <w:t>1</w:t>
            </w:r>
            <w:r w:rsidRPr="004549E0">
              <w:rPr>
                <w:rFonts w:eastAsia="標楷體" w:hAnsi="標楷體" w:hint="eastAsia"/>
              </w:rPr>
              <w:t>略）</w:t>
            </w:r>
          </w:p>
          <w:p w:rsidR="00853892" w:rsidRDefault="00853892" w:rsidP="00853892">
            <w:pPr>
              <w:ind w:leftChars="334" w:left="1791" w:hangingChars="412" w:hanging="989"/>
              <w:jc w:val="both"/>
              <w:rPr>
                <w:rFonts w:eastAsia="標楷體" w:hAnsi="標楷體"/>
              </w:rPr>
            </w:pPr>
            <w:r w:rsidRPr="00853892">
              <w:rPr>
                <w:rFonts w:eastAsia="標楷體" w:hAnsi="標楷體" w:hint="eastAsia"/>
              </w:rPr>
              <w:t>指標</w:t>
            </w:r>
            <w:r w:rsidRPr="00853892">
              <w:rPr>
                <w:rFonts w:eastAsia="標楷體" w:hAnsi="標楷體" w:hint="eastAsia"/>
              </w:rPr>
              <w:t>2-</w:t>
            </w:r>
            <w:r>
              <w:rPr>
                <w:rFonts w:eastAsia="標楷體" w:hAnsi="標楷體" w:hint="eastAsia"/>
              </w:rPr>
              <w:t>4</w:t>
            </w:r>
            <w:r w:rsidRPr="00DB4F8D">
              <w:rPr>
                <w:rFonts w:eastAsia="標楷體" w:hAnsi="標楷體" w:hint="eastAsia"/>
              </w:rPr>
              <w:t>：</w:t>
            </w:r>
            <w:r w:rsidRPr="00853892">
              <w:rPr>
                <w:rFonts w:eastAsia="標楷體" w:hAnsi="標楷體" w:hint="eastAsia"/>
              </w:rPr>
              <w:t>經本公司檢視其最近期財務報告</w:t>
            </w:r>
            <w:r>
              <w:rPr>
                <w:rFonts w:eastAsia="標楷體" w:hAnsi="標楷體" w:hint="eastAsia"/>
              </w:rPr>
              <w:t>，已無該指標所定</w:t>
            </w:r>
            <w:r w:rsidRPr="00853892">
              <w:rPr>
                <w:rFonts w:eastAsia="標楷體" w:hAnsi="標楷體" w:hint="eastAsia"/>
              </w:rPr>
              <w:t>情事者。</w:t>
            </w:r>
          </w:p>
          <w:p w:rsidR="0019232D" w:rsidRDefault="0019232D" w:rsidP="00853892">
            <w:pPr>
              <w:ind w:leftChars="334" w:left="1791" w:hangingChars="412" w:hanging="989"/>
              <w:jc w:val="both"/>
              <w:rPr>
                <w:rFonts w:eastAsia="標楷體" w:hAnsi="標楷體"/>
              </w:rPr>
            </w:pPr>
            <w:r w:rsidRPr="00DB4F8D">
              <w:rPr>
                <w:rFonts w:eastAsia="標楷體" w:hAnsi="標楷體" w:hint="eastAsia"/>
              </w:rPr>
              <w:t>指標</w:t>
            </w:r>
            <w:r w:rsidRPr="00DB4F8D">
              <w:rPr>
                <w:rFonts w:eastAsia="標楷體" w:hAnsi="標楷體" w:hint="eastAsia"/>
              </w:rPr>
              <w:t xml:space="preserve"> </w:t>
            </w:r>
            <w:r>
              <w:rPr>
                <w:rFonts w:eastAsia="標楷體" w:hAnsi="標楷體"/>
              </w:rPr>
              <w:t>5</w:t>
            </w:r>
            <w:r w:rsidRPr="00DB4F8D">
              <w:rPr>
                <w:rFonts w:eastAsia="標楷體" w:hAnsi="標楷體" w:hint="eastAsia"/>
              </w:rPr>
              <w:t>：</w:t>
            </w:r>
            <w:r w:rsidRPr="00853892">
              <w:rPr>
                <w:rFonts w:eastAsia="標楷體" w:hAnsi="標楷體" w:hint="eastAsia"/>
              </w:rPr>
              <w:t>經本公司檢視其最近期財務報告或</w:t>
            </w:r>
            <w:r w:rsidRPr="00853892">
              <w:rPr>
                <w:rFonts w:eastAsia="標楷體" w:hAnsi="標楷體" w:hint="eastAsia"/>
              </w:rPr>
              <w:lastRenderedPageBreak/>
              <w:t>其他相關資料，經綜合考量已無應公布之情事者。</w:t>
            </w:r>
          </w:p>
          <w:p w:rsidR="0019232D" w:rsidRDefault="0019232D" w:rsidP="00853892">
            <w:pPr>
              <w:ind w:leftChars="334" w:left="1791" w:hangingChars="412" w:hanging="989"/>
              <w:jc w:val="both"/>
              <w:rPr>
                <w:rFonts w:eastAsia="標楷體" w:hAnsi="標楷體"/>
              </w:rPr>
            </w:pPr>
          </w:p>
          <w:p w:rsidR="0019232D" w:rsidRPr="004549E0" w:rsidRDefault="0019232D" w:rsidP="0019232D">
            <w:pPr>
              <w:jc w:val="both"/>
              <w:rPr>
                <w:rFonts w:eastAsia="標楷體" w:hAnsi="標楷體"/>
              </w:rPr>
            </w:pPr>
            <w:r w:rsidRPr="004549E0">
              <w:rPr>
                <w:rFonts w:eastAsia="標楷體" w:hAnsi="標楷體" w:hint="eastAsia"/>
              </w:rPr>
              <w:t>（以下略）</w:t>
            </w:r>
          </w:p>
          <w:p w:rsidR="0019232D" w:rsidRPr="00853892" w:rsidRDefault="0019232D" w:rsidP="00853892">
            <w:pPr>
              <w:ind w:leftChars="334" w:left="1791" w:hangingChars="412" w:hanging="989"/>
              <w:jc w:val="both"/>
              <w:rPr>
                <w:rFonts w:eastAsia="標楷體" w:hAnsi="標楷體"/>
              </w:rPr>
            </w:pPr>
          </w:p>
        </w:tc>
        <w:tc>
          <w:tcPr>
            <w:tcW w:w="2233" w:type="dxa"/>
          </w:tcPr>
          <w:p w:rsidR="006568C0" w:rsidRDefault="00853892" w:rsidP="006568C0">
            <w:pPr>
              <w:jc w:val="both"/>
              <w:rPr>
                <w:rFonts w:eastAsia="標楷體" w:hAnsi="標楷體"/>
              </w:rPr>
            </w:pPr>
            <w:r>
              <w:rPr>
                <w:rFonts w:eastAsia="標楷體" w:hAnsi="標楷體" w:hint="eastAsia"/>
              </w:rPr>
              <w:lastRenderedPageBreak/>
              <w:t>配合第三條修正。</w:t>
            </w:r>
          </w:p>
        </w:tc>
      </w:tr>
    </w:tbl>
    <w:p w:rsidR="003A119E" w:rsidRPr="00FF451E" w:rsidRDefault="003A119E" w:rsidP="004549E0">
      <w:pPr>
        <w:spacing w:beforeLines="50" w:before="180" w:afterLines="50" w:after="180" w:line="400" w:lineRule="exact"/>
        <w:rPr>
          <w:rFonts w:eastAsia="標楷體"/>
        </w:rPr>
      </w:pPr>
    </w:p>
    <w:sectPr w:rsidR="003A119E" w:rsidRPr="00FF451E" w:rsidSect="00D81832">
      <w:footerReference w:type="even" r:id="rId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10" w:rsidRDefault="00C91710">
      <w:r>
        <w:separator/>
      </w:r>
    </w:p>
  </w:endnote>
  <w:endnote w:type="continuationSeparator" w:id="0">
    <w:p w:rsidR="00C91710" w:rsidRDefault="00C9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5C" w:rsidRDefault="00F0695C" w:rsidP="007E302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695C" w:rsidRDefault="00F0695C" w:rsidP="005D01F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5C" w:rsidRDefault="00F0695C">
    <w:pPr>
      <w:pStyle w:val="a4"/>
      <w:jc w:val="center"/>
    </w:pPr>
    <w:r>
      <w:fldChar w:fldCharType="begin"/>
    </w:r>
    <w:r>
      <w:instrText xml:space="preserve"> PAGE   \* MERGEFORMAT </w:instrText>
    </w:r>
    <w:r>
      <w:fldChar w:fldCharType="separate"/>
    </w:r>
    <w:r w:rsidR="00BF0C55" w:rsidRPr="00BF0C55">
      <w:rPr>
        <w:noProof/>
        <w:lang w:val="zh-TW"/>
      </w:rPr>
      <w:t>2</w:t>
    </w:r>
    <w:r>
      <w:fldChar w:fldCharType="end"/>
    </w:r>
  </w:p>
  <w:p w:rsidR="00F0695C" w:rsidRDefault="00F0695C" w:rsidP="005D01F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10" w:rsidRDefault="00C91710">
      <w:r>
        <w:separator/>
      </w:r>
    </w:p>
  </w:footnote>
  <w:footnote w:type="continuationSeparator" w:id="0">
    <w:p w:rsidR="00C91710" w:rsidRDefault="00C9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6F1"/>
    <w:multiLevelType w:val="hybridMultilevel"/>
    <w:tmpl w:val="AFBC61B8"/>
    <w:lvl w:ilvl="0" w:tplc="3342B796">
      <w:start w:val="1"/>
      <w:numFmt w:val="taiwaneseCountingThousand"/>
      <w:lvlText w:val="（%1）"/>
      <w:lvlJc w:val="left"/>
      <w:pPr>
        <w:tabs>
          <w:tab w:val="num" w:pos="1200"/>
        </w:tabs>
        <w:ind w:left="1200" w:hanging="720"/>
      </w:pPr>
      <w:rPr>
        <w:rFonts w:eastAsia="標楷體" w:hint="default"/>
        <w:color w:val="00000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7E75871"/>
    <w:multiLevelType w:val="hybridMultilevel"/>
    <w:tmpl w:val="FFACF1E0"/>
    <w:lvl w:ilvl="0" w:tplc="63EE1C16">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44717F"/>
    <w:multiLevelType w:val="hybridMultilevel"/>
    <w:tmpl w:val="B42809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C65C48"/>
    <w:multiLevelType w:val="hybridMultilevel"/>
    <w:tmpl w:val="AEB27A14"/>
    <w:lvl w:ilvl="0" w:tplc="827663A2">
      <w:start w:val="2"/>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85206"/>
    <w:multiLevelType w:val="hybridMultilevel"/>
    <w:tmpl w:val="D9C4E04C"/>
    <w:lvl w:ilvl="0" w:tplc="91C492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3F256C9"/>
    <w:multiLevelType w:val="hybridMultilevel"/>
    <w:tmpl w:val="66DA2B06"/>
    <w:lvl w:ilvl="0" w:tplc="29A89356">
      <w:start w:val="1"/>
      <w:numFmt w:val="decimal"/>
      <w:lvlText w:val="%1."/>
      <w:lvlJc w:val="left"/>
      <w:pPr>
        <w:ind w:left="360" w:hanging="360"/>
      </w:pPr>
      <w:rPr>
        <w:rFonts w:hint="default"/>
      </w:rPr>
    </w:lvl>
    <w:lvl w:ilvl="1" w:tplc="F81CCDC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FF1323"/>
    <w:multiLevelType w:val="hybridMultilevel"/>
    <w:tmpl w:val="E25EDA70"/>
    <w:lvl w:ilvl="0" w:tplc="BABE9B72">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18B927CB"/>
    <w:multiLevelType w:val="hybridMultilevel"/>
    <w:tmpl w:val="EEE20B20"/>
    <w:lvl w:ilvl="0" w:tplc="74AA3C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B9770F"/>
    <w:multiLevelType w:val="hybridMultilevel"/>
    <w:tmpl w:val="FB8A8722"/>
    <w:lvl w:ilvl="0" w:tplc="9B06E154">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10378BB"/>
    <w:multiLevelType w:val="hybridMultilevel"/>
    <w:tmpl w:val="E73208DA"/>
    <w:lvl w:ilvl="0" w:tplc="4CB2D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DD0E53"/>
    <w:multiLevelType w:val="hybridMultilevel"/>
    <w:tmpl w:val="F140C860"/>
    <w:lvl w:ilvl="0" w:tplc="B14661EE">
      <w:start w:val="1"/>
      <w:numFmt w:val="taiwaneseCountingThousand"/>
      <w:lvlText w:val="%1、"/>
      <w:lvlJc w:val="left"/>
      <w:pPr>
        <w:ind w:left="514" w:hanging="480"/>
      </w:pPr>
      <w:rPr>
        <w:lang w:val="en-US"/>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3D325F6C"/>
    <w:multiLevelType w:val="hybridMultilevel"/>
    <w:tmpl w:val="E5E07732"/>
    <w:lvl w:ilvl="0" w:tplc="13006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A31C29"/>
    <w:multiLevelType w:val="hybridMultilevel"/>
    <w:tmpl w:val="F69A25C0"/>
    <w:lvl w:ilvl="0" w:tplc="04090015">
      <w:start w:val="1"/>
      <w:numFmt w:val="taiwaneseCountingThousand"/>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3" w15:restartNumberingAfterBreak="0">
    <w:nsid w:val="47647E91"/>
    <w:multiLevelType w:val="hybridMultilevel"/>
    <w:tmpl w:val="8CF4D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755453"/>
    <w:multiLevelType w:val="hybridMultilevel"/>
    <w:tmpl w:val="066CD30C"/>
    <w:lvl w:ilvl="0" w:tplc="C6901B7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A130B2B"/>
    <w:multiLevelType w:val="hybridMultilevel"/>
    <w:tmpl w:val="66869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617F0C"/>
    <w:multiLevelType w:val="hybridMultilevel"/>
    <w:tmpl w:val="A886BCA6"/>
    <w:lvl w:ilvl="0" w:tplc="8DBE4F3C">
      <w:start w:val="1"/>
      <w:numFmt w:val="decimal"/>
      <w:lvlText w:val="(%1)"/>
      <w:lvlJc w:val="left"/>
      <w:pPr>
        <w:ind w:left="2062" w:hanging="480"/>
      </w:pPr>
      <w:rPr>
        <w:rFonts w:hint="eastAsia"/>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17" w15:restartNumberingAfterBreak="0">
    <w:nsid w:val="5D316A83"/>
    <w:multiLevelType w:val="hybridMultilevel"/>
    <w:tmpl w:val="164E37B6"/>
    <w:lvl w:ilvl="0" w:tplc="3DF2EBE4">
      <w:start w:val="1"/>
      <w:numFmt w:val="taiwaneseCountingThousand"/>
      <w:lvlText w:val="%1、"/>
      <w:lvlJc w:val="left"/>
      <w:pPr>
        <w:ind w:left="322" w:hanging="360"/>
      </w:pPr>
      <w:rPr>
        <w:rFonts w:cs="Times New Roman" w:hint="default"/>
      </w:rPr>
    </w:lvl>
    <w:lvl w:ilvl="1" w:tplc="04090019" w:tentative="1">
      <w:start w:val="1"/>
      <w:numFmt w:val="ideographTraditional"/>
      <w:lvlText w:val="%2、"/>
      <w:lvlJc w:val="left"/>
      <w:pPr>
        <w:ind w:left="922" w:hanging="480"/>
      </w:pPr>
      <w:rPr>
        <w:rFonts w:cs="Times New Roman"/>
      </w:rPr>
    </w:lvl>
    <w:lvl w:ilvl="2" w:tplc="0409001B" w:tentative="1">
      <w:start w:val="1"/>
      <w:numFmt w:val="lowerRoman"/>
      <w:lvlText w:val="%3."/>
      <w:lvlJc w:val="right"/>
      <w:pPr>
        <w:ind w:left="1402" w:hanging="480"/>
      </w:pPr>
      <w:rPr>
        <w:rFonts w:cs="Times New Roman"/>
      </w:rPr>
    </w:lvl>
    <w:lvl w:ilvl="3" w:tplc="0409000F" w:tentative="1">
      <w:start w:val="1"/>
      <w:numFmt w:val="decimal"/>
      <w:lvlText w:val="%4."/>
      <w:lvlJc w:val="left"/>
      <w:pPr>
        <w:ind w:left="1882" w:hanging="480"/>
      </w:pPr>
      <w:rPr>
        <w:rFonts w:cs="Times New Roman"/>
      </w:rPr>
    </w:lvl>
    <w:lvl w:ilvl="4" w:tplc="04090019" w:tentative="1">
      <w:start w:val="1"/>
      <w:numFmt w:val="ideographTraditional"/>
      <w:lvlText w:val="%5、"/>
      <w:lvlJc w:val="left"/>
      <w:pPr>
        <w:ind w:left="2362" w:hanging="480"/>
      </w:pPr>
      <w:rPr>
        <w:rFonts w:cs="Times New Roman"/>
      </w:rPr>
    </w:lvl>
    <w:lvl w:ilvl="5" w:tplc="0409001B" w:tentative="1">
      <w:start w:val="1"/>
      <w:numFmt w:val="lowerRoman"/>
      <w:lvlText w:val="%6."/>
      <w:lvlJc w:val="right"/>
      <w:pPr>
        <w:ind w:left="2842" w:hanging="480"/>
      </w:pPr>
      <w:rPr>
        <w:rFonts w:cs="Times New Roman"/>
      </w:rPr>
    </w:lvl>
    <w:lvl w:ilvl="6" w:tplc="0409000F" w:tentative="1">
      <w:start w:val="1"/>
      <w:numFmt w:val="decimal"/>
      <w:lvlText w:val="%7."/>
      <w:lvlJc w:val="left"/>
      <w:pPr>
        <w:ind w:left="3322" w:hanging="480"/>
      </w:pPr>
      <w:rPr>
        <w:rFonts w:cs="Times New Roman"/>
      </w:rPr>
    </w:lvl>
    <w:lvl w:ilvl="7" w:tplc="04090019" w:tentative="1">
      <w:start w:val="1"/>
      <w:numFmt w:val="ideographTraditional"/>
      <w:lvlText w:val="%8、"/>
      <w:lvlJc w:val="left"/>
      <w:pPr>
        <w:ind w:left="3802" w:hanging="480"/>
      </w:pPr>
      <w:rPr>
        <w:rFonts w:cs="Times New Roman"/>
      </w:rPr>
    </w:lvl>
    <w:lvl w:ilvl="8" w:tplc="0409001B" w:tentative="1">
      <w:start w:val="1"/>
      <w:numFmt w:val="lowerRoman"/>
      <w:lvlText w:val="%9."/>
      <w:lvlJc w:val="right"/>
      <w:pPr>
        <w:ind w:left="4282" w:hanging="480"/>
      </w:pPr>
      <w:rPr>
        <w:rFonts w:cs="Times New Roman"/>
      </w:rPr>
    </w:lvl>
  </w:abstractNum>
  <w:abstractNum w:abstractNumId="18" w15:restartNumberingAfterBreak="0">
    <w:nsid w:val="5D4F6BF3"/>
    <w:multiLevelType w:val="hybridMultilevel"/>
    <w:tmpl w:val="0E16DBFC"/>
    <w:lvl w:ilvl="0" w:tplc="61EE597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FA57A81"/>
    <w:multiLevelType w:val="hybridMultilevel"/>
    <w:tmpl w:val="0C101508"/>
    <w:lvl w:ilvl="0" w:tplc="0409000F">
      <w:start w:val="1"/>
      <w:numFmt w:val="decimal"/>
      <w:lvlText w:val="%1."/>
      <w:lvlJc w:val="left"/>
      <w:pPr>
        <w:ind w:left="1739" w:hanging="480"/>
      </w:pPr>
      <w:rPr>
        <w:rFonts w:hint="eastAsia"/>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0" w15:restartNumberingAfterBreak="0">
    <w:nsid w:val="6C320036"/>
    <w:multiLevelType w:val="hybridMultilevel"/>
    <w:tmpl w:val="7436B1F8"/>
    <w:lvl w:ilvl="0" w:tplc="29A87AAA">
      <w:start w:val="1"/>
      <w:numFmt w:val="bullet"/>
      <w:lvlText w:val=""/>
      <w:lvlJc w:val="left"/>
      <w:pPr>
        <w:tabs>
          <w:tab w:val="num" w:pos="720"/>
        </w:tabs>
        <w:ind w:left="720" w:hanging="360"/>
      </w:pPr>
      <w:rPr>
        <w:rFonts w:ascii="Wingdings" w:hAnsi="Wingdings" w:hint="default"/>
      </w:rPr>
    </w:lvl>
    <w:lvl w:ilvl="1" w:tplc="59ACA032" w:tentative="1">
      <w:start w:val="1"/>
      <w:numFmt w:val="bullet"/>
      <w:lvlText w:val=""/>
      <w:lvlJc w:val="left"/>
      <w:pPr>
        <w:tabs>
          <w:tab w:val="num" w:pos="1440"/>
        </w:tabs>
        <w:ind w:left="1440" w:hanging="360"/>
      </w:pPr>
      <w:rPr>
        <w:rFonts w:ascii="Wingdings" w:hAnsi="Wingdings" w:hint="default"/>
      </w:rPr>
    </w:lvl>
    <w:lvl w:ilvl="2" w:tplc="19DA3FC2" w:tentative="1">
      <w:start w:val="1"/>
      <w:numFmt w:val="bullet"/>
      <w:lvlText w:val=""/>
      <w:lvlJc w:val="left"/>
      <w:pPr>
        <w:tabs>
          <w:tab w:val="num" w:pos="2160"/>
        </w:tabs>
        <w:ind w:left="2160" w:hanging="360"/>
      </w:pPr>
      <w:rPr>
        <w:rFonts w:ascii="Wingdings" w:hAnsi="Wingdings" w:hint="default"/>
      </w:rPr>
    </w:lvl>
    <w:lvl w:ilvl="3" w:tplc="53789690" w:tentative="1">
      <w:start w:val="1"/>
      <w:numFmt w:val="bullet"/>
      <w:lvlText w:val=""/>
      <w:lvlJc w:val="left"/>
      <w:pPr>
        <w:tabs>
          <w:tab w:val="num" w:pos="2880"/>
        </w:tabs>
        <w:ind w:left="2880" w:hanging="360"/>
      </w:pPr>
      <w:rPr>
        <w:rFonts w:ascii="Wingdings" w:hAnsi="Wingdings" w:hint="default"/>
      </w:rPr>
    </w:lvl>
    <w:lvl w:ilvl="4" w:tplc="981E3CA0" w:tentative="1">
      <w:start w:val="1"/>
      <w:numFmt w:val="bullet"/>
      <w:lvlText w:val=""/>
      <w:lvlJc w:val="left"/>
      <w:pPr>
        <w:tabs>
          <w:tab w:val="num" w:pos="3600"/>
        </w:tabs>
        <w:ind w:left="3600" w:hanging="360"/>
      </w:pPr>
      <w:rPr>
        <w:rFonts w:ascii="Wingdings" w:hAnsi="Wingdings" w:hint="default"/>
      </w:rPr>
    </w:lvl>
    <w:lvl w:ilvl="5" w:tplc="3342F9B8" w:tentative="1">
      <w:start w:val="1"/>
      <w:numFmt w:val="bullet"/>
      <w:lvlText w:val=""/>
      <w:lvlJc w:val="left"/>
      <w:pPr>
        <w:tabs>
          <w:tab w:val="num" w:pos="4320"/>
        </w:tabs>
        <w:ind w:left="4320" w:hanging="360"/>
      </w:pPr>
      <w:rPr>
        <w:rFonts w:ascii="Wingdings" w:hAnsi="Wingdings" w:hint="default"/>
      </w:rPr>
    </w:lvl>
    <w:lvl w:ilvl="6" w:tplc="D4229C96" w:tentative="1">
      <w:start w:val="1"/>
      <w:numFmt w:val="bullet"/>
      <w:lvlText w:val=""/>
      <w:lvlJc w:val="left"/>
      <w:pPr>
        <w:tabs>
          <w:tab w:val="num" w:pos="5040"/>
        </w:tabs>
        <w:ind w:left="5040" w:hanging="360"/>
      </w:pPr>
      <w:rPr>
        <w:rFonts w:ascii="Wingdings" w:hAnsi="Wingdings" w:hint="default"/>
      </w:rPr>
    </w:lvl>
    <w:lvl w:ilvl="7" w:tplc="C8DEA5BE" w:tentative="1">
      <w:start w:val="1"/>
      <w:numFmt w:val="bullet"/>
      <w:lvlText w:val=""/>
      <w:lvlJc w:val="left"/>
      <w:pPr>
        <w:tabs>
          <w:tab w:val="num" w:pos="5760"/>
        </w:tabs>
        <w:ind w:left="5760" w:hanging="360"/>
      </w:pPr>
      <w:rPr>
        <w:rFonts w:ascii="Wingdings" w:hAnsi="Wingdings" w:hint="default"/>
      </w:rPr>
    </w:lvl>
    <w:lvl w:ilvl="8" w:tplc="FDDCAF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C3472"/>
    <w:multiLevelType w:val="hybridMultilevel"/>
    <w:tmpl w:val="7E62F378"/>
    <w:lvl w:ilvl="0" w:tplc="29A89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E55B78"/>
    <w:multiLevelType w:val="hybridMultilevel"/>
    <w:tmpl w:val="81DEB39E"/>
    <w:lvl w:ilvl="0" w:tplc="E462454A">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2F2709"/>
    <w:multiLevelType w:val="hybridMultilevel"/>
    <w:tmpl w:val="70D066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D879C9"/>
    <w:multiLevelType w:val="hybridMultilevel"/>
    <w:tmpl w:val="3F645606"/>
    <w:lvl w:ilvl="0" w:tplc="B9B04C7A">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6"/>
  </w:num>
  <w:num w:numId="4">
    <w:abstractNumId w:val="23"/>
  </w:num>
  <w:num w:numId="5">
    <w:abstractNumId w:val="13"/>
  </w:num>
  <w:num w:numId="6">
    <w:abstractNumId w:val="12"/>
  </w:num>
  <w:num w:numId="7">
    <w:abstractNumId w:val="10"/>
  </w:num>
  <w:num w:numId="8">
    <w:abstractNumId w:val="7"/>
  </w:num>
  <w:num w:numId="9">
    <w:abstractNumId w:val="4"/>
  </w:num>
  <w:num w:numId="10">
    <w:abstractNumId w:val="8"/>
  </w:num>
  <w:num w:numId="11">
    <w:abstractNumId w:val="2"/>
  </w:num>
  <w:num w:numId="12">
    <w:abstractNumId w:val="22"/>
  </w:num>
  <w:num w:numId="13">
    <w:abstractNumId w:val="24"/>
  </w:num>
  <w:num w:numId="14">
    <w:abstractNumId w:val="1"/>
  </w:num>
  <w:num w:numId="15">
    <w:abstractNumId w:val="3"/>
  </w:num>
  <w:num w:numId="16">
    <w:abstractNumId w:val="20"/>
  </w:num>
  <w:num w:numId="17">
    <w:abstractNumId w:val="15"/>
  </w:num>
  <w:num w:numId="18">
    <w:abstractNumId w:val="9"/>
  </w:num>
  <w:num w:numId="19">
    <w:abstractNumId w:val="11"/>
  </w:num>
  <w:num w:numId="20">
    <w:abstractNumId w:val="21"/>
  </w:num>
  <w:num w:numId="21">
    <w:abstractNumId w:val="5"/>
  </w:num>
  <w:num w:numId="22">
    <w:abstractNumId w:val="19"/>
  </w:num>
  <w:num w:numId="23">
    <w:abstractNumId w:val="16"/>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7F"/>
    <w:rsid w:val="00003896"/>
    <w:rsid w:val="00004386"/>
    <w:rsid w:val="00005448"/>
    <w:rsid w:val="00007D9D"/>
    <w:rsid w:val="00007FEA"/>
    <w:rsid w:val="00010281"/>
    <w:rsid w:val="00010A39"/>
    <w:rsid w:val="00010C1F"/>
    <w:rsid w:val="00017388"/>
    <w:rsid w:val="0002025A"/>
    <w:rsid w:val="00020A99"/>
    <w:rsid w:val="000210AE"/>
    <w:rsid w:val="00023082"/>
    <w:rsid w:val="00023CC3"/>
    <w:rsid w:val="00027AAE"/>
    <w:rsid w:val="00030B0C"/>
    <w:rsid w:val="00032AB9"/>
    <w:rsid w:val="00033C05"/>
    <w:rsid w:val="00033EDA"/>
    <w:rsid w:val="00034217"/>
    <w:rsid w:val="00035515"/>
    <w:rsid w:val="00036906"/>
    <w:rsid w:val="000373D8"/>
    <w:rsid w:val="00037593"/>
    <w:rsid w:val="000376EB"/>
    <w:rsid w:val="00037A92"/>
    <w:rsid w:val="00040EC3"/>
    <w:rsid w:val="00041E8A"/>
    <w:rsid w:val="0004219D"/>
    <w:rsid w:val="000424D1"/>
    <w:rsid w:val="00042BBF"/>
    <w:rsid w:val="0004571D"/>
    <w:rsid w:val="00047780"/>
    <w:rsid w:val="00047BD4"/>
    <w:rsid w:val="00050999"/>
    <w:rsid w:val="0005238A"/>
    <w:rsid w:val="00054A3C"/>
    <w:rsid w:val="00060662"/>
    <w:rsid w:val="000612EF"/>
    <w:rsid w:val="000617A0"/>
    <w:rsid w:val="00061D15"/>
    <w:rsid w:val="00062C26"/>
    <w:rsid w:val="0006374A"/>
    <w:rsid w:val="000648E4"/>
    <w:rsid w:val="00064BCC"/>
    <w:rsid w:val="000661FE"/>
    <w:rsid w:val="000728E7"/>
    <w:rsid w:val="000753CB"/>
    <w:rsid w:val="000767DF"/>
    <w:rsid w:val="000767E6"/>
    <w:rsid w:val="00076BB6"/>
    <w:rsid w:val="00077077"/>
    <w:rsid w:val="0007715C"/>
    <w:rsid w:val="00077A85"/>
    <w:rsid w:val="00077D76"/>
    <w:rsid w:val="000809F8"/>
    <w:rsid w:val="0008208E"/>
    <w:rsid w:val="00082BC0"/>
    <w:rsid w:val="00082F93"/>
    <w:rsid w:val="00083652"/>
    <w:rsid w:val="00084287"/>
    <w:rsid w:val="0008517A"/>
    <w:rsid w:val="00085C8C"/>
    <w:rsid w:val="000912AB"/>
    <w:rsid w:val="00091E4F"/>
    <w:rsid w:val="000920E3"/>
    <w:rsid w:val="00094563"/>
    <w:rsid w:val="000946C7"/>
    <w:rsid w:val="0009520C"/>
    <w:rsid w:val="0009772D"/>
    <w:rsid w:val="0009787E"/>
    <w:rsid w:val="00097AD2"/>
    <w:rsid w:val="000A04A3"/>
    <w:rsid w:val="000A187F"/>
    <w:rsid w:val="000A3B76"/>
    <w:rsid w:val="000A444B"/>
    <w:rsid w:val="000A466F"/>
    <w:rsid w:val="000A5567"/>
    <w:rsid w:val="000A5EE5"/>
    <w:rsid w:val="000A6840"/>
    <w:rsid w:val="000B183D"/>
    <w:rsid w:val="000B333F"/>
    <w:rsid w:val="000B5ED0"/>
    <w:rsid w:val="000B7439"/>
    <w:rsid w:val="000B7C54"/>
    <w:rsid w:val="000C11BA"/>
    <w:rsid w:val="000C1D69"/>
    <w:rsid w:val="000C25E9"/>
    <w:rsid w:val="000C4D2D"/>
    <w:rsid w:val="000C519B"/>
    <w:rsid w:val="000C5FAF"/>
    <w:rsid w:val="000C62C0"/>
    <w:rsid w:val="000C6752"/>
    <w:rsid w:val="000D19CB"/>
    <w:rsid w:val="000D1E2A"/>
    <w:rsid w:val="000D1FD9"/>
    <w:rsid w:val="000D2FE9"/>
    <w:rsid w:val="000D338A"/>
    <w:rsid w:val="000D4D6F"/>
    <w:rsid w:val="000D6738"/>
    <w:rsid w:val="000D70EC"/>
    <w:rsid w:val="000D7E1F"/>
    <w:rsid w:val="000E0190"/>
    <w:rsid w:val="000E1BCF"/>
    <w:rsid w:val="000E1D9F"/>
    <w:rsid w:val="000E2DF1"/>
    <w:rsid w:val="000E507B"/>
    <w:rsid w:val="000E561A"/>
    <w:rsid w:val="000E574A"/>
    <w:rsid w:val="000E72A8"/>
    <w:rsid w:val="000F0069"/>
    <w:rsid w:val="000F0135"/>
    <w:rsid w:val="000F2ABF"/>
    <w:rsid w:val="000F380E"/>
    <w:rsid w:val="000F74D3"/>
    <w:rsid w:val="000F77D0"/>
    <w:rsid w:val="000F7ED3"/>
    <w:rsid w:val="00100558"/>
    <w:rsid w:val="00100B5C"/>
    <w:rsid w:val="00101A22"/>
    <w:rsid w:val="00102715"/>
    <w:rsid w:val="00103295"/>
    <w:rsid w:val="00104319"/>
    <w:rsid w:val="00104998"/>
    <w:rsid w:val="00104ECD"/>
    <w:rsid w:val="00106FED"/>
    <w:rsid w:val="00110487"/>
    <w:rsid w:val="00110CE9"/>
    <w:rsid w:val="001144CE"/>
    <w:rsid w:val="00114973"/>
    <w:rsid w:val="00116E0A"/>
    <w:rsid w:val="00117906"/>
    <w:rsid w:val="0012097E"/>
    <w:rsid w:val="001210CF"/>
    <w:rsid w:val="00124758"/>
    <w:rsid w:val="00124F09"/>
    <w:rsid w:val="0012541E"/>
    <w:rsid w:val="001278F2"/>
    <w:rsid w:val="0013160A"/>
    <w:rsid w:val="0013423F"/>
    <w:rsid w:val="00137E77"/>
    <w:rsid w:val="00140528"/>
    <w:rsid w:val="001418D2"/>
    <w:rsid w:val="00142696"/>
    <w:rsid w:val="00143EC1"/>
    <w:rsid w:val="00145FF6"/>
    <w:rsid w:val="00146A06"/>
    <w:rsid w:val="001471A6"/>
    <w:rsid w:val="0015095E"/>
    <w:rsid w:val="00150E00"/>
    <w:rsid w:val="00151E18"/>
    <w:rsid w:val="0015228D"/>
    <w:rsid w:val="00152843"/>
    <w:rsid w:val="00152FA9"/>
    <w:rsid w:val="00154AB6"/>
    <w:rsid w:val="00156B8E"/>
    <w:rsid w:val="001578DD"/>
    <w:rsid w:val="00157B39"/>
    <w:rsid w:val="0016070D"/>
    <w:rsid w:val="00161098"/>
    <w:rsid w:val="00161B73"/>
    <w:rsid w:val="00164530"/>
    <w:rsid w:val="00164C68"/>
    <w:rsid w:val="00165C8F"/>
    <w:rsid w:val="001660A2"/>
    <w:rsid w:val="001666EF"/>
    <w:rsid w:val="00170413"/>
    <w:rsid w:val="001706C6"/>
    <w:rsid w:val="001718AC"/>
    <w:rsid w:val="001720E4"/>
    <w:rsid w:val="00172B55"/>
    <w:rsid w:val="001735AE"/>
    <w:rsid w:val="00173FE0"/>
    <w:rsid w:val="00175132"/>
    <w:rsid w:val="0017573F"/>
    <w:rsid w:val="001759B5"/>
    <w:rsid w:val="00177479"/>
    <w:rsid w:val="00177EAE"/>
    <w:rsid w:val="00180D9D"/>
    <w:rsid w:val="001833FD"/>
    <w:rsid w:val="00183C05"/>
    <w:rsid w:val="001841A4"/>
    <w:rsid w:val="00184221"/>
    <w:rsid w:val="00190069"/>
    <w:rsid w:val="00190530"/>
    <w:rsid w:val="00191331"/>
    <w:rsid w:val="00191790"/>
    <w:rsid w:val="001917BD"/>
    <w:rsid w:val="00191D37"/>
    <w:rsid w:val="0019232D"/>
    <w:rsid w:val="001928D6"/>
    <w:rsid w:val="0019290D"/>
    <w:rsid w:val="001962A4"/>
    <w:rsid w:val="001A0906"/>
    <w:rsid w:val="001A291D"/>
    <w:rsid w:val="001A3746"/>
    <w:rsid w:val="001A37E9"/>
    <w:rsid w:val="001A6D36"/>
    <w:rsid w:val="001B1254"/>
    <w:rsid w:val="001B12D6"/>
    <w:rsid w:val="001B2E48"/>
    <w:rsid w:val="001B31AD"/>
    <w:rsid w:val="001B4909"/>
    <w:rsid w:val="001B5B5C"/>
    <w:rsid w:val="001B7962"/>
    <w:rsid w:val="001C090B"/>
    <w:rsid w:val="001C1602"/>
    <w:rsid w:val="001C25E7"/>
    <w:rsid w:val="001C26AE"/>
    <w:rsid w:val="001C26DD"/>
    <w:rsid w:val="001C3E54"/>
    <w:rsid w:val="001C58B8"/>
    <w:rsid w:val="001C5D91"/>
    <w:rsid w:val="001C6B3A"/>
    <w:rsid w:val="001C74EA"/>
    <w:rsid w:val="001C7CC2"/>
    <w:rsid w:val="001C7E6F"/>
    <w:rsid w:val="001D00E5"/>
    <w:rsid w:val="001D1E94"/>
    <w:rsid w:val="001D2296"/>
    <w:rsid w:val="001D25DC"/>
    <w:rsid w:val="001D27E0"/>
    <w:rsid w:val="001D28AD"/>
    <w:rsid w:val="001D58E7"/>
    <w:rsid w:val="001D7490"/>
    <w:rsid w:val="001E045E"/>
    <w:rsid w:val="001E1F78"/>
    <w:rsid w:val="001E4BA9"/>
    <w:rsid w:val="001E4EC7"/>
    <w:rsid w:val="001E628C"/>
    <w:rsid w:val="001E7091"/>
    <w:rsid w:val="001E75EE"/>
    <w:rsid w:val="001E7B9B"/>
    <w:rsid w:val="001F1213"/>
    <w:rsid w:val="001F2A1D"/>
    <w:rsid w:val="00201208"/>
    <w:rsid w:val="0020416F"/>
    <w:rsid w:val="00204756"/>
    <w:rsid w:val="002052AB"/>
    <w:rsid w:val="002068D8"/>
    <w:rsid w:val="0020730A"/>
    <w:rsid w:val="00210D68"/>
    <w:rsid w:val="002147E3"/>
    <w:rsid w:val="00215D2F"/>
    <w:rsid w:val="00216B3E"/>
    <w:rsid w:val="002179DF"/>
    <w:rsid w:val="0022108A"/>
    <w:rsid w:val="00221599"/>
    <w:rsid w:val="0022283E"/>
    <w:rsid w:val="0022503B"/>
    <w:rsid w:val="0022581E"/>
    <w:rsid w:val="00226026"/>
    <w:rsid w:val="00227F4D"/>
    <w:rsid w:val="002300B5"/>
    <w:rsid w:val="002302B6"/>
    <w:rsid w:val="00233D71"/>
    <w:rsid w:val="00234FC4"/>
    <w:rsid w:val="00241655"/>
    <w:rsid w:val="002428A6"/>
    <w:rsid w:val="002429A6"/>
    <w:rsid w:val="00243128"/>
    <w:rsid w:val="00243DD1"/>
    <w:rsid w:val="00245D7D"/>
    <w:rsid w:val="00245E53"/>
    <w:rsid w:val="0024600F"/>
    <w:rsid w:val="00247134"/>
    <w:rsid w:val="00247641"/>
    <w:rsid w:val="00247DA9"/>
    <w:rsid w:val="0025048A"/>
    <w:rsid w:val="00252257"/>
    <w:rsid w:val="00252E3A"/>
    <w:rsid w:val="0025399E"/>
    <w:rsid w:val="00254077"/>
    <w:rsid w:val="00255C00"/>
    <w:rsid w:val="002632AA"/>
    <w:rsid w:val="00263657"/>
    <w:rsid w:val="00263C37"/>
    <w:rsid w:val="00274057"/>
    <w:rsid w:val="00274A69"/>
    <w:rsid w:val="00275057"/>
    <w:rsid w:val="0027556C"/>
    <w:rsid w:val="00275649"/>
    <w:rsid w:val="00276971"/>
    <w:rsid w:val="0028042B"/>
    <w:rsid w:val="00281180"/>
    <w:rsid w:val="00281744"/>
    <w:rsid w:val="002831A8"/>
    <w:rsid w:val="002837DE"/>
    <w:rsid w:val="00283E8D"/>
    <w:rsid w:val="00283FFF"/>
    <w:rsid w:val="0029017C"/>
    <w:rsid w:val="00292817"/>
    <w:rsid w:val="00295FCC"/>
    <w:rsid w:val="00296EF7"/>
    <w:rsid w:val="0029764E"/>
    <w:rsid w:val="00297E0E"/>
    <w:rsid w:val="002A12F3"/>
    <w:rsid w:val="002A1DB0"/>
    <w:rsid w:val="002A228C"/>
    <w:rsid w:val="002A29BA"/>
    <w:rsid w:val="002A2AE3"/>
    <w:rsid w:val="002A2FAD"/>
    <w:rsid w:val="002A308D"/>
    <w:rsid w:val="002A4A80"/>
    <w:rsid w:val="002A536E"/>
    <w:rsid w:val="002B3F68"/>
    <w:rsid w:val="002B43D9"/>
    <w:rsid w:val="002B7C42"/>
    <w:rsid w:val="002C09C3"/>
    <w:rsid w:val="002C216A"/>
    <w:rsid w:val="002C3651"/>
    <w:rsid w:val="002C49FB"/>
    <w:rsid w:val="002C6A6C"/>
    <w:rsid w:val="002D11F9"/>
    <w:rsid w:val="002D328C"/>
    <w:rsid w:val="002D4687"/>
    <w:rsid w:val="002D5A71"/>
    <w:rsid w:val="002E15CC"/>
    <w:rsid w:val="002E1753"/>
    <w:rsid w:val="002E43E5"/>
    <w:rsid w:val="002E4B2F"/>
    <w:rsid w:val="002E5CFB"/>
    <w:rsid w:val="002E5F34"/>
    <w:rsid w:val="002E641D"/>
    <w:rsid w:val="002E6C0B"/>
    <w:rsid w:val="002F42B2"/>
    <w:rsid w:val="002F4502"/>
    <w:rsid w:val="002F46A6"/>
    <w:rsid w:val="002F6691"/>
    <w:rsid w:val="002F7E3E"/>
    <w:rsid w:val="0030097D"/>
    <w:rsid w:val="00300BBE"/>
    <w:rsid w:val="003014FC"/>
    <w:rsid w:val="0030199C"/>
    <w:rsid w:val="00301FCF"/>
    <w:rsid w:val="00305A29"/>
    <w:rsid w:val="0031060F"/>
    <w:rsid w:val="00311373"/>
    <w:rsid w:val="0031192D"/>
    <w:rsid w:val="00311BA9"/>
    <w:rsid w:val="00316612"/>
    <w:rsid w:val="0032014F"/>
    <w:rsid w:val="00321248"/>
    <w:rsid w:val="0032165F"/>
    <w:rsid w:val="0032250F"/>
    <w:rsid w:val="00322F46"/>
    <w:rsid w:val="00324700"/>
    <w:rsid w:val="00324895"/>
    <w:rsid w:val="0032532B"/>
    <w:rsid w:val="00326C56"/>
    <w:rsid w:val="00327512"/>
    <w:rsid w:val="00327EDA"/>
    <w:rsid w:val="00330045"/>
    <w:rsid w:val="00330D2C"/>
    <w:rsid w:val="00331AB0"/>
    <w:rsid w:val="00332904"/>
    <w:rsid w:val="00334180"/>
    <w:rsid w:val="0033799A"/>
    <w:rsid w:val="003404A1"/>
    <w:rsid w:val="003404E3"/>
    <w:rsid w:val="00340B35"/>
    <w:rsid w:val="003427F8"/>
    <w:rsid w:val="0034306B"/>
    <w:rsid w:val="00344A88"/>
    <w:rsid w:val="00345239"/>
    <w:rsid w:val="00345696"/>
    <w:rsid w:val="00346097"/>
    <w:rsid w:val="0034661C"/>
    <w:rsid w:val="00347477"/>
    <w:rsid w:val="003477F3"/>
    <w:rsid w:val="00347E49"/>
    <w:rsid w:val="00350E51"/>
    <w:rsid w:val="00351236"/>
    <w:rsid w:val="00351BDF"/>
    <w:rsid w:val="00352130"/>
    <w:rsid w:val="00352218"/>
    <w:rsid w:val="00352B28"/>
    <w:rsid w:val="00353A85"/>
    <w:rsid w:val="003559D2"/>
    <w:rsid w:val="00356A67"/>
    <w:rsid w:val="00356B93"/>
    <w:rsid w:val="00356C45"/>
    <w:rsid w:val="00356E51"/>
    <w:rsid w:val="00357B17"/>
    <w:rsid w:val="00360ADA"/>
    <w:rsid w:val="003611C6"/>
    <w:rsid w:val="0036132B"/>
    <w:rsid w:val="00363AA0"/>
    <w:rsid w:val="00363CE3"/>
    <w:rsid w:val="003653B3"/>
    <w:rsid w:val="003663A4"/>
    <w:rsid w:val="0036764E"/>
    <w:rsid w:val="003738CD"/>
    <w:rsid w:val="00373EDE"/>
    <w:rsid w:val="00375596"/>
    <w:rsid w:val="003756A8"/>
    <w:rsid w:val="0037605B"/>
    <w:rsid w:val="003763D4"/>
    <w:rsid w:val="00376E8A"/>
    <w:rsid w:val="00377CAE"/>
    <w:rsid w:val="0038108A"/>
    <w:rsid w:val="003831E2"/>
    <w:rsid w:val="00384842"/>
    <w:rsid w:val="00384E76"/>
    <w:rsid w:val="003866FA"/>
    <w:rsid w:val="003874AD"/>
    <w:rsid w:val="00387EC4"/>
    <w:rsid w:val="0039083A"/>
    <w:rsid w:val="003914E0"/>
    <w:rsid w:val="0039169B"/>
    <w:rsid w:val="00393047"/>
    <w:rsid w:val="00393A62"/>
    <w:rsid w:val="00394D5E"/>
    <w:rsid w:val="00395AF0"/>
    <w:rsid w:val="0039648D"/>
    <w:rsid w:val="00397108"/>
    <w:rsid w:val="00397EFB"/>
    <w:rsid w:val="003A119E"/>
    <w:rsid w:val="003A129A"/>
    <w:rsid w:val="003A12B2"/>
    <w:rsid w:val="003A1703"/>
    <w:rsid w:val="003A272E"/>
    <w:rsid w:val="003A3D46"/>
    <w:rsid w:val="003A467D"/>
    <w:rsid w:val="003A566B"/>
    <w:rsid w:val="003B078F"/>
    <w:rsid w:val="003B092A"/>
    <w:rsid w:val="003B0C3A"/>
    <w:rsid w:val="003B0CFF"/>
    <w:rsid w:val="003B13CD"/>
    <w:rsid w:val="003B1D45"/>
    <w:rsid w:val="003B2F25"/>
    <w:rsid w:val="003B4350"/>
    <w:rsid w:val="003B4B3D"/>
    <w:rsid w:val="003C04FC"/>
    <w:rsid w:val="003C0897"/>
    <w:rsid w:val="003C1165"/>
    <w:rsid w:val="003C274B"/>
    <w:rsid w:val="003C31E7"/>
    <w:rsid w:val="003C3D37"/>
    <w:rsid w:val="003C728E"/>
    <w:rsid w:val="003D033B"/>
    <w:rsid w:val="003D0823"/>
    <w:rsid w:val="003D133A"/>
    <w:rsid w:val="003D2253"/>
    <w:rsid w:val="003D2E9E"/>
    <w:rsid w:val="003D435C"/>
    <w:rsid w:val="003D47C7"/>
    <w:rsid w:val="003D4FA3"/>
    <w:rsid w:val="003D689F"/>
    <w:rsid w:val="003D7560"/>
    <w:rsid w:val="003E35F7"/>
    <w:rsid w:val="003E40D2"/>
    <w:rsid w:val="003E5173"/>
    <w:rsid w:val="003E5A06"/>
    <w:rsid w:val="003E66F1"/>
    <w:rsid w:val="003E7534"/>
    <w:rsid w:val="003E79BB"/>
    <w:rsid w:val="003F053C"/>
    <w:rsid w:val="003F23CF"/>
    <w:rsid w:val="003F28B5"/>
    <w:rsid w:val="003F40AB"/>
    <w:rsid w:val="003F55FE"/>
    <w:rsid w:val="00400871"/>
    <w:rsid w:val="00401576"/>
    <w:rsid w:val="00406CFE"/>
    <w:rsid w:val="00410B17"/>
    <w:rsid w:val="004110F1"/>
    <w:rsid w:val="00414D20"/>
    <w:rsid w:val="004150B1"/>
    <w:rsid w:val="00415806"/>
    <w:rsid w:val="0041588E"/>
    <w:rsid w:val="00415EDC"/>
    <w:rsid w:val="004174CF"/>
    <w:rsid w:val="0042013D"/>
    <w:rsid w:val="00421558"/>
    <w:rsid w:val="00421E07"/>
    <w:rsid w:val="0042242F"/>
    <w:rsid w:val="00423A71"/>
    <w:rsid w:val="00423DA6"/>
    <w:rsid w:val="00424FD0"/>
    <w:rsid w:val="00431156"/>
    <w:rsid w:val="0043592E"/>
    <w:rsid w:val="00436BBA"/>
    <w:rsid w:val="00437740"/>
    <w:rsid w:val="0044120E"/>
    <w:rsid w:val="00441D5C"/>
    <w:rsid w:val="00442921"/>
    <w:rsid w:val="0044309F"/>
    <w:rsid w:val="00444914"/>
    <w:rsid w:val="00444EB2"/>
    <w:rsid w:val="00447131"/>
    <w:rsid w:val="00447BD3"/>
    <w:rsid w:val="00452CA9"/>
    <w:rsid w:val="004543B3"/>
    <w:rsid w:val="004549E0"/>
    <w:rsid w:val="00455F2C"/>
    <w:rsid w:val="0045605A"/>
    <w:rsid w:val="00456A25"/>
    <w:rsid w:val="00456BF0"/>
    <w:rsid w:val="00456D57"/>
    <w:rsid w:val="00456FF9"/>
    <w:rsid w:val="00457845"/>
    <w:rsid w:val="00457A36"/>
    <w:rsid w:val="0046022F"/>
    <w:rsid w:val="00460322"/>
    <w:rsid w:val="0046171B"/>
    <w:rsid w:val="0046486A"/>
    <w:rsid w:val="00464CC6"/>
    <w:rsid w:val="00464EAD"/>
    <w:rsid w:val="00465429"/>
    <w:rsid w:val="00465866"/>
    <w:rsid w:val="00471109"/>
    <w:rsid w:val="004715F1"/>
    <w:rsid w:val="00471AF9"/>
    <w:rsid w:val="00472C40"/>
    <w:rsid w:val="004776C5"/>
    <w:rsid w:val="00477CC3"/>
    <w:rsid w:val="00480000"/>
    <w:rsid w:val="00480B5D"/>
    <w:rsid w:val="00481988"/>
    <w:rsid w:val="00482DB6"/>
    <w:rsid w:val="00482FB3"/>
    <w:rsid w:val="00483B29"/>
    <w:rsid w:val="00483FA8"/>
    <w:rsid w:val="00486DFF"/>
    <w:rsid w:val="00487A83"/>
    <w:rsid w:val="004923EC"/>
    <w:rsid w:val="004934FB"/>
    <w:rsid w:val="0049432E"/>
    <w:rsid w:val="00495D0A"/>
    <w:rsid w:val="004961E0"/>
    <w:rsid w:val="00496C2F"/>
    <w:rsid w:val="004975D3"/>
    <w:rsid w:val="004A12F7"/>
    <w:rsid w:val="004A14AF"/>
    <w:rsid w:val="004A4847"/>
    <w:rsid w:val="004A68BA"/>
    <w:rsid w:val="004A7656"/>
    <w:rsid w:val="004A770A"/>
    <w:rsid w:val="004A7C06"/>
    <w:rsid w:val="004B40DD"/>
    <w:rsid w:val="004B4A76"/>
    <w:rsid w:val="004B5EF6"/>
    <w:rsid w:val="004B7EAD"/>
    <w:rsid w:val="004C33A7"/>
    <w:rsid w:val="004C37EE"/>
    <w:rsid w:val="004C5F8D"/>
    <w:rsid w:val="004C7321"/>
    <w:rsid w:val="004D0233"/>
    <w:rsid w:val="004D0F2E"/>
    <w:rsid w:val="004D7ED1"/>
    <w:rsid w:val="004E05CE"/>
    <w:rsid w:val="004E1A4C"/>
    <w:rsid w:val="004E2879"/>
    <w:rsid w:val="004E2C13"/>
    <w:rsid w:val="004E312E"/>
    <w:rsid w:val="004E46B7"/>
    <w:rsid w:val="004E4FC7"/>
    <w:rsid w:val="004E684E"/>
    <w:rsid w:val="004E6C26"/>
    <w:rsid w:val="004F0F29"/>
    <w:rsid w:val="004F10A9"/>
    <w:rsid w:val="004F2005"/>
    <w:rsid w:val="004F2398"/>
    <w:rsid w:val="004F270D"/>
    <w:rsid w:val="004F2811"/>
    <w:rsid w:val="004F443D"/>
    <w:rsid w:val="004F4770"/>
    <w:rsid w:val="00503338"/>
    <w:rsid w:val="0050432C"/>
    <w:rsid w:val="00504AD0"/>
    <w:rsid w:val="00506549"/>
    <w:rsid w:val="00510666"/>
    <w:rsid w:val="00515070"/>
    <w:rsid w:val="00515130"/>
    <w:rsid w:val="00515A45"/>
    <w:rsid w:val="005172CD"/>
    <w:rsid w:val="00520E99"/>
    <w:rsid w:val="00521E89"/>
    <w:rsid w:val="00522E94"/>
    <w:rsid w:val="005241CE"/>
    <w:rsid w:val="00525A9B"/>
    <w:rsid w:val="00525E6A"/>
    <w:rsid w:val="005269FE"/>
    <w:rsid w:val="005305FA"/>
    <w:rsid w:val="00530B87"/>
    <w:rsid w:val="00533D03"/>
    <w:rsid w:val="00536879"/>
    <w:rsid w:val="00536EE7"/>
    <w:rsid w:val="0053790C"/>
    <w:rsid w:val="00537B38"/>
    <w:rsid w:val="00537C70"/>
    <w:rsid w:val="005401FE"/>
    <w:rsid w:val="00540485"/>
    <w:rsid w:val="005404EA"/>
    <w:rsid w:val="005412E4"/>
    <w:rsid w:val="00541F1A"/>
    <w:rsid w:val="0054437C"/>
    <w:rsid w:val="00553C41"/>
    <w:rsid w:val="00554491"/>
    <w:rsid w:val="00554C92"/>
    <w:rsid w:val="00557A76"/>
    <w:rsid w:val="005609A4"/>
    <w:rsid w:val="005619EC"/>
    <w:rsid w:val="00562716"/>
    <w:rsid w:val="005629EC"/>
    <w:rsid w:val="0056385E"/>
    <w:rsid w:val="00563871"/>
    <w:rsid w:val="005703AD"/>
    <w:rsid w:val="00574716"/>
    <w:rsid w:val="0057775C"/>
    <w:rsid w:val="00577D9D"/>
    <w:rsid w:val="00583677"/>
    <w:rsid w:val="00583BE0"/>
    <w:rsid w:val="00585A38"/>
    <w:rsid w:val="0059281D"/>
    <w:rsid w:val="0059351B"/>
    <w:rsid w:val="00593C9D"/>
    <w:rsid w:val="005963F8"/>
    <w:rsid w:val="00596CB1"/>
    <w:rsid w:val="005974AF"/>
    <w:rsid w:val="00597EC9"/>
    <w:rsid w:val="005A1337"/>
    <w:rsid w:val="005A2249"/>
    <w:rsid w:val="005A3A76"/>
    <w:rsid w:val="005B2444"/>
    <w:rsid w:val="005B258A"/>
    <w:rsid w:val="005B321C"/>
    <w:rsid w:val="005B4770"/>
    <w:rsid w:val="005B5192"/>
    <w:rsid w:val="005B63FE"/>
    <w:rsid w:val="005B660B"/>
    <w:rsid w:val="005B6C1C"/>
    <w:rsid w:val="005B7979"/>
    <w:rsid w:val="005C11E9"/>
    <w:rsid w:val="005C1A99"/>
    <w:rsid w:val="005C2FD5"/>
    <w:rsid w:val="005C56D8"/>
    <w:rsid w:val="005C59AC"/>
    <w:rsid w:val="005C5C2D"/>
    <w:rsid w:val="005C6D8F"/>
    <w:rsid w:val="005C73FA"/>
    <w:rsid w:val="005C783E"/>
    <w:rsid w:val="005D01FB"/>
    <w:rsid w:val="005D062F"/>
    <w:rsid w:val="005D0771"/>
    <w:rsid w:val="005D127F"/>
    <w:rsid w:val="005D13B0"/>
    <w:rsid w:val="005D16D0"/>
    <w:rsid w:val="005D1E0A"/>
    <w:rsid w:val="005D4046"/>
    <w:rsid w:val="005D55B4"/>
    <w:rsid w:val="005D67F7"/>
    <w:rsid w:val="005D76C8"/>
    <w:rsid w:val="005E017E"/>
    <w:rsid w:val="005E1EAF"/>
    <w:rsid w:val="005E1F05"/>
    <w:rsid w:val="005E2601"/>
    <w:rsid w:val="005E2EE4"/>
    <w:rsid w:val="005E3DFC"/>
    <w:rsid w:val="005E4CE6"/>
    <w:rsid w:val="005E514D"/>
    <w:rsid w:val="005F0441"/>
    <w:rsid w:val="005F05FB"/>
    <w:rsid w:val="005F06DB"/>
    <w:rsid w:val="005F07B3"/>
    <w:rsid w:val="005F26FF"/>
    <w:rsid w:val="005F2788"/>
    <w:rsid w:val="005F2C22"/>
    <w:rsid w:val="005F38DA"/>
    <w:rsid w:val="005F3B58"/>
    <w:rsid w:val="005F56F7"/>
    <w:rsid w:val="005F5C5B"/>
    <w:rsid w:val="005F601E"/>
    <w:rsid w:val="005F6557"/>
    <w:rsid w:val="005F690F"/>
    <w:rsid w:val="005F71BD"/>
    <w:rsid w:val="00604709"/>
    <w:rsid w:val="00605442"/>
    <w:rsid w:val="00605B8D"/>
    <w:rsid w:val="006069E9"/>
    <w:rsid w:val="0061058D"/>
    <w:rsid w:val="006120F4"/>
    <w:rsid w:val="00612660"/>
    <w:rsid w:val="00612BAE"/>
    <w:rsid w:val="0061374D"/>
    <w:rsid w:val="006146FB"/>
    <w:rsid w:val="006149F5"/>
    <w:rsid w:val="00614F97"/>
    <w:rsid w:val="0061664D"/>
    <w:rsid w:val="00620011"/>
    <w:rsid w:val="006202DB"/>
    <w:rsid w:val="00621393"/>
    <w:rsid w:val="0062165D"/>
    <w:rsid w:val="00622EC1"/>
    <w:rsid w:val="0062371A"/>
    <w:rsid w:val="00630494"/>
    <w:rsid w:val="006313EA"/>
    <w:rsid w:val="00632E05"/>
    <w:rsid w:val="00633194"/>
    <w:rsid w:val="00633692"/>
    <w:rsid w:val="0063449B"/>
    <w:rsid w:val="006345DE"/>
    <w:rsid w:val="00634F38"/>
    <w:rsid w:val="00635D39"/>
    <w:rsid w:val="00636861"/>
    <w:rsid w:val="00641AAA"/>
    <w:rsid w:val="00641AE0"/>
    <w:rsid w:val="00642F23"/>
    <w:rsid w:val="00646898"/>
    <w:rsid w:val="00647347"/>
    <w:rsid w:val="00647B8E"/>
    <w:rsid w:val="00651765"/>
    <w:rsid w:val="00651BEE"/>
    <w:rsid w:val="006520F4"/>
    <w:rsid w:val="006525A9"/>
    <w:rsid w:val="00652752"/>
    <w:rsid w:val="00652EC9"/>
    <w:rsid w:val="00653D2D"/>
    <w:rsid w:val="006542B4"/>
    <w:rsid w:val="0065445C"/>
    <w:rsid w:val="006544C0"/>
    <w:rsid w:val="00655043"/>
    <w:rsid w:val="006568C0"/>
    <w:rsid w:val="00657041"/>
    <w:rsid w:val="006602AD"/>
    <w:rsid w:val="00661E3A"/>
    <w:rsid w:val="00662853"/>
    <w:rsid w:val="00664C4A"/>
    <w:rsid w:val="00665676"/>
    <w:rsid w:val="00670304"/>
    <w:rsid w:val="00671741"/>
    <w:rsid w:val="0067280C"/>
    <w:rsid w:val="00672C73"/>
    <w:rsid w:val="00672E6A"/>
    <w:rsid w:val="006730C0"/>
    <w:rsid w:val="006732A5"/>
    <w:rsid w:val="00675D7F"/>
    <w:rsid w:val="00676B6A"/>
    <w:rsid w:val="006775EE"/>
    <w:rsid w:val="0067768A"/>
    <w:rsid w:val="00680286"/>
    <w:rsid w:val="00682001"/>
    <w:rsid w:val="006828AA"/>
    <w:rsid w:val="00682EC6"/>
    <w:rsid w:val="006837AB"/>
    <w:rsid w:val="006848DC"/>
    <w:rsid w:val="00684957"/>
    <w:rsid w:val="00684F38"/>
    <w:rsid w:val="00685A24"/>
    <w:rsid w:val="00687066"/>
    <w:rsid w:val="00687BE4"/>
    <w:rsid w:val="006903C2"/>
    <w:rsid w:val="006906BA"/>
    <w:rsid w:val="00695DB4"/>
    <w:rsid w:val="00697833"/>
    <w:rsid w:val="006A0960"/>
    <w:rsid w:val="006A211A"/>
    <w:rsid w:val="006A22F0"/>
    <w:rsid w:val="006A2FC2"/>
    <w:rsid w:val="006A40CC"/>
    <w:rsid w:val="006A5A08"/>
    <w:rsid w:val="006A5E40"/>
    <w:rsid w:val="006A67B9"/>
    <w:rsid w:val="006A6C63"/>
    <w:rsid w:val="006B058B"/>
    <w:rsid w:val="006B14A5"/>
    <w:rsid w:val="006B22F1"/>
    <w:rsid w:val="006B31A7"/>
    <w:rsid w:val="006B3706"/>
    <w:rsid w:val="006B3C2F"/>
    <w:rsid w:val="006B404F"/>
    <w:rsid w:val="006B4874"/>
    <w:rsid w:val="006B4B72"/>
    <w:rsid w:val="006B55CC"/>
    <w:rsid w:val="006B66B9"/>
    <w:rsid w:val="006B7666"/>
    <w:rsid w:val="006C11D8"/>
    <w:rsid w:val="006D0A94"/>
    <w:rsid w:val="006D0EAE"/>
    <w:rsid w:val="006D1C49"/>
    <w:rsid w:val="006D2966"/>
    <w:rsid w:val="006D29DF"/>
    <w:rsid w:val="006D4361"/>
    <w:rsid w:val="006D4B16"/>
    <w:rsid w:val="006D6BE9"/>
    <w:rsid w:val="006D6ED3"/>
    <w:rsid w:val="006D7C81"/>
    <w:rsid w:val="006D7E79"/>
    <w:rsid w:val="006E10F6"/>
    <w:rsid w:val="006E174E"/>
    <w:rsid w:val="006E1FCC"/>
    <w:rsid w:val="006E37CD"/>
    <w:rsid w:val="006E3BE8"/>
    <w:rsid w:val="006E458F"/>
    <w:rsid w:val="006E5662"/>
    <w:rsid w:val="006E59C8"/>
    <w:rsid w:val="006E7AE8"/>
    <w:rsid w:val="006F1662"/>
    <w:rsid w:val="006F1BB7"/>
    <w:rsid w:val="006F3726"/>
    <w:rsid w:val="006F6A65"/>
    <w:rsid w:val="00700583"/>
    <w:rsid w:val="007021B0"/>
    <w:rsid w:val="00704064"/>
    <w:rsid w:val="00704200"/>
    <w:rsid w:val="00706F43"/>
    <w:rsid w:val="00707E78"/>
    <w:rsid w:val="00712026"/>
    <w:rsid w:val="007126F5"/>
    <w:rsid w:val="00712928"/>
    <w:rsid w:val="00713340"/>
    <w:rsid w:val="00714F50"/>
    <w:rsid w:val="007158F6"/>
    <w:rsid w:val="00720461"/>
    <w:rsid w:val="00722BFA"/>
    <w:rsid w:val="0072383B"/>
    <w:rsid w:val="00725376"/>
    <w:rsid w:val="0072609E"/>
    <w:rsid w:val="007270A5"/>
    <w:rsid w:val="00730491"/>
    <w:rsid w:val="0073122D"/>
    <w:rsid w:val="0073193E"/>
    <w:rsid w:val="0073452E"/>
    <w:rsid w:val="007352F6"/>
    <w:rsid w:val="00735497"/>
    <w:rsid w:val="00736E21"/>
    <w:rsid w:val="007435BC"/>
    <w:rsid w:val="007458E4"/>
    <w:rsid w:val="0074614B"/>
    <w:rsid w:val="007508FC"/>
    <w:rsid w:val="00751162"/>
    <w:rsid w:val="00752AB8"/>
    <w:rsid w:val="00752BA6"/>
    <w:rsid w:val="007538B7"/>
    <w:rsid w:val="00753AE5"/>
    <w:rsid w:val="007567E9"/>
    <w:rsid w:val="007569F1"/>
    <w:rsid w:val="00756B9F"/>
    <w:rsid w:val="00756CA2"/>
    <w:rsid w:val="00757AA1"/>
    <w:rsid w:val="00757E21"/>
    <w:rsid w:val="00760523"/>
    <w:rsid w:val="0076083D"/>
    <w:rsid w:val="007611ED"/>
    <w:rsid w:val="00762894"/>
    <w:rsid w:val="0076318F"/>
    <w:rsid w:val="00766D4E"/>
    <w:rsid w:val="00770266"/>
    <w:rsid w:val="007711B6"/>
    <w:rsid w:val="007714A4"/>
    <w:rsid w:val="007721B5"/>
    <w:rsid w:val="007725F6"/>
    <w:rsid w:val="00772EDA"/>
    <w:rsid w:val="007763EA"/>
    <w:rsid w:val="0078085C"/>
    <w:rsid w:val="00780B21"/>
    <w:rsid w:val="007820DB"/>
    <w:rsid w:val="00783279"/>
    <w:rsid w:val="007838B1"/>
    <w:rsid w:val="00784185"/>
    <w:rsid w:val="007846D0"/>
    <w:rsid w:val="007854AB"/>
    <w:rsid w:val="007868EF"/>
    <w:rsid w:val="0079081B"/>
    <w:rsid w:val="00791B16"/>
    <w:rsid w:val="00793B9D"/>
    <w:rsid w:val="0079424E"/>
    <w:rsid w:val="00794B4A"/>
    <w:rsid w:val="0079516F"/>
    <w:rsid w:val="00796490"/>
    <w:rsid w:val="007A0D6B"/>
    <w:rsid w:val="007A10C1"/>
    <w:rsid w:val="007A19A2"/>
    <w:rsid w:val="007A243D"/>
    <w:rsid w:val="007A299C"/>
    <w:rsid w:val="007A43B2"/>
    <w:rsid w:val="007A50CA"/>
    <w:rsid w:val="007A65E5"/>
    <w:rsid w:val="007A697C"/>
    <w:rsid w:val="007A6B07"/>
    <w:rsid w:val="007A7121"/>
    <w:rsid w:val="007A77B1"/>
    <w:rsid w:val="007B0ECE"/>
    <w:rsid w:val="007B0F1F"/>
    <w:rsid w:val="007B30E4"/>
    <w:rsid w:val="007B3951"/>
    <w:rsid w:val="007B4830"/>
    <w:rsid w:val="007B780C"/>
    <w:rsid w:val="007B7A38"/>
    <w:rsid w:val="007C0712"/>
    <w:rsid w:val="007C4B40"/>
    <w:rsid w:val="007C5556"/>
    <w:rsid w:val="007C594B"/>
    <w:rsid w:val="007C62E7"/>
    <w:rsid w:val="007D0C22"/>
    <w:rsid w:val="007D106B"/>
    <w:rsid w:val="007D1AE5"/>
    <w:rsid w:val="007D1B34"/>
    <w:rsid w:val="007D26FD"/>
    <w:rsid w:val="007D2E2F"/>
    <w:rsid w:val="007D3D29"/>
    <w:rsid w:val="007D4FF7"/>
    <w:rsid w:val="007D58C1"/>
    <w:rsid w:val="007D749A"/>
    <w:rsid w:val="007D79A7"/>
    <w:rsid w:val="007E0F09"/>
    <w:rsid w:val="007E143C"/>
    <w:rsid w:val="007E19EF"/>
    <w:rsid w:val="007E3026"/>
    <w:rsid w:val="007E7783"/>
    <w:rsid w:val="007E78E1"/>
    <w:rsid w:val="007F0602"/>
    <w:rsid w:val="007F2832"/>
    <w:rsid w:val="007F3210"/>
    <w:rsid w:val="007F382B"/>
    <w:rsid w:val="007F39F2"/>
    <w:rsid w:val="007F5639"/>
    <w:rsid w:val="007F6824"/>
    <w:rsid w:val="007F6A8C"/>
    <w:rsid w:val="0080213A"/>
    <w:rsid w:val="00802253"/>
    <w:rsid w:val="008028D4"/>
    <w:rsid w:val="00802DAC"/>
    <w:rsid w:val="00804ECD"/>
    <w:rsid w:val="00804FD9"/>
    <w:rsid w:val="00806BF9"/>
    <w:rsid w:val="0080700F"/>
    <w:rsid w:val="008073DC"/>
    <w:rsid w:val="00807814"/>
    <w:rsid w:val="008106B2"/>
    <w:rsid w:val="008108E0"/>
    <w:rsid w:val="00811414"/>
    <w:rsid w:val="008115DB"/>
    <w:rsid w:val="00813522"/>
    <w:rsid w:val="0081466B"/>
    <w:rsid w:val="00814E33"/>
    <w:rsid w:val="008156A3"/>
    <w:rsid w:val="00815FEC"/>
    <w:rsid w:val="00816441"/>
    <w:rsid w:val="00822263"/>
    <w:rsid w:val="00822BDF"/>
    <w:rsid w:val="00823019"/>
    <w:rsid w:val="00823E1F"/>
    <w:rsid w:val="008243E9"/>
    <w:rsid w:val="00826BAC"/>
    <w:rsid w:val="00827DF2"/>
    <w:rsid w:val="0083358F"/>
    <w:rsid w:val="00835C0D"/>
    <w:rsid w:val="00835DE6"/>
    <w:rsid w:val="00835EC5"/>
    <w:rsid w:val="00841E91"/>
    <w:rsid w:val="0084263D"/>
    <w:rsid w:val="008431C7"/>
    <w:rsid w:val="0084419D"/>
    <w:rsid w:val="008459B8"/>
    <w:rsid w:val="00847451"/>
    <w:rsid w:val="00850DA3"/>
    <w:rsid w:val="008519A1"/>
    <w:rsid w:val="00851AF7"/>
    <w:rsid w:val="00853892"/>
    <w:rsid w:val="008569B6"/>
    <w:rsid w:val="008571D3"/>
    <w:rsid w:val="00862A43"/>
    <w:rsid w:val="0086476D"/>
    <w:rsid w:val="00865977"/>
    <w:rsid w:val="008669D6"/>
    <w:rsid w:val="00866C24"/>
    <w:rsid w:val="008675B5"/>
    <w:rsid w:val="00870E87"/>
    <w:rsid w:val="00871717"/>
    <w:rsid w:val="00871D9D"/>
    <w:rsid w:val="0087284F"/>
    <w:rsid w:val="0087346D"/>
    <w:rsid w:val="008742C1"/>
    <w:rsid w:val="0087440A"/>
    <w:rsid w:val="00875D0F"/>
    <w:rsid w:val="008779FB"/>
    <w:rsid w:val="0088058A"/>
    <w:rsid w:val="008811D5"/>
    <w:rsid w:val="00882F6F"/>
    <w:rsid w:val="00884805"/>
    <w:rsid w:val="00885847"/>
    <w:rsid w:val="00885947"/>
    <w:rsid w:val="0089051A"/>
    <w:rsid w:val="00892D18"/>
    <w:rsid w:val="00894A1F"/>
    <w:rsid w:val="00894B2F"/>
    <w:rsid w:val="00894E70"/>
    <w:rsid w:val="008955FF"/>
    <w:rsid w:val="008956D3"/>
    <w:rsid w:val="008971B0"/>
    <w:rsid w:val="00897CC3"/>
    <w:rsid w:val="008A1E1A"/>
    <w:rsid w:val="008A2CB5"/>
    <w:rsid w:val="008A3164"/>
    <w:rsid w:val="008A398C"/>
    <w:rsid w:val="008A3E18"/>
    <w:rsid w:val="008A3F38"/>
    <w:rsid w:val="008A7002"/>
    <w:rsid w:val="008B0A48"/>
    <w:rsid w:val="008B4570"/>
    <w:rsid w:val="008B4739"/>
    <w:rsid w:val="008B6336"/>
    <w:rsid w:val="008B7EF3"/>
    <w:rsid w:val="008C0346"/>
    <w:rsid w:val="008C0842"/>
    <w:rsid w:val="008C4B4A"/>
    <w:rsid w:val="008C52BC"/>
    <w:rsid w:val="008C53DE"/>
    <w:rsid w:val="008C53E6"/>
    <w:rsid w:val="008C54A1"/>
    <w:rsid w:val="008C600B"/>
    <w:rsid w:val="008C677A"/>
    <w:rsid w:val="008D19A8"/>
    <w:rsid w:val="008D2273"/>
    <w:rsid w:val="008D28A3"/>
    <w:rsid w:val="008D372C"/>
    <w:rsid w:val="008D4D09"/>
    <w:rsid w:val="008D54CF"/>
    <w:rsid w:val="008D7401"/>
    <w:rsid w:val="008E1199"/>
    <w:rsid w:val="008E1B8A"/>
    <w:rsid w:val="008E2A62"/>
    <w:rsid w:val="008E3F3C"/>
    <w:rsid w:val="008E4228"/>
    <w:rsid w:val="008E7C32"/>
    <w:rsid w:val="008F2508"/>
    <w:rsid w:val="008F28F8"/>
    <w:rsid w:val="008F2FE3"/>
    <w:rsid w:val="008F35ED"/>
    <w:rsid w:val="008F3DF3"/>
    <w:rsid w:val="008F3F8A"/>
    <w:rsid w:val="008F45CF"/>
    <w:rsid w:val="008F5413"/>
    <w:rsid w:val="008F5AA3"/>
    <w:rsid w:val="008F7E44"/>
    <w:rsid w:val="009023A3"/>
    <w:rsid w:val="00903091"/>
    <w:rsid w:val="0090339B"/>
    <w:rsid w:val="00903EFD"/>
    <w:rsid w:val="00904102"/>
    <w:rsid w:val="00904BBB"/>
    <w:rsid w:val="00904EDA"/>
    <w:rsid w:val="00907A00"/>
    <w:rsid w:val="00911E2A"/>
    <w:rsid w:val="00912497"/>
    <w:rsid w:val="009144AB"/>
    <w:rsid w:val="00916249"/>
    <w:rsid w:val="00916A89"/>
    <w:rsid w:val="0091700E"/>
    <w:rsid w:val="00920675"/>
    <w:rsid w:val="00921C5A"/>
    <w:rsid w:val="00922C52"/>
    <w:rsid w:val="00922E66"/>
    <w:rsid w:val="0092513E"/>
    <w:rsid w:val="00926374"/>
    <w:rsid w:val="0092684F"/>
    <w:rsid w:val="009269DD"/>
    <w:rsid w:val="00930BF5"/>
    <w:rsid w:val="00931866"/>
    <w:rsid w:val="00931F9C"/>
    <w:rsid w:val="009322C6"/>
    <w:rsid w:val="0093407D"/>
    <w:rsid w:val="00934152"/>
    <w:rsid w:val="0093445B"/>
    <w:rsid w:val="00934F49"/>
    <w:rsid w:val="00936DBC"/>
    <w:rsid w:val="009404F0"/>
    <w:rsid w:val="00944020"/>
    <w:rsid w:val="0094426E"/>
    <w:rsid w:val="00944B5E"/>
    <w:rsid w:val="0094500D"/>
    <w:rsid w:val="009452E6"/>
    <w:rsid w:val="00945658"/>
    <w:rsid w:val="009458B2"/>
    <w:rsid w:val="00945B2D"/>
    <w:rsid w:val="00947230"/>
    <w:rsid w:val="009479AC"/>
    <w:rsid w:val="0095192E"/>
    <w:rsid w:val="0095227D"/>
    <w:rsid w:val="00952DC0"/>
    <w:rsid w:val="0095312E"/>
    <w:rsid w:val="009553B4"/>
    <w:rsid w:val="00955D45"/>
    <w:rsid w:val="00956587"/>
    <w:rsid w:val="0096091E"/>
    <w:rsid w:val="009634E8"/>
    <w:rsid w:val="00964066"/>
    <w:rsid w:val="00967B56"/>
    <w:rsid w:val="009701B3"/>
    <w:rsid w:val="00971982"/>
    <w:rsid w:val="00971F81"/>
    <w:rsid w:val="009724BE"/>
    <w:rsid w:val="009759C6"/>
    <w:rsid w:val="009770CB"/>
    <w:rsid w:val="0097752E"/>
    <w:rsid w:val="009802C2"/>
    <w:rsid w:val="00980BF5"/>
    <w:rsid w:val="009817F4"/>
    <w:rsid w:val="00981800"/>
    <w:rsid w:val="00981D07"/>
    <w:rsid w:val="009844D6"/>
    <w:rsid w:val="009844DD"/>
    <w:rsid w:val="00984EF4"/>
    <w:rsid w:val="00986193"/>
    <w:rsid w:val="009864F7"/>
    <w:rsid w:val="009868DF"/>
    <w:rsid w:val="00991AC9"/>
    <w:rsid w:val="00991EBD"/>
    <w:rsid w:val="00992017"/>
    <w:rsid w:val="009935F2"/>
    <w:rsid w:val="0099382A"/>
    <w:rsid w:val="00994325"/>
    <w:rsid w:val="00996A0B"/>
    <w:rsid w:val="0099733A"/>
    <w:rsid w:val="00997E17"/>
    <w:rsid w:val="009A05B6"/>
    <w:rsid w:val="009A0BF1"/>
    <w:rsid w:val="009A136B"/>
    <w:rsid w:val="009A1BA0"/>
    <w:rsid w:val="009A2837"/>
    <w:rsid w:val="009A35B1"/>
    <w:rsid w:val="009A4419"/>
    <w:rsid w:val="009A62A4"/>
    <w:rsid w:val="009A6E45"/>
    <w:rsid w:val="009A6E8A"/>
    <w:rsid w:val="009B0964"/>
    <w:rsid w:val="009B1489"/>
    <w:rsid w:val="009B20ED"/>
    <w:rsid w:val="009B25CB"/>
    <w:rsid w:val="009B3005"/>
    <w:rsid w:val="009B3AB2"/>
    <w:rsid w:val="009B420F"/>
    <w:rsid w:val="009B423E"/>
    <w:rsid w:val="009C0222"/>
    <w:rsid w:val="009C19FA"/>
    <w:rsid w:val="009C72B5"/>
    <w:rsid w:val="009C7991"/>
    <w:rsid w:val="009C7A4B"/>
    <w:rsid w:val="009D02FA"/>
    <w:rsid w:val="009D1F72"/>
    <w:rsid w:val="009D2A83"/>
    <w:rsid w:val="009D2B86"/>
    <w:rsid w:val="009D3AF9"/>
    <w:rsid w:val="009D4745"/>
    <w:rsid w:val="009D50BE"/>
    <w:rsid w:val="009D52C3"/>
    <w:rsid w:val="009D5C69"/>
    <w:rsid w:val="009D7A28"/>
    <w:rsid w:val="009E07AB"/>
    <w:rsid w:val="009E131D"/>
    <w:rsid w:val="009E23C2"/>
    <w:rsid w:val="009E284A"/>
    <w:rsid w:val="009E2C17"/>
    <w:rsid w:val="009E5AFE"/>
    <w:rsid w:val="009F0825"/>
    <w:rsid w:val="009F2B29"/>
    <w:rsid w:val="009F2E88"/>
    <w:rsid w:val="009F36EE"/>
    <w:rsid w:val="009F3A50"/>
    <w:rsid w:val="009F5812"/>
    <w:rsid w:val="009F5912"/>
    <w:rsid w:val="009F5CDA"/>
    <w:rsid w:val="009F5D04"/>
    <w:rsid w:val="009F67F8"/>
    <w:rsid w:val="009F6ABF"/>
    <w:rsid w:val="00A0070F"/>
    <w:rsid w:val="00A023A4"/>
    <w:rsid w:val="00A023CE"/>
    <w:rsid w:val="00A023FB"/>
    <w:rsid w:val="00A02900"/>
    <w:rsid w:val="00A037E6"/>
    <w:rsid w:val="00A0390A"/>
    <w:rsid w:val="00A05146"/>
    <w:rsid w:val="00A07454"/>
    <w:rsid w:val="00A11182"/>
    <w:rsid w:val="00A112CA"/>
    <w:rsid w:val="00A12384"/>
    <w:rsid w:val="00A156A7"/>
    <w:rsid w:val="00A16411"/>
    <w:rsid w:val="00A164A0"/>
    <w:rsid w:val="00A16575"/>
    <w:rsid w:val="00A165B4"/>
    <w:rsid w:val="00A167AB"/>
    <w:rsid w:val="00A170CF"/>
    <w:rsid w:val="00A17615"/>
    <w:rsid w:val="00A22636"/>
    <w:rsid w:val="00A306F5"/>
    <w:rsid w:val="00A30D32"/>
    <w:rsid w:val="00A3199D"/>
    <w:rsid w:val="00A3474D"/>
    <w:rsid w:val="00A3486B"/>
    <w:rsid w:val="00A36255"/>
    <w:rsid w:val="00A406DA"/>
    <w:rsid w:val="00A4518B"/>
    <w:rsid w:val="00A4733E"/>
    <w:rsid w:val="00A477D9"/>
    <w:rsid w:val="00A545B0"/>
    <w:rsid w:val="00A56FF4"/>
    <w:rsid w:val="00A57BE2"/>
    <w:rsid w:val="00A57C4C"/>
    <w:rsid w:val="00A57CB7"/>
    <w:rsid w:val="00A617CD"/>
    <w:rsid w:val="00A62870"/>
    <w:rsid w:val="00A62904"/>
    <w:rsid w:val="00A63604"/>
    <w:rsid w:val="00A63E7E"/>
    <w:rsid w:val="00A64AF0"/>
    <w:rsid w:val="00A651C4"/>
    <w:rsid w:val="00A65CC8"/>
    <w:rsid w:val="00A66E0D"/>
    <w:rsid w:val="00A67BF7"/>
    <w:rsid w:val="00A67E39"/>
    <w:rsid w:val="00A704B7"/>
    <w:rsid w:val="00A71C30"/>
    <w:rsid w:val="00A722DD"/>
    <w:rsid w:val="00A72BE3"/>
    <w:rsid w:val="00A73E5A"/>
    <w:rsid w:val="00A74F21"/>
    <w:rsid w:val="00A7555B"/>
    <w:rsid w:val="00A75CFE"/>
    <w:rsid w:val="00A75E18"/>
    <w:rsid w:val="00A80AB0"/>
    <w:rsid w:val="00A81C2F"/>
    <w:rsid w:val="00A81DAD"/>
    <w:rsid w:val="00A83C82"/>
    <w:rsid w:val="00A85F79"/>
    <w:rsid w:val="00A86BE9"/>
    <w:rsid w:val="00A875FE"/>
    <w:rsid w:val="00A9012B"/>
    <w:rsid w:val="00A91343"/>
    <w:rsid w:val="00A91806"/>
    <w:rsid w:val="00A9386A"/>
    <w:rsid w:val="00A957A5"/>
    <w:rsid w:val="00A962DE"/>
    <w:rsid w:val="00A9690F"/>
    <w:rsid w:val="00A971DA"/>
    <w:rsid w:val="00A97229"/>
    <w:rsid w:val="00AA1551"/>
    <w:rsid w:val="00AA1DDC"/>
    <w:rsid w:val="00AA240A"/>
    <w:rsid w:val="00AA257D"/>
    <w:rsid w:val="00AA31E0"/>
    <w:rsid w:val="00AA4F6A"/>
    <w:rsid w:val="00AA4FB3"/>
    <w:rsid w:val="00AA5BEA"/>
    <w:rsid w:val="00AB165F"/>
    <w:rsid w:val="00AB26BC"/>
    <w:rsid w:val="00AB26F0"/>
    <w:rsid w:val="00AB2B92"/>
    <w:rsid w:val="00AB3EBF"/>
    <w:rsid w:val="00AB483C"/>
    <w:rsid w:val="00AB4DD3"/>
    <w:rsid w:val="00AB504F"/>
    <w:rsid w:val="00AB65AB"/>
    <w:rsid w:val="00AB7EC7"/>
    <w:rsid w:val="00AC2D4C"/>
    <w:rsid w:val="00AC2E44"/>
    <w:rsid w:val="00AC37D5"/>
    <w:rsid w:val="00AC3BA0"/>
    <w:rsid w:val="00AC463D"/>
    <w:rsid w:val="00AC6710"/>
    <w:rsid w:val="00AC7459"/>
    <w:rsid w:val="00AD00F0"/>
    <w:rsid w:val="00AD12EB"/>
    <w:rsid w:val="00AD173E"/>
    <w:rsid w:val="00AD1D89"/>
    <w:rsid w:val="00AD502B"/>
    <w:rsid w:val="00AD7F21"/>
    <w:rsid w:val="00AE052E"/>
    <w:rsid w:val="00AE08B2"/>
    <w:rsid w:val="00AE0B7C"/>
    <w:rsid w:val="00AE1672"/>
    <w:rsid w:val="00AE30FB"/>
    <w:rsid w:val="00AE70EF"/>
    <w:rsid w:val="00AE7143"/>
    <w:rsid w:val="00AE76A5"/>
    <w:rsid w:val="00AE7CA6"/>
    <w:rsid w:val="00AF0D92"/>
    <w:rsid w:val="00AF10CD"/>
    <w:rsid w:val="00AF21D3"/>
    <w:rsid w:val="00AF43D4"/>
    <w:rsid w:val="00AF5039"/>
    <w:rsid w:val="00AF592C"/>
    <w:rsid w:val="00AF6E4C"/>
    <w:rsid w:val="00AF76D4"/>
    <w:rsid w:val="00B00562"/>
    <w:rsid w:val="00B036C5"/>
    <w:rsid w:val="00B06E3F"/>
    <w:rsid w:val="00B07B6D"/>
    <w:rsid w:val="00B100B5"/>
    <w:rsid w:val="00B1123C"/>
    <w:rsid w:val="00B11926"/>
    <w:rsid w:val="00B12271"/>
    <w:rsid w:val="00B138E6"/>
    <w:rsid w:val="00B1739C"/>
    <w:rsid w:val="00B208AB"/>
    <w:rsid w:val="00B23304"/>
    <w:rsid w:val="00B23F01"/>
    <w:rsid w:val="00B24B98"/>
    <w:rsid w:val="00B2559C"/>
    <w:rsid w:val="00B266B9"/>
    <w:rsid w:val="00B26FC6"/>
    <w:rsid w:val="00B270FF"/>
    <w:rsid w:val="00B30043"/>
    <w:rsid w:val="00B30826"/>
    <w:rsid w:val="00B34495"/>
    <w:rsid w:val="00B3702F"/>
    <w:rsid w:val="00B37859"/>
    <w:rsid w:val="00B40CED"/>
    <w:rsid w:val="00B4125A"/>
    <w:rsid w:val="00B42A56"/>
    <w:rsid w:val="00B432BC"/>
    <w:rsid w:val="00B4335B"/>
    <w:rsid w:val="00B43C8C"/>
    <w:rsid w:val="00B44005"/>
    <w:rsid w:val="00B44767"/>
    <w:rsid w:val="00B45C52"/>
    <w:rsid w:val="00B50B40"/>
    <w:rsid w:val="00B5149E"/>
    <w:rsid w:val="00B51BC6"/>
    <w:rsid w:val="00B51DC7"/>
    <w:rsid w:val="00B53383"/>
    <w:rsid w:val="00B53615"/>
    <w:rsid w:val="00B53C5C"/>
    <w:rsid w:val="00B55D90"/>
    <w:rsid w:val="00B562C9"/>
    <w:rsid w:val="00B57F52"/>
    <w:rsid w:val="00B61500"/>
    <w:rsid w:val="00B61B2E"/>
    <w:rsid w:val="00B61D6D"/>
    <w:rsid w:val="00B62394"/>
    <w:rsid w:val="00B64A3C"/>
    <w:rsid w:val="00B651D6"/>
    <w:rsid w:val="00B65D25"/>
    <w:rsid w:val="00B670BE"/>
    <w:rsid w:val="00B713D6"/>
    <w:rsid w:val="00B72EB1"/>
    <w:rsid w:val="00B73671"/>
    <w:rsid w:val="00B7379C"/>
    <w:rsid w:val="00B836F0"/>
    <w:rsid w:val="00B844FF"/>
    <w:rsid w:val="00B84B40"/>
    <w:rsid w:val="00B8630D"/>
    <w:rsid w:val="00B86770"/>
    <w:rsid w:val="00B90C6A"/>
    <w:rsid w:val="00B928C3"/>
    <w:rsid w:val="00B92D91"/>
    <w:rsid w:val="00B9495C"/>
    <w:rsid w:val="00B95C86"/>
    <w:rsid w:val="00B974D0"/>
    <w:rsid w:val="00B97795"/>
    <w:rsid w:val="00B977D7"/>
    <w:rsid w:val="00B97E63"/>
    <w:rsid w:val="00BA0826"/>
    <w:rsid w:val="00BA0891"/>
    <w:rsid w:val="00BA4B50"/>
    <w:rsid w:val="00BA62E3"/>
    <w:rsid w:val="00BA630E"/>
    <w:rsid w:val="00BB0A6F"/>
    <w:rsid w:val="00BB27F0"/>
    <w:rsid w:val="00BB2827"/>
    <w:rsid w:val="00BB30D9"/>
    <w:rsid w:val="00BB42A1"/>
    <w:rsid w:val="00BB57E1"/>
    <w:rsid w:val="00BB6A05"/>
    <w:rsid w:val="00BB6D39"/>
    <w:rsid w:val="00BB79CB"/>
    <w:rsid w:val="00BC0B2B"/>
    <w:rsid w:val="00BC0EE7"/>
    <w:rsid w:val="00BC3F2B"/>
    <w:rsid w:val="00BC42C0"/>
    <w:rsid w:val="00BD18D0"/>
    <w:rsid w:val="00BD1DEC"/>
    <w:rsid w:val="00BD2243"/>
    <w:rsid w:val="00BD2690"/>
    <w:rsid w:val="00BD467C"/>
    <w:rsid w:val="00BD5EA8"/>
    <w:rsid w:val="00BD698D"/>
    <w:rsid w:val="00BD706F"/>
    <w:rsid w:val="00BE118A"/>
    <w:rsid w:val="00BE2397"/>
    <w:rsid w:val="00BE30E7"/>
    <w:rsid w:val="00BE4111"/>
    <w:rsid w:val="00BE5189"/>
    <w:rsid w:val="00BF059E"/>
    <w:rsid w:val="00BF0C55"/>
    <w:rsid w:val="00BF1DE9"/>
    <w:rsid w:val="00BF28F0"/>
    <w:rsid w:val="00BF3412"/>
    <w:rsid w:val="00BF3C0F"/>
    <w:rsid w:val="00BF3F53"/>
    <w:rsid w:val="00BF4A7D"/>
    <w:rsid w:val="00BF4BB1"/>
    <w:rsid w:val="00BF6133"/>
    <w:rsid w:val="00BF713F"/>
    <w:rsid w:val="00BF71E7"/>
    <w:rsid w:val="00C002E0"/>
    <w:rsid w:val="00C00C0C"/>
    <w:rsid w:val="00C0281D"/>
    <w:rsid w:val="00C052E2"/>
    <w:rsid w:val="00C05430"/>
    <w:rsid w:val="00C06BAA"/>
    <w:rsid w:val="00C07BE3"/>
    <w:rsid w:val="00C11B86"/>
    <w:rsid w:val="00C141AD"/>
    <w:rsid w:val="00C15809"/>
    <w:rsid w:val="00C17063"/>
    <w:rsid w:val="00C203D5"/>
    <w:rsid w:val="00C20918"/>
    <w:rsid w:val="00C21517"/>
    <w:rsid w:val="00C22239"/>
    <w:rsid w:val="00C231B3"/>
    <w:rsid w:val="00C23679"/>
    <w:rsid w:val="00C23EA2"/>
    <w:rsid w:val="00C240AE"/>
    <w:rsid w:val="00C2411F"/>
    <w:rsid w:val="00C246A2"/>
    <w:rsid w:val="00C24D2A"/>
    <w:rsid w:val="00C24DA9"/>
    <w:rsid w:val="00C25E47"/>
    <w:rsid w:val="00C322F7"/>
    <w:rsid w:val="00C32541"/>
    <w:rsid w:val="00C32A92"/>
    <w:rsid w:val="00C3504D"/>
    <w:rsid w:val="00C36526"/>
    <w:rsid w:val="00C36E75"/>
    <w:rsid w:val="00C402F3"/>
    <w:rsid w:val="00C41284"/>
    <w:rsid w:val="00C422C4"/>
    <w:rsid w:val="00C43101"/>
    <w:rsid w:val="00C4381E"/>
    <w:rsid w:val="00C44E37"/>
    <w:rsid w:val="00C453A6"/>
    <w:rsid w:val="00C457C5"/>
    <w:rsid w:val="00C461E9"/>
    <w:rsid w:val="00C50424"/>
    <w:rsid w:val="00C50A01"/>
    <w:rsid w:val="00C52BE2"/>
    <w:rsid w:val="00C53E52"/>
    <w:rsid w:val="00C55A9A"/>
    <w:rsid w:val="00C56C4F"/>
    <w:rsid w:val="00C60FCE"/>
    <w:rsid w:val="00C61343"/>
    <w:rsid w:val="00C640F4"/>
    <w:rsid w:val="00C65799"/>
    <w:rsid w:val="00C6770F"/>
    <w:rsid w:val="00C731B9"/>
    <w:rsid w:val="00C74CE8"/>
    <w:rsid w:val="00C7522C"/>
    <w:rsid w:val="00C7661F"/>
    <w:rsid w:val="00C76E73"/>
    <w:rsid w:val="00C82123"/>
    <w:rsid w:val="00C82C49"/>
    <w:rsid w:val="00C82CEF"/>
    <w:rsid w:val="00C85C67"/>
    <w:rsid w:val="00C86C29"/>
    <w:rsid w:val="00C86D7A"/>
    <w:rsid w:val="00C872B8"/>
    <w:rsid w:val="00C9004C"/>
    <w:rsid w:val="00C90545"/>
    <w:rsid w:val="00C910F2"/>
    <w:rsid w:val="00C91112"/>
    <w:rsid w:val="00C91710"/>
    <w:rsid w:val="00C926DE"/>
    <w:rsid w:val="00C93043"/>
    <w:rsid w:val="00C93BE7"/>
    <w:rsid w:val="00C93C50"/>
    <w:rsid w:val="00C93E2F"/>
    <w:rsid w:val="00C94152"/>
    <w:rsid w:val="00C94728"/>
    <w:rsid w:val="00C974FB"/>
    <w:rsid w:val="00C97982"/>
    <w:rsid w:val="00CA10B1"/>
    <w:rsid w:val="00CA15C2"/>
    <w:rsid w:val="00CA2C0A"/>
    <w:rsid w:val="00CA3160"/>
    <w:rsid w:val="00CA5974"/>
    <w:rsid w:val="00CA6FB1"/>
    <w:rsid w:val="00CB133F"/>
    <w:rsid w:val="00CB58ED"/>
    <w:rsid w:val="00CB77B1"/>
    <w:rsid w:val="00CC0087"/>
    <w:rsid w:val="00CC1F33"/>
    <w:rsid w:val="00CC2D19"/>
    <w:rsid w:val="00CC3401"/>
    <w:rsid w:val="00CC35DF"/>
    <w:rsid w:val="00CC5D6F"/>
    <w:rsid w:val="00CC60C1"/>
    <w:rsid w:val="00CD0666"/>
    <w:rsid w:val="00CD0A31"/>
    <w:rsid w:val="00CD105A"/>
    <w:rsid w:val="00CD2A9A"/>
    <w:rsid w:val="00CD5ED1"/>
    <w:rsid w:val="00CD717D"/>
    <w:rsid w:val="00CD76FD"/>
    <w:rsid w:val="00CD778F"/>
    <w:rsid w:val="00CE230E"/>
    <w:rsid w:val="00CE2B48"/>
    <w:rsid w:val="00CE3527"/>
    <w:rsid w:val="00CE3DCC"/>
    <w:rsid w:val="00CE4961"/>
    <w:rsid w:val="00CE5D47"/>
    <w:rsid w:val="00CE6AD0"/>
    <w:rsid w:val="00CE6D73"/>
    <w:rsid w:val="00CF0E9F"/>
    <w:rsid w:val="00CF2479"/>
    <w:rsid w:val="00CF47B7"/>
    <w:rsid w:val="00CF6240"/>
    <w:rsid w:val="00D01A93"/>
    <w:rsid w:val="00D02A90"/>
    <w:rsid w:val="00D03BF9"/>
    <w:rsid w:val="00D03D1B"/>
    <w:rsid w:val="00D044D4"/>
    <w:rsid w:val="00D049C4"/>
    <w:rsid w:val="00D04A7B"/>
    <w:rsid w:val="00D0572B"/>
    <w:rsid w:val="00D072B5"/>
    <w:rsid w:val="00D07A25"/>
    <w:rsid w:val="00D10C5F"/>
    <w:rsid w:val="00D1176B"/>
    <w:rsid w:val="00D11D31"/>
    <w:rsid w:val="00D13349"/>
    <w:rsid w:val="00D14385"/>
    <w:rsid w:val="00D16A83"/>
    <w:rsid w:val="00D173C1"/>
    <w:rsid w:val="00D241DA"/>
    <w:rsid w:val="00D24FDE"/>
    <w:rsid w:val="00D26CE4"/>
    <w:rsid w:val="00D26F9C"/>
    <w:rsid w:val="00D32D0D"/>
    <w:rsid w:val="00D36508"/>
    <w:rsid w:val="00D37841"/>
    <w:rsid w:val="00D4030E"/>
    <w:rsid w:val="00D40FF4"/>
    <w:rsid w:val="00D43403"/>
    <w:rsid w:val="00D439BF"/>
    <w:rsid w:val="00D444B4"/>
    <w:rsid w:val="00D4790F"/>
    <w:rsid w:val="00D504A4"/>
    <w:rsid w:val="00D50C6A"/>
    <w:rsid w:val="00D5121F"/>
    <w:rsid w:val="00D51F20"/>
    <w:rsid w:val="00D53727"/>
    <w:rsid w:val="00D55888"/>
    <w:rsid w:val="00D564F1"/>
    <w:rsid w:val="00D572E3"/>
    <w:rsid w:val="00D60165"/>
    <w:rsid w:val="00D61639"/>
    <w:rsid w:val="00D64834"/>
    <w:rsid w:val="00D657CE"/>
    <w:rsid w:val="00D65A0D"/>
    <w:rsid w:val="00D65AF2"/>
    <w:rsid w:val="00D66FD2"/>
    <w:rsid w:val="00D67554"/>
    <w:rsid w:val="00D710C9"/>
    <w:rsid w:val="00D737B7"/>
    <w:rsid w:val="00D74398"/>
    <w:rsid w:val="00D7554F"/>
    <w:rsid w:val="00D76388"/>
    <w:rsid w:val="00D76ABA"/>
    <w:rsid w:val="00D77E2A"/>
    <w:rsid w:val="00D8097B"/>
    <w:rsid w:val="00D81832"/>
    <w:rsid w:val="00D81AEB"/>
    <w:rsid w:val="00D82A4A"/>
    <w:rsid w:val="00D83778"/>
    <w:rsid w:val="00D84BA6"/>
    <w:rsid w:val="00D865DF"/>
    <w:rsid w:val="00D86BD2"/>
    <w:rsid w:val="00D878BC"/>
    <w:rsid w:val="00D93B64"/>
    <w:rsid w:val="00D93FC9"/>
    <w:rsid w:val="00D96507"/>
    <w:rsid w:val="00D966EC"/>
    <w:rsid w:val="00D97225"/>
    <w:rsid w:val="00D97ADA"/>
    <w:rsid w:val="00DA1032"/>
    <w:rsid w:val="00DA1302"/>
    <w:rsid w:val="00DA425C"/>
    <w:rsid w:val="00DA477C"/>
    <w:rsid w:val="00DA5AED"/>
    <w:rsid w:val="00DA7897"/>
    <w:rsid w:val="00DB0370"/>
    <w:rsid w:val="00DB173F"/>
    <w:rsid w:val="00DB2100"/>
    <w:rsid w:val="00DB4E24"/>
    <w:rsid w:val="00DB4F8D"/>
    <w:rsid w:val="00DB70DF"/>
    <w:rsid w:val="00DC06D8"/>
    <w:rsid w:val="00DC0808"/>
    <w:rsid w:val="00DC172F"/>
    <w:rsid w:val="00DC2135"/>
    <w:rsid w:val="00DC31F0"/>
    <w:rsid w:val="00DC4267"/>
    <w:rsid w:val="00DC4444"/>
    <w:rsid w:val="00DC48A7"/>
    <w:rsid w:val="00DC4FCA"/>
    <w:rsid w:val="00DC5D0C"/>
    <w:rsid w:val="00DC6660"/>
    <w:rsid w:val="00DC7073"/>
    <w:rsid w:val="00DC707F"/>
    <w:rsid w:val="00DC7D41"/>
    <w:rsid w:val="00DD2921"/>
    <w:rsid w:val="00DD3114"/>
    <w:rsid w:val="00DD436A"/>
    <w:rsid w:val="00DD5A84"/>
    <w:rsid w:val="00DD5BEB"/>
    <w:rsid w:val="00DD694A"/>
    <w:rsid w:val="00DE04CE"/>
    <w:rsid w:val="00DE0B92"/>
    <w:rsid w:val="00DE0F1A"/>
    <w:rsid w:val="00DE2D61"/>
    <w:rsid w:val="00DE475F"/>
    <w:rsid w:val="00DE4764"/>
    <w:rsid w:val="00DE7F16"/>
    <w:rsid w:val="00DF0A2D"/>
    <w:rsid w:val="00DF1491"/>
    <w:rsid w:val="00DF14ED"/>
    <w:rsid w:val="00DF196F"/>
    <w:rsid w:val="00DF1CA8"/>
    <w:rsid w:val="00DF4F05"/>
    <w:rsid w:val="00DF5596"/>
    <w:rsid w:val="00DF5696"/>
    <w:rsid w:val="00E002FD"/>
    <w:rsid w:val="00E0438B"/>
    <w:rsid w:val="00E06A8E"/>
    <w:rsid w:val="00E07203"/>
    <w:rsid w:val="00E07D3C"/>
    <w:rsid w:val="00E07E63"/>
    <w:rsid w:val="00E11CC8"/>
    <w:rsid w:val="00E1228B"/>
    <w:rsid w:val="00E128EB"/>
    <w:rsid w:val="00E14B8F"/>
    <w:rsid w:val="00E14F0A"/>
    <w:rsid w:val="00E16B0C"/>
    <w:rsid w:val="00E20B6B"/>
    <w:rsid w:val="00E231E1"/>
    <w:rsid w:val="00E239EF"/>
    <w:rsid w:val="00E23F34"/>
    <w:rsid w:val="00E23FA4"/>
    <w:rsid w:val="00E23FAD"/>
    <w:rsid w:val="00E277E6"/>
    <w:rsid w:val="00E3431D"/>
    <w:rsid w:val="00E34C23"/>
    <w:rsid w:val="00E362DF"/>
    <w:rsid w:val="00E370A1"/>
    <w:rsid w:val="00E40802"/>
    <w:rsid w:val="00E413D3"/>
    <w:rsid w:val="00E419EB"/>
    <w:rsid w:val="00E4324A"/>
    <w:rsid w:val="00E43579"/>
    <w:rsid w:val="00E447ED"/>
    <w:rsid w:val="00E44C61"/>
    <w:rsid w:val="00E459A5"/>
    <w:rsid w:val="00E46123"/>
    <w:rsid w:val="00E46E06"/>
    <w:rsid w:val="00E50F7B"/>
    <w:rsid w:val="00E51B79"/>
    <w:rsid w:val="00E53552"/>
    <w:rsid w:val="00E53B6F"/>
    <w:rsid w:val="00E55965"/>
    <w:rsid w:val="00E574F9"/>
    <w:rsid w:val="00E57D64"/>
    <w:rsid w:val="00E60CE0"/>
    <w:rsid w:val="00E6141E"/>
    <w:rsid w:val="00E61529"/>
    <w:rsid w:val="00E6211D"/>
    <w:rsid w:val="00E62BA1"/>
    <w:rsid w:val="00E63C50"/>
    <w:rsid w:val="00E64196"/>
    <w:rsid w:val="00E64DA9"/>
    <w:rsid w:val="00E66049"/>
    <w:rsid w:val="00E707FA"/>
    <w:rsid w:val="00E7124B"/>
    <w:rsid w:val="00E726BC"/>
    <w:rsid w:val="00E73102"/>
    <w:rsid w:val="00E74C9A"/>
    <w:rsid w:val="00E754E3"/>
    <w:rsid w:val="00E755B9"/>
    <w:rsid w:val="00E77635"/>
    <w:rsid w:val="00E80880"/>
    <w:rsid w:val="00E81274"/>
    <w:rsid w:val="00E81D92"/>
    <w:rsid w:val="00E82250"/>
    <w:rsid w:val="00E828AC"/>
    <w:rsid w:val="00E83A2B"/>
    <w:rsid w:val="00E83DC9"/>
    <w:rsid w:val="00E8558A"/>
    <w:rsid w:val="00E85A47"/>
    <w:rsid w:val="00E877A2"/>
    <w:rsid w:val="00E9027F"/>
    <w:rsid w:val="00E907FB"/>
    <w:rsid w:val="00E91235"/>
    <w:rsid w:val="00E91820"/>
    <w:rsid w:val="00E929D8"/>
    <w:rsid w:val="00E92B0D"/>
    <w:rsid w:val="00E9360D"/>
    <w:rsid w:val="00E94F86"/>
    <w:rsid w:val="00E96054"/>
    <w:rsid w:val="00E979F5"/>
    <w:rsid w:val="00EA0159"/>
    <w:rsid w:val="00EA067C"/>
    <w:rsid w:val="00EA0A88"/>
    <w:rsid w:val="00EA43ED"/>
    <w:rsid w:val="00EA589B"/>
    <w:rsid w:val="00EB1141"/>
    <w:rsid w:val="00EB3821"/>
    <w:rsid w:val="00EB5F66"/>
    <w:rsid w:val="00EB7066"/>
    <w:rsid w:val="00EC065C"/>
    <w:rsid w:val="00EC13C8"/>
    <w:rsid w:val="00EC14A2"/>
    <w:rsid w:val="00EC20ED"/>
    <w:rsid w:val="00EC4F16"/>
    <w:rsid w:val="00EC5823"/>
    <w:rsid w:val="00EC6605"/>
    <w:rsid w:val="00EC6E70"/>
    <w:rsid w:val="00ED357D"/>
    <w:rsid w:val="00ED4718"/>
    <w:rsid w:val="00ED4719"/>
    <w:rsid w:val="00ED5B1E"/>
    <w:rsid w:val="00ED616E"/>
    <w:rsid w:val="00ED6AA1"/>
    <w:rsid w:val="00ED6D1D"/>
    <w:rsid w:val="00ED6E8F"/>
    <w:rsid w:val="00ED7E68"/>
    <w:rsid w:val="00ED7E79"/>
    <w:rsid w:val="00EE01AB"/>
    <w:rsid w:val="00EE0A4B"/>
    <w:rsid w:val="00EE0D98"/>
    <w:rsid w:val="00EE3D47"/>
    <w:rsid w:val="00EE3E2B"/>
    <w:rsid w:val="00EE3EE7"/>
    <w:rsid w:val="00EE515D"/>
    <w:rsid w:val="00EE51CF"/>
    <w:rsid w:val="00EE566B"/>
    <w:rsid w:val="00EE60E8"/>
    <w:rsid w:val="00EE7639"/>
    <w:rsid w:val="00EF1045"/>
    <w:rsid w:val="00EF195F"/>
    <w:rsid w:val="00EF43ED"/>
    <w:rsid w:val="00EF6B60"/>
    <w:rsid w:val="00EF74F4"/>
    <w:rsid w:val="00EF7DF5"/>
    <w:rsid w:val="00F024E1"/>
    <w:rsid w:val="00F0272D"/>
    <w:rsid w:val="00F02BA0"/>
    <w:rsid w:val="00F0324D"/>
    <w:rsid w:val="00F0695C"/>
    <w:rsid w:val="00F071A4"/>
    <w:rsid w:val="00F0727B"/>
    <w:rsid w:val="00F07919"/>
    <w:rsid w:val="00F10A70"/>
    <w:rsid w:val="00F119F3"/>
    <w:rsid w:val="00F12092"/>
    <w:rsid w:val="00F138AB"/>
    <w:rsid w:val="00F16B99"/>
    <w:rsid w:val="00F16CB3"/>
    <w:rsid w:val="00F174A3"/>
    <w:rsid w:val="00F204C2"/>
    <w:rsid w:val="00F21C21"/>
    <w:rsid w:val="00F22D9A"/>
    <w:rsid w:val="00F22F0A"/>
    <w:rsid w:val="00F25CDC"/>
    <w:rsid w:val="00F26D51"/>
    <w:rsid w:val="00F31C42"/>
    <w:rsid w:val="00F362C9"/>
    <w:rsid w:val="00F36995"/>
    <w:rsid w:val="00F43C79"/>
    <w:rsid w:val="00F45002"/>
    <w:rsid w:val="00F45366"/>
    <w:rsid w:val="00F45815"/>
    <w:rsid w:val="00F45A95"/>
    <w:rsid w:val="00F465F7"/>
    <w:rsid w:val="00F46F18"/>
    <w:rsid w:val="00F503D7"/>
    <w:rsid w:val="00F51163"/>
    <w:rsid w:val="00F51C20"/>
    <w:rsid w:val="00F5512B"/>
    <w:rsid w:val="00F5707F"/>
    <w:rsid w:val="00F6067C"/>
    <w:rsid w:val="00F6130A"/>
    <w:rsid w:val="00F62152"/>
    <w:rsid w:val="00F62C59"/>
    <w:rsid w:val="00F631BC"/>
    <w:rsid w:val="00F63226"/>
    <w:rsid w:val="00F63A0D"/>
    <w:rsid w:val="00F66099"/>
    <w:rsid w:val="00F66155"/>
    <w:rsid w:val="00F66258"/>
    <w:rsid w:val="00F66746"/>
    <w:rsid w:val="00F7091E"/>
    <w:rsid w:val="00F72178"/>
    <w:rsid w:val="00F726CD"/>
    <w:rsid w:val="00F72E7E"/>
    <w:rsid w:val="00F74300"/>
    <w:rsid w:val="00F76852"/>
    <w:rsid w:val="00F77918"/>
    <w:rsid w:val="00F77CC4"/>
    <w:rsid w:val="00F77FF2"/>
    <w:rsid w:val="00F80EAD"/>
    <w:rsid w:val="00F81283"/>
    <w:rsid w:val="00F81437"/>
    <w:rsid w:val="00F81808"/>
    <w:rsid w:val="00F82556"/>
    <w:rsid w:val="00F82AFA"/>
    <w:rsid w:val="00F83EB6"/>
    <w:rsid w:val="00F8556A"/>
    <w:rsid w:val="00F86D0C"/>
    <w:rsid w:val="00F86E0B"/>
    <w:rsid w:val="00F91246"/>
    <w:rsid w:val="00F92CD1"/>
    <w:rsid w:val="00F94D68"/>
    <w:rsid w:val="00F9613E"/>
    <w:rsid w:val="00F964B8"/>
    <w:rsid w:val="00F9655E"/>
    <w:rsid w:val="00F96FCE"/>
    <w:rsid w:val="00F97945"/>
    <w:rsid w:val="00FA0D4C"/>
    <w:rsid w:val="00FA3527"/>
    <w:rsid w:val="00FA4695"/>
    <w:rsid w:val="00FA4A30"/>
    <w:rsid w:val="00FA6E6A"/>
    <w:rsid w:val="00FA742F"/>
    <w:rsid w:val="00FA7949"/>
    <w:rsid w:val="00FA794A"/>
    <w:rsid w:val="00FB04D2"/>
    <w:rsid w:val="00FB097F"/>
    <w:rsid w:val="00FB178E"/>
    <w:rsid w:val="00FB192C"/>
    <w:rsid w:val="00FB1DAC"/>
    <w:rsid w:val="00FB282B"/>
    <w:rsid w:val="00FB2A78"/>
    <w:rsid w:val="00FB2AFD"/>
    <w:rsid w:val="00FB2F34"/>
    <w:rsid w:val="00FB486B"/>
    <w:rsid w:val="00FB4FA6"/>
    <w:rsid w:val="00FB5AA8"/>
    <w:rsid w:val="00FB5D76"/>
    <w:rsid w:val="00FB6389"/>
    <w:rsid w:val="00FC048C"/>
    <w:rsid w:val="00FC0594"/>
    <w:rsid w:val="00FC25D3"/>
    <w:rsid w:val="00FC29AF"/>
    <w:rsid w:val="00FC2A5A"/>
    <w:rsid w:val="00FC47E6"/>
    <w:rsid w:val="00FC7BCE"/>
    <w:rsid w:val="00FD1C04"/>
    <w:rsid w:val="00FD34FB"/>
    <w:rsid w:val="00FD3986"/>
    <w:rsid w:val="00FD3EE1"/>
    <w:rsid w:val="00FD4380"/>
    <w:rsid w:val="00FD6FE2"/>
    <w:rsid w:val="00FD7D68"/>
    <w:rsid w:val="00FE0A44"/>
    <w:rsid w:val="00FE1F5A"/>
    <w:rsid w:val="00FE2B63"/>
    <w:rsid w:val="00FE3609"/>
    <w:rsid w:val="00FE74F1"/>
    <w:rsid w:val="00FE7ABF"/>
    <w:rsid w:val="00FF092C"/>
    <w:rsid w:val="00FF1A88"/>
    <w:rsid w:val="00FF3EDB"/>
    <w:rsid w:val="00FF451E"/>
    <w:rsid w:val="00FF459F"/>
    <w:rsid w:val="00FF5ED7"/>
    <w:rsid w:val="00FF6D56"/>
    <w:rsid w:val="00FF715F"/>
    <w:rsid w:val="00FF7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63C25C-FB99-4C6C-AA63-067ED1A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70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01FB"/>
    <w:pPr>
      <w:tabs>
        <w:tab w:val="center" w:pos="4153"/>
        <w:tab w:val="right" w:pos="8306"/>
      </w:tabs>
      <w:snapToGrid w:val="0"/>
    </w:pPr>
    <w:rPr>
      <w:sz w:val="20"/>
      <w:szCs w:val="20"/>
    </w:rPr>
  </w:style>
  <w:style w:type="character" w:styleId="a6">
    <w:name w:val="page number"/>
    <w:basedOn w:val="a0"/>
    <w:rsid w:val="005D01FB"/>
  </w:style>
  <w:style w:type="paragraph" w:styleId="a7">
    <w:name w:val="header"/>
    <w:basedOn w:val="a"/>
    <w:link w:val="a8"/>
    <w:uiPriority w:val="99"/>
    <w:rsid w:val="00827DF2"/>
    <w:pPr>
      <w:tabs>
        <w:tab w:val="center" w:pos="4153"/>
        <w:tab w:val="right" w:pos="8306"/>
      </w:tabs>
      <w:snapToGrid w:val="0"/>
    </w:pPr>
    <w:rPr>
      <w:sz w:val="20"/>
      <w:szCs w:val="20"/>
    </w:rPr>
  </w:style>
  <w:style w:type="character" w:customStyle="1" w:styleId="a8">
    <w:name w:val="頁首 字元"/>
    <w:link w:val="a7"/>
    <w:uiPriority w:val="99"/>
    <w:rsid w:val="00827DF2"/>
    <w:rPr>
      <w:kern w:val="2"/>
    </w:rPr>
  </w:style>
  <w:style w:type="paragraph" w:styleId="HTML">
    <w:name w:val="HTML Preformatted"/>
    <w:basedOn w:val="a"/>
    <w:link w:val="HTML0"/>
    <w:uiPriority w:val="99"/>
    <w:rsid w:val="00827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rsid w:val="00827DF2"/>
    <w:rPr>
      <w:rFonts w:ascii="細明體" w:eastAsia="細明體" w:hAnsi="細明體" w:cs="細明體"/>
      <w:color w:val="333333"/>
      <w:sz w:val="24"/>
      <w:szCs w:val="24"/>
    </w:rPr>
  </w:style>
  <w:style w:type="paragraph" w:customStyle="1" w:styleId="Char">
    <w:name w:val="字元 字元 Char"/>
    <w:basedOn w:val="a"/>
    <w:rsid w:val="00183C05"/>
    <w:pPr>
      <w:widowControl/>
      <w:spacing w:after="160" w:line="240" w:lineRule="exact"/>
    </w:pPr>
    <w:rPr>
      <w:rFonts w:ascii="Arial" w:eastAsia="Times New Roman" w:hAnsi="Arial" w:cs="Arial"/>
      <w:kern w:val="0"/>
      <w:sz w:val="20"/>
      <w:szCs w:val="20"/>
      <w:lang w:eastAsia="en-US"/>
    </w:rPr>
  </w:style>
  <w:style w:type="character" w:customStyle="1" w:styleId="a5">
    <w:name w:val="頁尾 字元"/>
    <w:link w:val="a4"/>
    <w:uiPriority w:val="99"/>
    <w:rsid w:val="00B51DC7"/>
    <w:rPr>
      <w:kern w:val="2"/>
    </w:rPr>
  </w:style>
  <w:style w:type="character" w:styleId="a9">
    <w:name w:val="Strong"/>
    <w:uiPriority w:val="22"/>
    <w:qFormat/>
    <w:rsid w:val="00300BBE"/>
    <w:rPr>
      <w:b/>
      <w:bCs/>
    </w:rPr>
  </w:style>
  <w:style w:type="paragraph" w:styleId="aa">
    <w:name w:val="Balloon Text"/>
    <w:basedOn w:val="a"/>
    <w:link w:val="ab"/>
    <w:rsid w:val="007611ED"/>
    <w:rPr>
      <w:rFonts w:ascii="Cambria" w:hAnsi="Cambria"/>
      <w:sz w:val="18"/>
      <w:szCs w:val="18"/>
    </w:rPr>
  </w:style>
  <w:style w:type="character" w:customStyle="1" w:styleId="ab">
    <w:name w:val="註解方塊文字 字元"/>
    <w:link w:val="aa"/>
    <w:rsid w:val="007611ED"/>
    <w:rPr>
      <w:rFonts w:ascii="Cambria" w:eastAsia="新細明體" w:hAnsi="Cambria" w:cs="Times New Roman"/>
      <w:kern w:val="2"/>
      <w:sz w:val="18"/>
      <w:szCs w:val="18"/>
    </w:rPr>
  </w:style>
  <w:style w:type="paragraph" w:styleId="ac">
    <w:name w:val="List Paragraph"/>
    <w:basedOn w:val="a"/>
    <w:uiPriority w:val="34"/>
    <w:qFormat/>
    <w:rsid w:val="003A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933">
      <w:bodyDiv w:val="1"/>
      <w:marLeft w:val="0"/>
      <w:marRight w:val="0"/>
      <w:marTop w:val="0"/>
      <w:marBottom w:val="0"/>
      <w:divBdr>
        <w:top w:val="none" w:sz="0" w:space="0" w:color="auto"/>
        <w:left w:val="none" w:sz="0" w:space="0" w:color="auto"/>
        <w:bottom w:val="none" w:sz="0" w:space="0" w:color="auto"/>
        <w:right w:val="none" w:sz="0" w:space="0" w:color="auto"/>
      </w:divBdr>
    </w:div>
    <w:div w:id="628365100">
      <w:bodyDiv w:val="1"/>
      <w:marLeft w:val="0"/>
      <w:marRight w:val="0"/>
      <w:marTop w:val="0"/>
      <w:marBottom w:val="0"/>
      <w:divBdr>
        <w:top w:val="none" w:sz="0" w:space="0" w:color="auto"/>
        <w:left w:val="none" w:sz="0" w:space="0" w:color="auto"/>
        <w:bottom w:val="none" w:sz="0" w:space="0" w:color="auto"/>
        <w:right w:val="none" w:sz="0" w:space="0" w:color="auto"/>
      </w:divBdr>
    </w:div>
    <w:div w:id="1362515424">
      <w:bodyDiv w:val="1"/>
      <w:marLeft w:val="0"/>
      <w:marRight w:val="0"/>
      <w:marTop w:val="0"/>
      <w:marBottom w:val="0"/>
      <w:divBdr>
        <w:top w:val="none" w:sz="0" w:space="0" w:color="auto"/>
        <w:left w:val="none" w:sz="0" w:space="0" w:color="auto"/>
        <w:bottom w:val="none" w:sz="0" w:space="0" w:color="auto"/>
        <w:right w:val="none" w:sz="0" w:space="0" w:color="auto"/>
      </w:divBdr>
      <w:divsChild>
        <w:div w:id="9154353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114</Words>
  <Characters>650</Characters>
  <Application>Microsoft Office Word</Application>
  <DocSecurity>0</DocSecurity>
  <Lines>5</Lines>
  <Paragraphs>1</Paragraphs>
  <ScaleCrop>false</ScaleCrop>
  <Company>台灣證券交易所股份有限公司</Company>
  <LinksUpToDate>false</LinksUpToDate>
  <CharactersWithSpaces>763</CharactersWithSpaces>
  <SharedDoc>false</SharedDoc>
  <HLinks>
    <vt:vector size="6" baseType="variant">
      <vt:variant>
        <vt:i4>8126578</vt:i4>
      </vt:variant>
      <vt:variant>
        <vt:i4>0</vt:i4>
      </vt:variant>
      <vt:variant>
        <vt:i4>0</vt:i4>
      </vt:variant>
      <vt:variant>
        <vt:i4>5</vt:i4>
      </vt:variant>
      <vt:variant>
        <vt:lpwstr>http://www.selaw.com.tw/Scripts/newsdetail.asp?no=G0100275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新修正條文</dc:title>
  <dc:subject/>
  <dc:creator>0770</dc:creator>
  <cp:keywords/>
  <dc:description/>
  <cp:lastModifiedBy>蔡易展</cp:lastModifiedBy>
  <cp:revision>5</cp:revision>
  <cp:lastPrinted>2017-07-24T07:08:00Z</cp:lastPrinted>
  <dcterms:created xsi:type="dcterms:W3CDTF">2017-07-24T07:19:00Z</dcterms:created>
  <dcterms:modified xsi:type="dcterms:W3CDTF">2017-07-24T07:49:00Z</dcterms:modified>
</cp:coreProperties>
</file>