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06" w:rsidRPr="00FB4106" w:rsidRDefault="00FB4106" w:rsidP="00237EA4">
      <w:pPr>
        <w:spacing w:line="400" w:lineRule="exact"/>
        <w:jc w:val="center"/>
        <w:rPr>
          <w:rFonts w:ascii="標楷體" w:eastAsia="標楷體" w:hAnsi="標楷體"/>
          <w:b/>
          <w:snapToGrid w:val="0"/>
          <w:sz w:val="28"/>
          <w:szCs w:val="28"/>
        </w:rPr>
      </w:pPr>
      <w:r w:rsidRPr="00FB4106">
        <w:rPr>
          <w:rFonts w:ascii="標楷體" w:eastAsia="標楷體" w:hAnsi="標楷體" w:hint="eastAsia"/>
          <w:b/>
          <w:snapToGrid w:val="0"/>
          <w:sz w:val="28"/>
          <w:szCs w:val="28"/>
        </w:rPr>
        <w:t>臺灣證券交易所股份有限公司受益憑證流動量提供者作業要點</w:t>
      </w:r>
    </w:p>
    <w:p w:rsidR="00D77C1C" w:rsidRPr="00FB4106" w:rsidRDefault="00BD5BA7" w:rsidP="00237EA4">
      <w:pPr>
        <w:spacing w:line="400" w:lineRule="exact"/>
        <w:jc w:val="center"/>
        <w:rPr>
          <w:rFonts w:ascii="標楷體" w:eastAsia="標楷體" w:hAnsi="標楷體"/>
          <w:b/>
          <w:snapToGrid w:val="0"/>
          <w:sz w:val="28"/>
          <w:szCs w:val="28"/>
        </w:rPr>
      </w:pPr>
      <w:r w:rsidRPr="00FB4106">
        <w:rPr>
          <w:rFonts w:ascii="標楷體" w:eastAsia="標楷體" w:hAnsi="標楷體" w:hint="eastAsia"/>
          <w:b/>
          <w:snapToGrid w:val="0"/>
          <w:sz w:val="28"/>
          <w:szCs w:val="28"/>
        </w:rPr>
        <w:t>修正條文對照表</w:t>
      </w:r>
    </w:p>
    <w:tbl>
      <w:tblPr>
        <w:tblStyle w:val="a3"/>
        <w:tblW w:w="0" w:type="auto"/>
        <w:tblLook w:val="04A0"/>
      </w:tblPr>
      <w:tblGrid>
        <w:gridCol w:w="3832"/>
        <w:gridCol w:w="3832"/>
        <w:gridCol w:w="3018"/>
      </w:tblGrid>
      <w:tr w:rsidR="00EF4886" w:rsidRPr="001929CD" w:rsidTr="00EF4886">
        <w:tc>
          <w:tcPr>
            <w:tcW w:w="3832" w:type="dxa"/>
          </w:tcPr>
          <w:p w:rsidR="00EF4886" w:rsidRPr="001929CD" w:rsidRDefault="00EF4886" w:rsidP="00237EA4">
            <w:pPr>
              <w:jc w:val="center"/>
              <w:rPr>
                <w:rFonts w:ascii="標楷體" w:eastAsia="標楷體" w:hAnsi="標楷體"/>
                <w:szCs w:val="24"/>
              </w:rPr>
            </w:pPr>
            <w:r w:rsidRPr="001929CD">
              <w:rPr>
                <w:rFonts w:ascii="標楷體" w:eastAsia="標楷體" w:hAnsi="標楷體"/>
                <w:szCs w:val="24"/>
              </w:rPr>
              <w:t>修正條文</w:t>
            </w:r>
          </w:p>
        </w:tc>
        <w:tc>
          <w:tcPr>
            <w:tcW w:w="3832" w:type="dxa"/>
          </w:tcPr>
          <w:p w:rsidR="00EF4886" w:rsidRPr="001929CD" w:rsidRDefault="00EF4886" w:rsidP="00237EA4">
            <w:pPr>
              <w:jc w:val="center"/>
              <w:rPr>
                <w:rFonts w:ascii="標楷體" w:eastAsia="標楷體" w:hAnsi="標楷體"/>
                <w:szCs w:val="24"/>
              </w:rPr>
            </w:pPr>
            <w:r w:rsidRPr="001929CD">
              <w:rPr>
                <w:rFonts w:ascii="標楷體" w:eastAsia="標楷體" w:hAnsi="標楷體" w:hint="eastAsia"/>
                <w:szCs w:val="24"/>
              </w:rPr>
              <w:t>現行</w:t>
            </w:r>
            <w:r w:rsidRPr="001929CD">
              <w:rPr>
                <w:rFonts w:ascii="標楷體" w:eastAsia="標楷體" w:hAnsi="標楷體"/>
                <w:szCs w:val="24"/>
              </w:rPr>
              <w:t>條文</w:t>
            </w:r>
          </w:p>
        </w:tc>
        <w:tc>
          <w:tcPr>
            <w:tcW w:w="3018" w:type="dxa"/>
          </w:tcPr>
          <w:p w:rsidR="00EF4886" w:rsidRPr="001929CD" w:rsidRDefault="00255E52" w:rsidP="00237EA4">
            <w:pPr>
              <w:jc w:val="center"/>
              <w:rPr>
                <w:rFonts w:ascii="標楷體" w:eastAsia="標楷體" w:hAnsi="標楷體"/>
                <w:szCs w:val="24"/>
              </w:rPr>
            </w:pPr>
            <w:r w:rsidRPr="001929CD">
              <w:rPr>
                <w:rFonts w:ascii="標楷體" w:eastAsia="標楷體" w:hAnsi="標楷體"/>
                <w:szCs w:val="24"/>
              </w:rPr>
              <w:t>說明</w:t>
            </w:r>
          </w:p>
        </w:tc>
      </w:tr>
      <w:tr w:rsidR="002B712E" w:rsidRPr="001929CD" w:rsidTr="00EF4886">
        <w:tc>
          <w:tcPr>
            <w:tcW w:w="3832" w:type="dxa"/>
          </w:tcPr>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t>壹、本作業要點依本公司受益憑證買賣辦法第</w:t>
            </w:r>
            <w:r w:rsidR="008C2BDD">
              <w:rPr>
                <w:rFonts w:ascii="標楷體" w:eastAsia="標楷體" w:hAnsi="標楷體" w:hint="eastAsia"/>
                <w:snapToGrid w:val="0"/>
                <w:szCs w:val="24"/>
                <w:u w:val="single"/>
              </w:rPr>
              <w:t>十一</w:t>
            </w:r>
            <w:r w:rsidRPr="001929CD">
              <w:rPr>
                <w:rFonts w:ascii="標楷體" w:eastAsia="標楷體" w:hAnsi="標楷體"/>
                <w:snapToGrid w:val="0"/>
                <w:szCs w:val="24"/>
              </w:rPr>
              <w:t>條訂定之。</w:t>
            </w:r>
          </w:p>
          <w:p w:rsidR="002B712E" w:rsidRPr="001929CD" w:rsidRDefault="002B712E" w:rsidP="002B712E">
            <w:pPr>
              <w:rPr>
                <w:rFonts w:ascii="標楷體" w:eastAsia="標楷體" w:hAnsi="標楷體"/>
                <w:szCs w:val="24"/>
              </w:rPr>
            </w:pPr>
          </w:p>
        </w:tc>
        <w:tc>
          <w:tcPr>
            <w:tcW w:w="3832" w:type="dxa"/>
          </w:tcPr>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t>壹、本作業要點依本公司受益憑證買賣辦法第13條訂定之。</w:t>
            </w:r>
          </w:p>
          <w:p w:rsidR="002B712E" w:rsidRPr="001929CD" w:rsidRDefault="002B712E" w:rsidP="002B712E">
            <w:pPr>
              <w:rPr>
                <w:rFonts w:ascii="標楷體" w:eastAsia="標楷體" w:hAnsi="標楷體"/>
                <w:szCs w:val="24"/>
              </w:rPr>
            </w:pPr>
          </w:p>
        </w:tc>
        <w:tc>
          <w:tcPr>
            <w:tcW w:w="3018" w:type="dxa"/>
          </w:tcPr>
          <w:p w:rsidR="002B712E" w:rsidRPr="001929CD" w:rsidRDefault="00115E5D" w:rsidP="002B712E">
            <w:pPr>
              <w:rPr>
                <w:rFonts w:ascii="標楷體" w:eastAsia="標楷體" w:hAnsi="標楷體"/>
                <w:szCs w:val="24"/>
              </w:rPr>
            </w:pPr>
            <w:r w:rsidRPr="001929CD">
              <w:rPr>
                <w:rFonts w:ascii="標楷體" w:eastAsia="標楷體" w:hAnsi="標楷體"/>
                <w:szCs w:val="24"/>
              </w:rPr>
              <w:t>配合「受益憑證買賣辦法」條次調整</w:t>
            </w:r>
            <w:r w:rsidRPr="001929CD">
              <w:rPr>
                <w:rFonts w:ascii="標楷體" w:eastAsia="標楷體" w:hAnsi="標楷體" w:hint="eastAsia"/>
                <w:szCs w:val="24"/>
              </w:rPr>
              <w:t>，</w:t>
            </w:r>
            <w:proofErr w:type="gramStart"/>
            <w:r w:rsidR="00675366" w:rsidRPr="001929CD">
              <w:rPr>
                <w:rFonts w:ascii="標楷體" w:eastAsia="標楷體" w:hAnsi="標楷體"/>
                <w:szCs w:val="24"/>
              </w:rPr>
              <w:t>酌修文字</w:t>
            </w:r>
            <w:proofErr w:type="gramEnd"/>
            <w:r w:rsidR="009A4921" w:rsidRPr="001929CD">
              <w:rPr>
                <w:rFonts w:ascii="標楷體" w:eastAsia="標楷體" w:hAnsi="標楷體"/>
                <w:szCs w:val="24"/>
              </w:rPr>
              <w:t>。</w:t>
            </w:r>
          </w:p>
        </w:tc>
      </w:tr>
      <w:tr w:rsidR="002B712E" w:rsidRPr="001929CD" w:rsidTr="00627BE4">
        <w:trPr>
          <w:trHeight w:val="6343"/>
        </w:trPr>
        <w:tc>
          <w:tcPr>
            <w:tcW w:w="3832" w:type="dxa"/>
          </w:tcPr>
          <w:p w:rsidR="006D071E" w:rsidRPr="001929CD" w:rsidRDefault="002B712E" w:rsidP="006D071E">
            <w:pPr>
              <w:kinsoku w:val="0"/>
              <w:overflowPunct w:val="0"/>
              <w:autoSpaceDE w:val="0"/>
              <w:autoSpaceDN w:val="0"/>
              <w:adjustRightInd w:val="0"/>
              <w:snapToGrid w:val="0"/>
              <w:ind w:left="602" w:hanging="616"/>
              <w:jc w:val="both"/>
              <w:rPr>
                <w:rFonts w:ascii="標楷體" w:eastAsia="標楷體" w:hAnsi="標楷體"/>
                <w:snapToGrid w:val="0"/>
                <w:szCs w:val="24"/>
                <w:u w:val="single"/>
              </w:rPr>
            </w:pPr>
            <w:r w:rsidRPr="001929CD">
              <w:rPr>
                <w:rFonts w:ascii="標楷體" w:eastAsia="標楷體" w:hAnsi="標楷體"/>
                <w:snapToGrid w:val="0"/>
                <w:szCs w:val="24"/>
              </w:rPr>
              <w:t>貳、</w:t>
            </w:r>
            <w:r w:rsidR="009A4921" w:rsidRPr="001929CD">
              <w:rPr>
                <w:rFonts w:ascii="標楷體" w:eastAsia="標楷體" w:hAnsi="標楷體"/>
                <w:snapToGrid w:val="0"/>
                <w:szCs w:val="24"/>
                <w:u w:val="single"/>
              </w:rPr>
              <w:t>依證券投資信託基金</w:t>
            </w:r>
            <w:r w:rsidR="006D071E" w:rsidRPr="001929CD">
              <w:rPr>
                <w:rFonts w:ascii="標楷體" w:eastAsia="標楷體" w:hAnsi="標楷體"/>
                <w:snapToGrid w:val="0"/>
                <w:szCs w:val="24"/>
                <w:u w:val="single"/>
              </w:rPr>
              <w:t>管理辦法</w:t>
            </w:r>
          </w:p>
          <w:p w:rsidR="002B712E" w:rsidRDefault="006D071E" w:rsidP="00854922">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u w:val="single"/>
              </w:rPr>
              <w:t>或</w:t>
            </w:r>
            <w:r w:rsidR="009A4921" w:rsidRPr="001929CD">
              <w:rPr>
                <w:rFonts w:ascii="標楷體" w:eastAsia="標楷體" w:hAnsi="標楷體"/>
                <w:snapToGrid w:val="0"/>
                <w:szCs w:val="24"/>
                <w:u w:val="single"/>
              </w:rPr>
              <w:t>境外基金管理辦法</w:t>
            </w:r>
            <w:r w:rsidR="009A4921" w:rsidRPr="001929CD">
              <w:rPr>
                <w:rFonts w:ascii="標楷體" w:eastAsia="標楷體" w:hAnsi="標楷體" w:hint="eastAsia"/>
                <w:snapToGrid w:val="0"/>
                <w:szCs w:val="24"/>
                <w:u w:val="single"/>
              </w:rPr>
              <w:t>或期貨信託基金管理辦法募集指數股票型基金</w:t>
            </w:r>
            <w:r w:rsidRPr="001929CD">
              <w:rPr>
                <w:rFonts w:ascii="標楷體" w:eastAsia="標楷體" w:hAnsi="標楷體" w:hint="eastAsia"/>
                <w:snapToGrid w:val="0"/>
                <w:szCs w:val="24"/>
                <w:u w:val="single"/>
              </w:rPr>
              <w:t>（</w:t>
            </w:r>
            <w:r w:rsidR="00F30B27" w:rsidRPr="001929CD">
              <w:rPr>
                <w:rFonts w:ascii="標楷體" w:eastAsia="標楷體" w:hAnsi="標楷體" w:hint="eastAsia"/>
                <w:snapToGrid w:val="0"/>
                <w:szCs w:val="24"/>
                <w:u w:val="single"/>
              </w:rPr>
              <w:t>Exchange Traded Fund，</w:t>
            </w:r>
            <w:r w:rsidRPr="001929CD">
              <w:rPr>
                <w:rFonts w:ascii="標楷體" w:eastAsia="標楷體" w:hAnsi="標楷體" w:hint="eastAsia"/>
                <w:snapToGrid w:val="0"/>
                <w:szCs w:val="24"/>
                <w:u w:val="single"/>
              </w:rPr>
              <w:t>ETF）</w:t>
            </w:r>
            <w:r w:rsidR="009A4921" w:rsidRPr="001929CD">
              <w:rPr>
                <w:rFonts w:ascii="標楷體" w:eastAsia="標楷體" w:hAnsi="標楷體" w:hint="eastAsia"/>
                <w:snapToGrid w:val="0"/>
                <w:szCs w:val="24"/>
                <w:u w:val="single"/>
              </w:rPr>
              <w:t>之證券投資信託事業（以下簡稱投信事業）</w:t>
            </w:r>
            <w:r w:rsidR="008C2BDD">
              <w:rPr>
                <w:rFonts w:ascii="標楷體" w:eastAsia="標楷體" w:hAnsi="標楷體" w:hint="eastAsia"/>
                <w:snapToGrid w:val="0"/>
                <w:szCs w:val="24"/>
                <w:u w:val="single"/>
              </w:rPr>
              <w:t>、</w:t>
            </w:r>
            <w:r w:rsidR="009A4921" w:rsidRPr="001929CD">
              <w:rPr>
                <w:rFonts w:ascii="標楷體" w:eastAsia="標楷體" w:hAnsi="標楷體" w:hint="eastAsia"/>
                <w:snapToGrid w:val="0"/>
                <w:szCs w:val="24"/>
                <w:u w:val="single"/>
              </w:rPr>
              <w:t>期貨信託事業（以下簡稱期信事業）</w:t>
            </w:r>
            <w:r w:rsidRPr="001929CD">
              <w:rPr>
                <w:rFonts w:ascii="標楷體" w:eastAsia="標楷體" w:hAnsi="標楷體" w:hint="eastAsia"/>
                <w:snapToGrid w:val="0"/>
                <w:szCs w:val="24"/>
                <w:u w:val="single"/>
              </w:rPr>
              <w:t>或境外基金管理機構或其指定機構（以下簡稱境外基金機構）</w:t>
            </w:r>
            <w:r w:rsidR="002B712E" w:rsidRPr="001929CD">
              <w:rPr>
                <w:rFonts w:ascii="標楷體" w:eastAsia="標楷體" w:hAnsi="標楷體" w:hint="eastAsia"/>
                <w:snapToGrid w:val="0"/>
                <w:szCs w:val="24"/>
              </w:rPr>
              <w:t>應</w:t>
            </w:r>
            <w:r w:rsidR="002B712E" w:rsidRPr="001929CD">
              <w:rPr>
                <w:rFonts w:ascii="標楷體" w:eastAsia="標楷體" w:hAnsi="標楷體"/>
                <w:snapToGrid w:val="0"/>
                <w:szCs w:val="24"/>
              </w:rPr>
              <w:t>分別選定</w:t>
            </w:r>
            <w:r w:rsidR="006368D6" w:rsidRPr="001929CD">
              <w:rPr>
                <w:rFonts w:ascii="標楷體" w:eastAsia="標楷體" w:hAnsi="標楷體"/>
                <w:snapToGrid w:val="0"/>
                <w:szCs w:val="24"/>
              </w:rPr>
              <w:t>指數股票型基金受益憑證</w:t>
            </w:r>
            <w:r w:rsidR="002B712E" w:rsidRPr="001929CD">
              <w:rPr>
                <w:rFonts w:ascii="標楷體" w:eastAsia="標楷體" w:hAnsi="標楷體"/>
                <w:snapToGrid w:val="0"/>
                <w:szCs w:val="24"/>
              </w:rPr>
              <w:t>（以下均簡稱ETF</w:t>
            </w:r>
            <w:r w:rsidR="00627BE4" w:rsidRPr="001929CD">
              <w:rPr>
                <w:rFonts w:ascii="標楷體" w:eastAsia="標楷體" w:hAnsi="標楷體" w:hint="eastAsia"/>
                <w:u w:val="single"/>
              </w:rPr>
              <w:t>受益憑證</w:t>
            </w:r>
            <w:r w:rsidR="002B712E" w:rsidRPr="001929CD">
              <w:rPr>
                <w:rFonts w:ascii="標楷體" w:eastAsia="標楷體" w:hAnsi="標楷體"/>
                <w:snapToGrid w:val="0"/>
                <w:szCs w:val="24"/>
              </w:rPr>
              <w:t>）之流動量提供者（以下簡稱流動量提供者）</w:t>
            </w:r>
            <w:r w:rsidR="002B712E" w:rsidRPr="001929CD">
              <w:rPr>
                <w:rFonts w:ascii="標楷體" w:eastAsia="標楷體" w:hAnsi="標楷體" w:hint="eastAsia"/>
                <w:snapToGrid w:val="0"/>
                <w:szCs w:val="24"/>
              </w:rPr>
              <w:t>，</w:t>
            </w:r>
            <w:r w:rsidR="002B712E" w:rsidRPr="001929CD">
              <w:rPr>
                <w:rFonts w:ascii="標楷體" w:eastAsia="標楷體" w:hAnsi="標楷體"/>
                <w:snapToGrid w:val="0"/>
                <w:szCs w:val="24"/>
              </w:rPr>
              <w:t>境外基金機構得委任總代理人向本公司函報。</w:t>
            </w:r>
          </w:p>
          <w:p w:rsidR="0069077A" w:rsidRDefault="0069077A" w:rsidP="00854922">
            <w:pPr>
              <w:kinsoku w:val="0"/>
              <w:overflowPunct w:val="0"/>
              <w:autoSpaceDE w:val="0"/>
              <w:autoSpaceDN w:val="0"/>
              <w:adjustRightInd w:val="0"/>
              <w:snapToGrid w:val="0"/>
              <w:ind w:leftChars="200" w:left="480"/>
              <w:jc w:val="both"/>
              <w:rPr>
                <w:rFonts w:ascii="標楷體" w:eastAsia="標楷體" w:hAnsi="標楷體"/>
                <w:snapToGrid w:val="0"/>
                <w:szCs w:val="24"/>
              </w:rPr>
            </w:pPr>
          </w:p>
          <w:p w:rsidR="0069077A" w:rsidRDefault="0069077A" w:rsidP="00854922">
            <w:pPr>
              <w:kinsoku w:val="0"/>
              <w:overflowPunct w:val="0"/>
              <w:autoSpaceDE w:val="0"/>
              <w:autoSpaceDN w:val="0"/>
              <w:adjustRightInd w:val="0"/>
              <w:snapToGrid w:val="0"/>
              <w:ind w:leftChars="200" w:left="480"/>
              <w:jc w:val="both"/>
              <w:rPr>
                <w:rFonts w:ascii="標楷體" w:eastAsia="標楷體" w:hAnsi="標楷體"/>
                <w:snapToGrid w:val="0"/>
                <w:szCs w:val="24"/>
              </w:rPr>
            </w:pPr>
          </w:p>
          <w:p w:rsidR="0069077A" w:rsidRDefault="0069077A" w:rsidP="00854922">
            <w:pPr>
              <w:kinsoku w:val="0"/>
              <w:overflowPunct w:val="0"/>
              <w:autoSpaceDE w:val="0"/>
              <w:autoSpaceDN w:val="0"/>
              <w:adjustRightInd w:val="0"/>
              <w:snapToGrid w:val="0"/>
              <w:ind w:leftChars="200" w:left="480"/>
              <w:jc w:val="both"/>
              <w:rPr>
                <w:rFonts w:ascii="標楷體" w:eastAsia="標楷體" w:hAnsi="標楷體"/>
                <w:snapToGrid w:val="0"/>
                <w:szCs w:val="24"/>
              </w:rPr>
            </w:pPr>
          </w:p>
          <w:p w:rsidR="0069077A" w:rsidRPr="0069077A" w:rsidRDefault="0069077A" w:rsidP="00854922">
            <w:pPr>
              <w:kinsoku w:val="0"/>
              <w:overflowPunct w:val="0"/>
              <w:autoSpaceDE w:val="0"/>
              <w:autoSpaceDN w:val="0"/>
              <w:adjustRightInd w:val="0"/>
              <w:snapToGrid w:val="0"/>
              <w:ind w:leftChars="200" w:left="480"/>
              <w:jc w:val="both"/>
              <w:rPr>
                <w:rFonts w:ascii="標楷體" w:eastAsia="標楷體" w:hAnsi="標楷體"/>
                <w:snapToGrid w:val="0"/>
                <w:szCs w:val="24"/>
              </w:rPr>
            </w:pPr>
          </w:p>
          <w:p w:rsidR="00954337" w:rsidRPr="00954337" w:rsidRDefault="008E0A3F" w:rsidP="008E0A3F">
            <w:pPr>
              <w:kinsoku w:val="0"/>
              <w:overflowPunct w:val="0"/>
              <w:autoSpaceDE w:val="0"/>
              <w:autoSpaceDN w:val="0"/>
              <w:adjustRightInd w:val="0"/>
              <w:snapToGrid w:val="0"/>
              <w:ind w:leftChars="200" w:left="480"/>
              <w:jc w:val="both"/>
              <w:rPr>
                <w:rFonts w:ascii="標楷體" w:eastAsia="標楷體" w:hAnsi="標楷體"/>
                <w:snapToGrid w:val="0"/>
                <w:szCs w:val="24"/>
              </w:rPr>
            </w:pPr>
            <w:r>
              <w:rPr>
                <w:rFonts w:ascii="標楷體" w:eastAsia="標楷體" w:hAnsi="標楷體" w:hint="eastAsia"/>
                <w:snapToGrid w:val="0"/>
                <w:szCs w:val="24"/>
                <w:u w:val="single"/>
              </w:rPr>
              <w:t>投信事業應就其指數股票型證券投資信託基金受益憑證之流動量提供者，選定一家為</w:t>
            </w:r>
            <w:r w:rsidR="00BB70B0">
              <w:rPr>
                <w:rFonts w:ascii="標楷體" w:eastAsia="標楷體" w:hAnsi="標楷體" w:hint="eastAsia"/>
                <w:snapToGrid w:val="0"/>
                <w:szCs w:val="24"/>
                <w:u w:val="single"/>
              </w:rPr>
              <w:t>其</w:t>
            </w:r>
            <w:r w:rsidR="007902DB">
              <w:rPr>
                <w:rFonts w:ascii="標楷體" w:eastAsia="標楷體" w:hAnsi="標楷體" w:hint="eastAsia"/>
                <w:snapToGrid w:val="0"/>
                <w:szCs w:val="24"/>
                <w:u w:val="single"/>
              </w:rPr>
              <w:t>加掛ETF受益憑證</w:t>
            </w:r>
            <w:r w:rsidR="001D02B4">
              <w:rPr>
                <w:rFonts w:ascii="標楷體" w:eastAsia="標楷體" w:hAnsi="標楷體" w:hint="eastAsia"/>
                <w:snapToGrid w:val="0"/>
                <w:szCs w:val="24"/>
                <w:u w:val="single"/>
              </w:rPr>
              <w:t>之</w:t>
            </w:r>
            <w:r>
              <w:rPr>
                <w:rFonts w:ascii="標楷體" w:eastAsia="標楷體" w:hAnsi="標楷體" w:hint="eastAsia"/>
                <w:snapToGrid w:val="0"/>
                <w:szCs w:val="24"/>
                <w:u w:val="single"/>
              </w:rPr>
              <w:t>流動量提供者</w:t>
            </w:r>
            <w:r w:rsidR="007902DB">
              <w:rPr>
                <w:rFonts w:ascii="標楷體" w:eastAsia="標楷體" w:hAnsi="標楷體" w:hint="eastAsia"/>
                <w:snapToGrid w:val="0"/>
                <w:szCs w:val="24"/>
                <w:u w:val="single"/>
              </w:rPr>
              <w:t>。</w:t>
            </w:r>
          </w:p>
        </w:tc>
        <w:tc>
          <w:tcPr>
            <w:tcW w:w="3832" w:type="dxa"/>
          </w:tcPr>
          <w:p w:rsidR="00F90E81" w:rsidRPr="001929CD" w:rsidRDefault="002B712E" w:rsidP="00627BE4">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t>貳、依證券投資信託基金管理辦法</w:t>
            </w:r>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募集指數股票型基金之證券投資信託事業（以下簡稱投信事業）</w:t>
            </w:r>
            <w:r w:rsidRPr="001929CD">
              <w:rPr>
                <w:rFonts w:ascii="標楷體" w:eastAsia="標楷體" w:hAnsi="標楷體" w:hint="eastAsia"/>
                <w:snapToGrid w:val="0"/>
                <w:szCs w:val="24"/>
              </w:rPr>
              <w:t>或依期貨信託基金管理辦法</w:t>
            </w:r>
            <w:r w:rsidRPr="005B1BDC">
              <w:rPr>
                <w:rFonts w:ascii="標楷體" w:eastAsia="標楷體" w:hAnsi="標楷體" w:hint="eastAsia"/>
                <w:snapToGrid w:val="0"/>
                <w:szCs w:val="24"/>
                <w:u w:val="single"/>
              </w:rPr>
              <w:t>募集指數股票型期貨信託基金</w:t>
            </w:r>
            <w:r w:rsidRPr="005B1BDC">
              <w:rPr>
                <w:rFonts w:ascii="標楷體" w:eastAsia="標楷體" w:hAnsi="標楷體"/>
                <w:snapToGrid w:val="0"/>
                <w:szCs w:val="24"/>
                <w:u w:val="single"/>
              </w:rPr>
              <w:t>之</w:t>
            </w:r>
            <w:r w:rsidRPr="001929CD">
              <w:rPr>
                <w:rFonts w:ascii="標楷體" w:eastAsia="標楷體" w:hAnsi="標楷體" w:hint="eastAsia"/>
                <w:snapToGrid w:val="0"/>
                <w:szCs w:val="24"/>
              </w:rPr>
              <w:t>期貨</w:t>
            </w:r>
            <w:r w:rsidRPr="001929CD">
              <w:rPr>
                <w:rFonts w:ascii="標楷體" w:eastAsia="標楷體" w:hAnsi="標楷體"/>
                <w:snapToGrid w:val="0"/>
                <w:szCs w:val="24"/>
              </w:rPr>
              <w:t>信託事業（以下簡稱</w:t>
            </w:r>
            <w:r w:rsidRPr="001929CD">
              <w:rPr>
                <w:rFonts w:ascii="標楷體" w:eastAsia="標楷體" w:hAnsi="標楷體" w:hint="eastAsia"/>
                <w:snapToGrid w:val="0"/>
                <w:szCs w:val="24"/>
              </w:rPr>
              <w:t>期</w:t>
            </w:r>
            <w:r w:rsidRPr="001929CD">
              <w:rPr>
                <w:rFonts w:ascii="標楷體" w:eastAsia="標楷體" w:hAnsi="標楷體"/>
                <w:snapToGrid w:val="0"/>
                <w:szCs w:val="24"/>
              </w:rPr>
              <w:t>信事業）或依境外基金管理辦法</w:t>
            </w:r>
            <w:r w:rsidRPr="005B1BDC">
              <w:rPr>
                <w:rFonts w:ascii="標楷體" w:eastAsia="標楷體" w:hAnsi="標楷體"/>
                <w:snapToGrid w:val="0"/>
                <w:szCs w:val="24"/>
                <w:u w:val="single"/>
              </w:rPr>
              <w:t>募集境外指數股票型基金之</w:t>
            </w:r>
            <w:r w:rsidRPr="001929CD">
              <w:rPr>
                <w:rFonts w:ascii="標楷體" w:eastAsia="標楷體" w:hAnsi="標楷體"/>
                <w:snapToGrid w:val="0"/>
                <w:szCs w:val="24"/>
              </w:rPr>
              <w:t>境外基金管理機構或其指定機構（以下簡稱境外基金機構）</w:t>
            </w:r>
            <w:r w:rsidRPr="001929CD">
              <w:rPr>
                <w:rFonts w:ascii="標楷體" w:eastAsia="標楷體" w:hAnsi="標楷體" w:hint="eastAsia"/>
                <w:snapToGrid w:val="0"/>
                <w:szCs w:val="24"/>
              </w:rPr>
              <w:t>應</w:t>
            </w:r>
            <w:r w:rsidRPr="001929CD">
              <w:rPr>
                <w:rFonts w:ascii="標楷體" w:eastAsia="標楷體" w:hAnsi="標楷體"/>
                <w:snapToGrid w:val="0"/>
                <w:szCs w:val="24"/>
              </w:rPr>
              <w:t>分別選定指數股票型基金受益憑證</w:t>
            </w:r>
            <w:r w:rsidRPr="005B1BDC">
              <w:rPr>
                <w:rFonts w:ascii="標楷體" w:eastAsia="標楷體" w:hAnsi="標楷體" w:hint="eastAsia"/>
                <w:snapToGrid w:val="0"/>
                <w:szCs w:val="24"/>
                <w:u w:val="single"/>
              </w:rPr>
              <w:t>、指數股票型期貨信託基金</w:t>
            </w:r>
            <w:r w:rsidRPr="005B1BDC">
              <w:rPr>
                <w:rFonts w:ascii="標楷體" w:eastAsia="標楷體" w:hAnsi="標楷體"/>
                <w:snapToGrid w:val="0"/>
                <w:szCs w:val="24"/>
                <w:u w:val="single"/>
              </w:rPr>
              <w:t>受益憑證或境外指數股票型基金受益憑證、基金股份或投資單位</w:t>
            </w:r>
            <w:r w:rsidRPr="001929CD">
              <w:rPr>
                <w:rFonts w:ascii="標楷體" w:eastAsia="標楷體" w:hAnsi="標楷體"/>
                <w:snapToGrid w:val="0"/>
                <w:szCs w:val="24"/>
              </w:rPr>
              <w:t>（以下均簡稱 ETF）之流動量提供者（以下簡稱流動量提供者）</w:t>
            </w:r>
            <w:r w:rsidRPr="001929CD">
              <w:rPr>
                <w:rFonts w:ascii="標楷體" w:eastAsia="標楷體" w:hAnsi="標楷體" w:hint="eastAsia"/>
                <w:snapToGrid w:val="0"/>
                <w:szCs w:val="24"/>
              </w:rPr>
              <w:t>，</w:t>
            </w:r>
            <w:r w:rsidRPr="001929CD">
              <w:rPr>
                <w:rFonts w:ascii="標楷體" w:eastAsia="標楷體" w:hAnsi="標楷體"/>
                <w:snapToGrid w:val="0"/>
                <w:szCs w:val="24"/>
              </w:rPr>
              <w:t>境外基金機構得委任總代理人向本公司函報。</w:t>
            </w:r>
          </w:p>
        </w:tc>
        <w:tc>
          <w:tcPr>
            <w:tcW w:w="3018" w:type="dxa"/>
          </w:tcPr>
          <w:p w:rsidR="007A13A9" w:rsidRPr="007902DB" w:rsidRDefault="00954337" w:rsidP="00930952">
            <w:pPr>
              <w:ind w:left="480" w:hangingChars="200" w:hanging="480"/>
              <w:jc w:val="both"/>
              <w:rPr>
                <w:rFonts w:ascii="標楷體" w:eastAsia="標楷體" w:hAnsi="標楷體"/>
              </w:rPr>
            </w:pPr>
            <w:r w:rsidRPr="007902DB">
              <w:rPr>
                <w:rFonts w:ascii="標楷體" w:eastAsia="標楷體" w:hAnsi="標楷體" w:hint="eastAsia"/>
              </w:rPr>
              <w:t>一、</w:t>
            </w:r>
            <w:r w:rsidR="00E4267E" w:rsidRPr="007902DB">
              <w:rPr>
                <w:rFonts w:ascii="標楷體" w:eastAsia="標楷體" w:hAnsi="標楷體" w:hint="eastAsia"/>
              </w:rPr>
              <w:t>配合「受益憑證買賣辦法」第二條</w:t>
            </w:r>
            <w:r w:rsidR="00854922" w:rsidRPr="007902DB">
              <w:rPr>
                <w:rFonts w:ascii="標楷體" w:eastAsia="標楷體" w:hAnsi="標楷體" w:hint="eastAsia"/>
              </w:rPr>
              <w:t>修正，指數股票型基金受益憑證為</w:t>
            </w:r>
            <w:r w:rsidR="008C2BDD" w:rsidRPr="007902DB">
              <w:rPr>
                <w:rFonts w:ascii="標楷體" w:eastAsia="標楷體" w:hAnsi="標楷體" w:hint="eastAsia"/>
              </w:rPr>
              <w:t>ETF</w:t>
            </w:r>
            <w:r w:rsidR="00854922" w:rsidRPr="007902DB">
              <w:rPr>
                <w:rFonts w:ascii="標楷體" w:eastAsia="標楷體" w:hAnsi="標楷體" w:hint="eastAsia"/>
              </w:rPr>
              <w:t>統</w:t>
            </w:r>
            <w:r w:rsidR="007902DB" w:rsidRPr="007902DB">
              <w:rPr>
                <w:rFonts w:ascii="標楷體" w:eastAsia="標楷體" w:hAnsi="標楷體" w:hint="eastAsia"/>
              </w:rPr>
              <w:t>稱</w:t>
            </w:r>
            <w:r w:rsidR="007A13A9" w:rsidRPr="007902DB">
              <w:rPr>
                <w:rFonts w:ascii="標楷體" w:eastAsia="標楷體" w:hAnsi="標楷體"/>
              </w:rPr>
              <w:t>，</w:t>
            </w:r>
            <w:proofErr w:type="gramStart"/>
            <w:r w:rsidR="007A13A9" w:rsidRPr="007902DB">
              <w:rPr>
                <w:rFonts w:ascii="標楷體" w:eastAsia="標楷體" w:hAnsi="標楷體"/>
              </w:rPr>
              <w:t>爰</w:t>
            </w:r>
            <w:r w:rsidR="00854922" w:rsidRPr="007902DB">
              <w:rPr>
                <w:rFonts w:ascii="標楷體" w:eastAsia="標楷體" w:hAnsi="標楷體"/>
              </w:rPr>
              <w:t>酌修</w:t>
            </w:r>
            <w:proofErr w:type="gramEnd"/>
            <w:r w:rsidR="00854922" w:rsidRPr="007902DB">
              <w:rPr>
                <w:rFonts w:ascii="標楷體" w:eastAsia="標楷體" w:hAnsi="標楷體"/>
              </w:rPr>
              <w:t>文字</w:t>
            </w:r>
            <w:r w:rsidR="009E755D" w:rsidRPr="007902DB">
              <w:rPr>
                <w:rFonts w:ascii="標楷體" w:eastAsia="標楷體" w:hAnsi="標楷體" w:hint="eastAsia"/>
              </w:rPr>
              <w:t>。</w:t>
            </w:r>
          </w:p>
          <w:p w:rsidR="00954337" w:rsidRPr="007902DB" w:rsidRDefault="00954337" w:rsidP="00930952">
            <w:pPr>
              <w:ind w:left="480" w:hangingChars="200" w:hanging="480"/>
              <w:jc w:val="both"/>
              <w:rPr>
                <w:rFonts w:ascii="標楷體" w:eastAsia="標楷體" w:hAnsi="標楷體"/>
              </w:rPr>
            </w:pPr>
            <w:r w:rsidRPr="007902DB">
              <w:rPr>
                <w:rFonts w:ascii="標楷體" w:eastAsia="標楷體" w:hAnsi="標楷體" w:hint="eastAsia"/>
              </w:rPr>
              <w:t>二、</w:t>
            </w:r>
            <w:r w:rsidR="007902DB" w:rsidRPr="007902DB">
              <w:rPr>
                <w:rFonts w:ascii="標楷體" w:eastAsia="標楷體" w:hAnsi="標楷體" w:hint="eastAsia"/>
              </w:rPr>
              <w:t>考量被加掛</w:t>
            </w:r>
            <w:r w:rsidRPr="007902DB">
              <w:rPr>
                <w:rFonts w:ascii="標楷體" w:eastAsia="標楷體" w:hAnsi="標楷體" w:hint="eastAsia"/>
              </w:rPr>
              <w:t>ETF受益憑證及加掛</w:t>
            </w:r>
            <w:r w:rsidR="00E44F35" w:rsidRPr="007902DB">
              <w:rPr>
                <w:rFonts w:ascii="標楷體" w:eastAsia="標楷體" w:hAnsi="標楷體"/>
              </w:rPr>
              <w:t>ETF</w:t>
            </w:r>
            <w:r w:rsidR="00E44F35" w:rsidRPr="007902DB">
              <w:rPr>
                <w:rFonts w:ascii="標楷體" w:eastAsia="標楷體" w:hAnsi="標楷體" w:hint="eastAsia"/>
              </w:rPr>
              <w:t>受益憑證</w:t>
            </w:r>
            <w:r w:rsidR="007902DB" w:rsidRPr="007902DB">
              <w:rPr>
                <w:rFonts w:ascii="標楷體" w:eastAsia="標楷體" w:hAnsi="標楷體" w:hint="eastAsia"/>
              </w:rPr>
              <w:t>有相同流動量提供者時，較能提昇加掛ETF受益憑證</w:t>
            </w:r>
            <w:r w:rsidR="00E44F35" w:rsidRPr="007902DB">
              <w:rPr>
                <w:rFonts w:ascii="標楷體" w:eastAsia="標楷體" w:hAnsi="標楷體" w:hint="eastAsia"/>
              </w:rPr>
              <w:t>之流動性</w:t>
            </w:r>
            <w:r w:rsidR="007902DB" w:rsidRPr="007902DB">
              <w:rPr>
                <w:rFonts w:ascii="標楷體" w:eastAsia="標楷體" w:hAnsi="標楷體" w:hint="eastAsia"/>
              </w:rPr>
              <w:t>，</w:t>
            </w:r>
            <w:proofErr w:type="gramStart"/>
            <w:r w:rsidRPr="007902DB">
              <w:rPr>
                <w:rFonts w:ascii="標楷體" w:eastAsia="標楷體" w:hAnsi="標楷體" w:hint="eastAsia"/>
              </w:rPr>
              <w:t>爰</w:t>
            </w:r>
            <w:proofErr w:type="gramEnd"/>
            <w:r w:rsidRPr="007902DB">
              <w:rPr>
                <w:rFonts w:ascii="標楷體" w:eastAsia="標楷體" w:hAnsi="標楷體" w:hint="eastAsia"/>
              </w:rPr>
              <w:t>新增第二項。</w:t>
            </w:r>
          </w:p>
          <w:p w:rsidR="005B1BDC" w:rsidRPr="005B1BDC" w:rsidRDefault="005B1BDC" w:rsidP="005B1BDC">
            <w:pPr>
              <w:ind w:left="480" w:hangingChars="200" w:hanging="480"/>
              <w:rPr>
                <w:rFonts w:ascii="標楷體" w:eastAsia="標楷體" w:hAnsi="標楷體"/>
              </w:rPr>
            </w:pPr>
          </w:p>
          <w:p w:rsidR="002B712E" w:rsidRPr="007902DB" w:rsidRDefault="002B712E" w:rsidP="006D071E">
            <w:pPr>
              <w:rPr>
                <w:rFonts w:ascii="標楷體" w:eastAsia="標楷體" w:hAnsi="標楷體"/>
                <w:szCs w:val="24"/>
              </w:rPr>
            </w:pPr>
          </w:p>
        </w:tc>
      </w:tr>
      <w:tr w:rsidR="002B712E" w:rsidRPr="001929CD" w:rsidTr="00EF4886">
        <w:tc>
          <w:tcPr>
            <w:tcW w:w="3832" w:type="dxa"/>
          </w:tcPr>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t>參、流動量提供者須具備下列條件：</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一、流動量提供者須具備辦理ETF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申購、買回業務之參與證券商資格且具備證券自營業務之證券商。</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二、經本公司核可得經營ETF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流動量提供業務者。</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三、與發行ETF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之投信事業</w:t>
            </w:r>
            <w:r w:rsidRPr="001929CD">
              <w:rPr>
                <w:rFonts w:ascii="標楷體" w:eastAsia="標楷體" w:hAnsi="標楷體" w:hint="eastAsia"/>
                <w:snapToGrid w:val="0"/>
                <w:szCs w:val="24"/>
              </w:rPr>
              <w:t>、</w:t>
            </w:r>
            <w:proofErr w:type="gramStart"/>
            <w:r w:rsidRPr="001929CD">
              <w:rPr>
                <w:rFonts w:ascii="標楷體" w:eastAsia="標楷體" w:hAnsi="標楷體" w:hint="eastAsia"/>
                <w:snapToGrid w:val="0"/>
                <w:szCs w:val="24"/>
              </w:rPr>
              <w:t>期信事業</w:t>
            </w:r>
            <w:proofErr w:type="gramEnd"/>
            <w:r w:rsidRPr="001929CD">
              <w:rPr>
                <w:rFonts w:ascii="標楷體" w:eastAsia="標楷體" w:hAnsi="標楷體"/>
                <w:snapToGrid w:val="0"/>
                <w:szCs w:val="24"/>
              </w:rPr>
              <w:t>或境外基金機構簽定提供ETF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市場流動量之契約（以下簡稱提</w:t>
            </w:r>
            <w:r w:rsidRPr="001929CD">
              <w:rPr>
                <w:rFonts w:ascii="標楷體" w:eastAsia="標楷體" w:hAnsi="標楷體"/>
                <w:snapToGrid w:val="0"/>
                <w:szCs w:val="24"/>
              </w:rPr>
              <w:lastRenderedPageBreak/>
              <w:t>供市場流動契約）者。</w:t>
            </w:r>
          </w:p>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p>
        </w:tc>
        <w:tc>
          <w:tcPr>
            <w:tcW w:w="3832" w:type="dxa"/>
          </w:tcPr>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參、流動量提供者須具備下列條件：</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一、流動量提供者須具備辦理ETF申購、買回業務之參與證券商資格且具備證券自營業務之證券商。</w:t>
            </w:r>
          </w:p>
          <w:p w:rsidR="002B712E"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二、經本公司核可得經營ETF流動量提供業務者。</w:t>
            </w:r>
          </w:p>
          <w:p w:rsidR="000550B7" w:rsidRPr="000550B7" w:rsidRDefault="000550B7"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三、與發行 ETF之投信事業</w:t>
            </w:r>
            <w:r w:rsidRPr="001929CD">
              <w:rPr>
                <w:rFonts w:ascii="標楷體" w:eastAsia="標楷體" w:hAnsi="標楷體" w:hint="eastAsia"/>
                <w:snapToGrid w:val="0"/>
                <w:szCs w:val="24"/>
              </w:rPr>
              <w:t>、</w:t>
            </w:r>
            <w:proofErr w:type="gramStart"/>
            <w:r w:rsidRPr="001929CD">
              <w:rPr>
                <w:rFonts w:ascii="標楷體" w:eastAsia="標楷體" w:hAnsi="標楷體" w:hint="eastAsia"/>
                <w:snapToGrid w:val="0"/>
                <w:szCs w:val="24"/>
              </w:rPr>
              <w:t>期信事業</w:t>
            </w:r>
            <w:proofErr w:type="gramEnd"/>
            <w:r w:rsidRPr="001929CD">
              <w:rPr>
                <w:rFonts w:ascii="標楷體" w:eastAsia="標楷體" w:hAnsi="標楷體"/>
                <w:snapToGrid w:val="0"/>
                <w:szCs w:val="24"/>
              </w:rPr>
              <w:t>或境外基金機構簽定提供ETF市場流動量之契約（以下簡稱提供市場流動契約）</w:t>
            </w:r>
            <w:r w:rsidRPr="001929CD">
              <w:rPr>
                <w:rFonts w:ascii="標楷體" w:eastAsia="標楷體" w:hAnsi="標楷體"/>
                <w:snapToGrid w:val="0"/>
                <w:szCs w:val="24"/>
              </w:rPr>
              <w:lastRenderedPageBreak/>
              <w:t>者。</w:t>
            </w:r>
          </w:p>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p>
        </w:tc>
        <w:tc>
          <w:tcPr>
            <w:tcW w:w="3018" w:type="dxa"/>
          </w:tcPr>
          <w:p w:rsidR="00AE4503" w:rsidRPr="001929CD" w:rsidRDefault="00AE4503" w:rsidP="00AE4503">
            <w:pPr>
              <w:rPr>
                <w:rFonts w:ascii="標楷體" w:eastAsia="標楷體" w:hAnsi="標楷體"/>
              </w:rPr>
            </w:pPr>
            <w:proofErr w:type="gramStart"/>
            <w:r w:rsidRPr="001929CD">
              <w:rPr>
                <w:rFonts w:ascii="標楷體" w:eastAsia="標楷體" w:hAnsi="標楷體" w:hint="eastAsia"/>
              </w:rPr>
              <w:lastRenderedPageBreak/>
              <w:t>酌修文字</w:t>
            </w:r>
            <w:proofErr w:type="gramEnd"/>
            <w:r w:rsidRPr="001929CD">
              <w:rPr>
                <w:rFonts w:ascii="標楷體" w:eastAsia="標楷體" w:hAnsi="標楷體" w:hint="eastAsia"/>
              </w:rPr>
              <w:t>。</w:t>
            </w:r>
          </w:p>
          <w:p w:rsidR="002B712E" w:rsidRPr="001929CD" w:rsidRDefault="002B712E" w:rsidP="002B712E">
            <w:pPr>
              <w:rPr>
                <w:rFonts w:ascii="標楷體" w:eastAsia="標楷體" w:hAnsi="標楷體"/>
                <w:szCs w:val="24"/>
              </w:rPr>
            </w:pPr>
          </w:p>
        </w:tc>
      </w:tr>
      <w:tr w:rsidR="002B712E" w:rsidRPr="001929CD" w:rsidTr="00EF4886">
        <w:tc>
          <w:tcPr>
            <w:tcW w:w="3832" w:type="dxa"/>
          </w:tcPr>
          <w:p w:rsidR="00F90E81" w:rsidRPr="001929CD" w:rsidRDefault="002B712E" w:rsidP="00657820">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肆、流動量提供者未符合下列情形</w:t>
            </w:r>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之</w:t>
            </w:r>
            <w:proofErr w:type="gramStart"/>
            <w:r w:rsidRPr="001929CD">
              <w:rPr>
                <w:rFonts w:ascii="標楷體" w:eastAsia="標楷體" w:hAnsi="標楷體"/>
                <w:snapToGrid w:val="0"/>
                <w:szCs w:val="24"/>
              </w:rPr>
              <w:t>一</w:t>
            </w:r>
            <w:proofErr w:type="gramEnd"/>
            <w:r w:rsidRPr="001929CD">
              <w:rPr>
                <w:rFonts w:ascii="標楷體" w:eastAsia="標楷體" w:hAnsi="標楷體"/>
                <w:snapToGrid w:val="0"/>
                <w:szCs w:val="24"/>
              </w:rPr>
              <w:t>者，本公司得不同意其經營ETF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流動量提供業務</w:t>
            </w:r>
            <w:r w:rsidRPr="001929CD">
              <w:rPr>
                <w:rFonts w:ascii="標楷體" w:eastAsia="標楷體" w:hAnsi="標楷體" w:hint="eastAsia"/>
                <w:snapToGrid w:val="0"/>
                <w:szCs w:val="24"/>
              </w:rPr>
              <w:t>。但不符第二款至第六款之條件，惟其情事已具體改善，並經主管機關認可者，得不受其限制</w:t>
            </w:r>
            <w:r w:rsidRPr="001929CD">
              <w:rPr>
                <w:rFonts w:ascii="標楷體" w:eastAsia="標楷體" w:hAnsi="標楷體"/>
                <w:snapToGrid w:val="0"/>
                <w:szCs w:val="24"/>
              </w:rPr>
              <w:t>：</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一、最近期經會計師查核簽證之財務報告每股淨值不低於票面金額，且財務狀況符合證券商管理規則之規定。</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二、最近三個月未曾受主管機關依證券交易法第六十六條第一款所為之警告處分。</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三、最近半年未曾受主管機關命令該證券商解除其董事、監察人或經理人職務處分，或撤換其負責人或其他有關人員之處分。</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四、最近一年未曾受主管機關為停業之處分。</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五、最近二年未曾受主管機關撤銷部分營業許可之處分。</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六、最近一年未曾受證券交易所、證券櫃檯買賣中心或臺灣期貨交易股份有限公司所依其章則為處以停止或限制買賣之處置。</w:t>
            </w:r>
          </w:p>
          <w:p w:rsidR="002B712E" w:rsidRPr="001929CD" w:rsidRDefault="006D77F6" w:rsidP="006D77F6">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七、</w:t>
            </w:r>
            <w:r w:rsidR="002B712E" w:rsidRPr="001929CD">
              <w:rPr>
                <w:rFonts w:ascii="標楷體" w:eastAsia="標楷體" w:hAnsi="標楷體"/>
                <w:snapToGrid w:val="0"/>
                <w:szCs w:val="24"/>
              </w:rPr>
              <w:t>其他經主管機關規定應具備之條件。</w:t>
            </w:r>
          </w:p>
        </w:tc>
        <w:tc>
          <w:tcPr>
            <w:tcW w:w="3832" w:type="dxa"/>
          </w:tcPr>
          <w:p w:rsidR="00F90E81"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t>肆、流動量提供者未符合下列情形</w:t>
            </w:r>
          </w:p>
          <w:p w:rsidR="002B712E"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之</w:t>
            </w:r>
            <w:proofErr w:type="gramStart"/>
            <w:r w:rsidRPr="001929CD">
              <w:rPr>
                <w:rFonts w:ascii="標楷體" w:eastAsia="標楷體" w:hAnsi="標楷體"/>
                <w:snapToGrid w:val="0"/>
                <w:szCs w:val="24"/>
              </w:rPr>
              <w:t>一</w:t>
            </w:r>
            <w:proofErr w:type="gramEnd"/>
            <w:r w:rsidRPr="001929CD">
              <w:rPr>
                <w:rFonts w:ascii="標楷體" w:eastAsia="標楷體" w:hAnsi="標楷體"/>
                <w:snapToGrid w:val="0"/>
                <w:szCs w:val="24"/>
              </w:rPr>
              <w:t>者，本公司得不同意其經營ETF流動量提供業務</w:t>
            </w:r>
            <w:r w:rsidRPr="001929CD">
              <w:rPr>
                <w:rFonts w:ascii="標楷體" w:eastAsia="標楷體" w:hAnsi="標楷體" w:hint="eastAsia"/>
                <w:snapToGrid w:val="0"/>
                <w:szCs w:val="24"/>
              </w:rPr>
              <w:t>。但不符第二款至第六款之條件，惟其情事已具體改善，並經主管機關認可者，得不受其限制</w:t>
            </w:r>
            <w:r w:rsidRPr="001929CD">
              <w:rPr>
                <w:rFonts w:ascii="標楷體" w:eastAsia="標楷體" w:hAnsi="標楷體"/>
                <w:snapToGrid w:val="0"/>
                <w:szCs w:val="24"/>
              </w:rPr>
              <w:t>：</w:t>
            </w:r>
          </w:p>
          <w:p w:rsidR="00751EE5" w:rsidRPr="00751EE5" w:rsidRDefault="00751EE5"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一、最近期經會計師查核簽證之財務報告每股淨值不低於票面金額，且財務狀況符合證券商管理規則之規定。</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二、最近三個月未曾受主管機關依證券交易法第六十六條第一款所為之警告處分。</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三、最近半年未曾受主管機關命令該證券商解除其董事、監察人或經理人職務處分，或撤換其負責人或其他有關人員之處分。</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四、最近一年未曾受主管機關為停業之處分。</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五、最近二年未曾受主管機關撤銷部分營業許可之處分。</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六、最近一年未曾受證券交易所、證券櫃檯買賣中心或臺灣期貨交易股份有限公司所依其章則為處以停止或限制買賣之處置。</w:t>
            </w:r>
          </w:p>
          <w:p w:rsidR="002B712E" w:rsidRPr="001929CD" w:rsidRDefault="006D77F6" w:rsidP="006D77F6">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七、</w:t>
            </w:r>
            <w:r w:rsidR="002B712E" w:rsidRPr="001929CD">
              <w:rPr>
                <w:rFonts w:ascii="標楷體" w:eastAsia="標楷體" w:hAnsi="標楷體"/>
                <w:snapToGrid w:val="0"/>
                <w:szCs w:val="24"/>
              </w:rPr>
              <w:t>其他經主管機關規定應具備之條件。</w:t>
            </w:r>
          </w:p>
        </w:tc>
        <w:tc>
          <w:tcPr>
            <w:tcW w:w="3018" w:type="dxa"/>
          </w:tcPr>
          <w:p w:rsidR="00AE4503" w:rsidRPr="001929CD" w:rsidRDefault="00AE4503" w:rsidP="00AE4503">
            <w:pPr>
              <w:rPr>
                <w:rFonts w:ascii="標楷體" w:eastAsia="標楷體" w:hAnsi="標楷體"/>
              </w:rPr>
            </w:pPr>
            <w:proofErr w:type="gramStart"/>
            <w:r w:rsidRPr="001929CD">
              <w:rPr>
                <w:rFonts w:ascii="標楷體" w:eastAsia="標楷體" w:hAnsi="標楷體" w:hint="eastAsia"/>
              </w:rPr>
              <w:t>酌修文字</w:t>
            </w:r>
            <w:proofErr w:type="gramEnd"/>
            <w:r w:rsidRPr="001929CD">
              <w:rPr>
                <w:rFonts w:ascii="標楷體" w:eastAsia="標楷體" w:hAnsi="標楷體" w:hint="eastAsia"/>
              </w:rPr>
              <w:t>。</w:t>
            </w:r>
          </w:p>
          <w:p w:rsidR="002B712E" w:rsidRPr="001929CD" w:rsidRDefault="002B712E" w:rsidP="002B712E">
            <w:pPr>
              <w:rPr>
                <w:rFonts w:ascii="標楷體" w:eastAsia="標楷體" w:hAnsi="標楷體"/>
                <w:szCs w:val="24"/>
              </w:rPr>
            </w:pPr>
          </w:p>
        </w:tc>
      </w:tr>
      <w:tr w:rsidR="002B712E" w:rsidRPr="001929CD" w:rsidTr="00EF4886">
        <w:tc>
          <w:tcPr>
            <w:tcW w:w="3832" w:type="dxa"/>
          </w:tcPr>
          <w:p w:rsidR="00F90E81" w:rsidRPr="001929CD" w:rsidRDefault="002B712E" w:rsidP="00657820">
            <w:pPr>
              <w:kinsoku w:val="0"/>
              <w:overflowPunct w:val="0"/>
              <w:autoSpaceDE w:val="0"/>
              <w:autoSpaceDN w:val="0"/>
              <w:adjustRightInd w:val="0"/>
              <w:snapToGrid w:val="0"/>
              <w:ind w:left="602" w:hanging="616"/>
              <w:jc w:val="both"/>
              <w:rPr>
                <w:rFonts w:ascii="標楷體" w:eastAsia="標楷體" w:hAnsi="標楷體"/>
                <w:u w:val="single"/>
              </w:rPr>
            </w:pPr>
            <w:r w:rsidRPr="001929CD">
              <w:rPr>
                <w:rFonts w:ascii="標楷體" w:eastAsia="標楷體" w:hAnsi="標楷體"/>
                <w:snapToGrid w:val="0"/>
                <w:szCs w:val="24"/>
              </w:rPr>
              <w:t>伍、流動量提供者</w:t>
            </w:r>
            <w:r w:rsidRPr="001929CD">
              <w:rPr>
                <w:rFonts w:ascii="標楷體" w:eastAsia="標楷體" w:hAnsi="標楷體" w:hint="eastAsia"/>
                <w:snapToGrid w:val="0"/>
                <w:szCs w:val="24"/>
              </w:rPr>
              <w:t>應開立</w:t>
            </w:r>
            <w:r w:rsidRPr="001929CD">
              <w:rPr>
                <w:rFonts w:ascii="標楷體" w:eastAsia="標楷體" w:hAnsi="標楷體"/>
                <w:snapToGrid w:val="0"/>
                <w:szCs w:val="24"/>
              </w:rPr>
              <w:t>ETF</w:t>
            </w:r>
            <w:r w:rsidR="00627BE4" w:rsidRPr="001929CD">
              <w:rPr>
                <w:rFonts w:ascii="標楷體" w:eastAsia="標楷體" w:hAnsi="標楷體" w:hint="eastAsia"/>
                <w:u w:val="single"/>
              </w:rPr>
              <w:t>受益憑</w:t>
            </w:r>
          </w:p>
          <w:p w:rsidR="002B712E" w:rsidRPr="001929CD" w:rsidRDefault="00627BE4"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proofErr w:type="gramStart"/>
            <w:r w:rsidRPr="001929CD">
              <w:rPr>
                <w:rFonts w:ascii="標楷體" w:eastAsia="標楷體" w:hAnsi="標楷體" w:hint="eastAsia"/>
                <w:u w:val="single"/>
              </w:rPr>
              <w:t>證</w:t>
            </w:r>
            <w:r w:rsidR="002B712E" w:rsidRPr="001929CD">
              <w:rPr>
                <w:rFonts w:ascii="標楷體" w:eastAsia="標楷體" w:hAnsi="標楷體"/>
                <w:snapToGrid w:val="0"/>
                <w:szCs w:val="24"/>
              </w:rPr>
              <w:t>專戶</w:t>
            </w:r>
            <w:proofErr w:type="gramEnd"/>
            <w:r w:rsidR="002B712E" w:rsidRPr="001929CD">
              <w:rPr>
                <w:rFonts w:ascii="標楷體" w:eastAsia="標楷體" w:hAnsi="標楷體"/>
                <w:snapToGrid w:val="0"/>
                <w:szCs w:val="24"/>
              </w:rPr>
              <w:t>（自營商帳號下之七七七七七七～七）</w:t>
            </w:r>
            <w:r w:rsidR="002B712E" w:rsidRPr="001929CD">
              <w:rPr>
                <w:rFonts w:ascii="標楷體" w:eastAsia="標楷體" w:hAnsi="標楷體" w:hint="eastAsia"/>
                <w:snapToGrid w:val="0"/>
                <w:szCs w:val="24"/>
              </w:rPr>
              <w:t>，為提供</w:t>
            </w:r>
            <w:r w:rsidR="002B712E" w:rsidRPr="001929CD">
              <w:rPr>
                <w:rFonts w:ascii="標楷體" w:eastAsia="標楷體" w:hAnsi="標楷體"/>
                <w:snapToGrid w:val="0"/>
                <w:szCs w:val="24"/>
              </w:rPr>
              <w:t>流動量之買賣申報</w:t>
            </w:r>
            <w:r w:rsidR="002B712E" w:rsidRPr="001929CD">
              <w:rPr>
                <w:rFonts w:ascii="標楷體" w:eastAsia="標楷體" w:hAnsi="標楷體" w:hint="eastAsia"/>
                <w:snapToGrid w:val="0"/>
                <w:szCs w:val="24"/>
              </w:rPr>
              <w:t>。</w:t>
            </w:r>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流動量提供者</w:t>
            </w:r>
            <w:r w:rsidRPr="001929CD">
              <w:rPr>
                <w:rFonts w:ascii="標楷體" w:eastAsia="標楷體" w:hAnsi="標楷體" w:hint="eastAsia"/>
                <w:snapToGrid w:val="0"/>
                <w:szCs w:val="24"/>
              </w:rPr>
              <w:t>為</w:t>
            </w:r>
            <w:r w:rsidRPr="001929CD">
              <w:rPr>
                <w:rFonts w:ascii="標楷體" w:eastAsia="標楷體" w:hAnsi="標楷體"/>
                <w:snapToGrid w:val="0"/>
                <w:szCs w:val="24"/>
              </w:rPr>
              <w:t>提供流動量</w:t>
            </w:r>
            <w:r w:rsidRPr="001929CD">
              <w:rPr>
                <w:rFonts w:ascii="標楷體" w:eastAsia="標楷體" w:hAnsi="標楷體" w:hint="eastAsia"/>
                <w:snapToGrid w:val="0"/>
                <w:szCs w:val="24"/>
              </w:rPr>
              <w:t>之</w:t>
            </w:r>
            <w:r w:rsidRPr="001929CD">
              <w:rPr>
                <w:rFonts w:ascii="標楷體" w:eastAsia="標楷體" w:hAnsi="標楷體"/>
                <w:snapToGrid w:val="0"/>
                <w:szCs w:val="24"/>
              </w:rPr>
              <w:t>避險</w:t>
            </w:r>
            <w:r w:rsidRPr="001929CD">
              <w:rPr>
                <w:rFonts w:ascii="標楷體" w:eastAsia="標楷體" w:hAnsi="標楷體" w:hint="eastAsia"/>
                <w:snapToGrid w:val="0"/>
                <w:szCs w:val="24"/>
              </w:rPr>
              <w:t>需求，得開立</w:t>
            </w:r>
            <w:r w:rsidRPr="001929CD">
              <w:rPr>
                <w:rFonts w:ascii="標楷體" w:eastAsia="標楷體" w:hAnsi="標楷體"/>
                <w:snapToGrid w:val="0"/>
                <w:szCs w:val="24"/>
              </w:rPr>
              <w:t>ETF</w:t>
            </w:r>
            <w:r w:rsidR="001476B2" w:rsidRPr="001929CD">
              <w:rPr>
                <w:rFonts w:ascii="標楷體" w:eastAsia="標楷體" w:hAnsi="標楷體" w:hint="eastAsia"/>
                <w:u w:val="single"/>
              </w:rPr>
              <w:t>受益憑證</w:t>
            </w:r>
            <w:r w:rsidRPr="001929CD">
              <w:rPr>
                <w:rFonts w:ascii="標楷體" w:eastAsia="標楷體" w:hAnsi="標楷體"/>
                <w:snapToGrid w:val="0"/>
                <w:szCs w:val="24"/>
              </w:rPr>
              <w:t>避險專戶（自營商帳號下之七七七七七七～八）</w:t>
            </w:r>
            <w:r w:rsidRPr="001929CD">
              <w:rPr>
                <w:rFonts w:ascii="標楷體" w:eastAsia="標楷體" w:hAnsi="標楷體" w:hint="eastAsia"/>
                <w:snapToGrid w:val="0"/>
                <w:szCs w:val="24"/>
              </w:rPr>
              <w:t>為借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賣出申報，其數量</w:t>
            </w:r>
            <w:r w:rsidRPr="001929CD">
              <w:rPr>
                <w:rFonts w:ascii="標楷體" w:eastAsia="標楷體" w:hAnsi="標楷體"/>
                <w:snapToGrid w:val="0"/>
                <w:szCs w:val="24"/>
              </w:rPr>
              <w:t>不受每日</w:t>
            </w:r>
            <w:r w:rsidRPr="001929CD">
              <w:rPr>
                <w:rFonts w:ascii="標楷體" w:eastAsia="標楷體" w:hAnsi="標楷體" w:hint="eastAsia"/>
                <w:snapToGrid w:val="0"/>
                <w:szCs w:val="24"/>
              </w:rPr>
              <w:t>盤中</w:t>
            </w:r>
            <w:r w:rsidRPr="001929CD">
              <w:rPr>
                <w:rFonts w:ascii="標楷體" w:eastAsia="標楷體" w:hAnsi="標楷體"/>
                <w:snapToGrid w:val="0"/>
                <w:szCs w:val="24"/>
              </w:rPr>
              <w:t>借</w:t>
            </w:r>
            <w:proofErr w:type="gramStart"/>
            <w:r w:rsidRPr="001929CD">
              <w:rPr>
                <w:rFonts w:ascii="標楷體" w:eastAsia="標楷體" w:hAnsi="標楷體"/>
                <w:snapToGrid w:val="0"/>
                <w:szCs w:val="24"/>
              </w:rPr>
              <w:lastRenderedPageBreak/>
              <w:t>券</w:t>
            </w:r>
            <w:proofErr w:type="gramEnd"/>
            <w:r w:rsidRPr="001929CD">
              <w:rPr>
                <w:rFonts w:ascii="標楷體" w:eastAsia="標楷體" w:hAnsi="標楷體"/>
                <w:snapToGrid w:val="0"/>
                <w:szCs w:val="24"/>
              </w:rPr>
              <w:t>賣出</w:t>
            </w:r>
            <w:r w:rsidRPr="001929CD">
              <w:rPr>
                <w:rFonts w:ascii="標楷體" w:eastAsia="標楷體" w:hAnsi="標楷體" w:hint="eastAsia"/>
                <w:snapToGrid w:val="0"/>
                <w:szCs w:val="24"/>
              </w:rPr>
              <w:t>委託額度之限制。</w:t>
            </w:r>
          </w:p>
          <w:p w:rsidR="00B46AF1" w:rsidRDefault="002B712E">
            <w:pPr>
              <w:kinsoku w:val="0"/>
              <w:overflowPunct w:val="0"/>
              <w:autoSpaceDE w:val="0"/>
              <w:autoSpaceDN w:val="0"/>
              <w:adjustRightInd w:val="0"/>
              <w:snapToGrid w:val="0"/>
              <w:ind w:leftChars="200" w:left="480"/>
              <w:jc w:val="both"/>
              <w:rPr>
                <w:rFonts w:ascii="標楷體" w:eastAsia="標楷體" w:hAnsi="標楷體" w:cs="Times New Roman"/>
                <w:snapToGrid w:val="0"/>
                <w:kern w:val="0"/>
                <w:szCs w:val="24"/>
              </w:rPr>
            </w:pPr>
            <w:r w:rsidRPr="001929CD">
              <w:rPr>
                <w:rFonts w:ascii="標楷體" w:eastAsia="標楷體" w:hAnsi="標楷體"/>
                <w:snapToGrid w:val="0"/>
                <w:szCs w:val="24"/>
              </w:rPr>
              <w:t>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避險專戶</w:t>
            </w:r>
            <w:r w:rsidRPr="001929CD">
              <w:rPr>
                <w:rFonts w:ascii="標楷體" w:eastAsia="標楷體" w:hAnsi="標楷體" w:hint="eastAsia"/>
                <w:snapToGrid w:val="0"/>
                <w:szCs w:val="24"/>
              </w:rPr>
              <w:t>申報借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賣出之有價證券，以自</w:t>
            </w:r>
            <w:r w:rsidRPr="001929CD">
              <w:rPr>
                <w:rFonts w:ascii="標楷體" w:eastAsia="標楷體" w:hAnsi="標楷體"/>
                <w:snapToGrid w:val="0"/>
                <w:szCs w:val="24"/>
              </w:rPr>
              <w:t>ETF</w:t>
            </w:r>
            <w:r w:rsidR="001476B2" w:rsidRPr="001929CD">
              <w:rPr>
                <w:rFonts w:ascii="標楷體" w:eastAsia="標楷體" w:hAnsi="標楷體" w:hint="eastAsia"/>
                <w:u w:val="single"/>
              </w:rPr>
              <w:t>受益憑證</w:t>
            </w:r>
            <w:r w:rsidRPr="001929CD">
              <w:rPr>
                <w:rFonts w:ascii="標楷體" w:eastAsia="標楷體" w:hAnsi="標楷體"/>
                <w:snapToGrid w:val="0"/>
                <w:szCs w:val="24"/>
              </w:rPr>
              <w:t>專戶（自營商帳號下之七七七七七七～七）</w:t>
            </w:r>
            <w:r w:rsidRPr="001929CD">
              <w:rPr>
                <w:rFonts w:ascii="標楷體" w:eastAsia="標楷體" w:hAnsi="標楷體" w:hint="eastAsia"/>
                <w:snapToGrid w:val="0"/>
                <w:szCs w:val="24"/>
              </w:rPr>
              <w:t>撥入者為限，其餘額僅得撥回</w:t>
            </w:r>
            <w:r w:rsidRPr="001929CD">
              <w:rPr>
                <w:rFonts w:ascii="標楷體" w:eastAsia="標楷體" w:hAnsi="標楷體"/>
                <w:snapToGrid w:val="0"/>
                <w:szCs w:val="24"/>
              </w:rPr>
              <w:t>ETF</w:t>
            </w:r>
            <w:r w:rsidR="001476B2" w:rsidRPr="001929CD">
              <w:rPr>
                <w:rFonts w:ascii="標楷體" w:eastAsia="標楷體" w:hAnsi="標楷體" w:hint="eastAsia"/>
                <w:u w:val="single"/>
              </w:rPr>
              <w:t>受益憑證</w:t>
            </w:r>
            <w:r w:rsidRPr="001929CD">
              <w:rPr>
                <w:rFonts w:ascii="標楷體" w:eastAsia="標楷體" w:hAnsi="標楷體"/>
                <w:snapToGrid w:val="0"/>
                <w:szCs w:val="24"/>
              </w:rPr>
              <w:t>專戶</w:t>
            </w:r>
            <w:r w:rsidRPr="001929CD">
              <w:rPr>
                <w:rFonts w:ascii="標楷體" w:eastAsia="標楷體" w:hAnsi="標楷體" w:hint="eastAsia"/>
                <w:snapToGrid w:val="0"/>
                <w:szCs w:val="24"/>
              </w:rPr>
              <w:t>。</w:t>
            </w:r>
          </w:p>
        </w:tc>
        <w:tc>
          <w:tcPr>
            <w:tcW w:w="3832" w:type="dxa"/>
          </w:tcPr>
          <w:p w:rsidR="00F90E81"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伍、流動量提供者</w:t>
            </w:r>
            <w:r w:rsidRPr="001929CD">
              <w:rPr>
                <w:rFonts w:ascii="標楷體" w:eastAsia="標楷體" w:hAnsi="標楷體" w:hint="eastAsia"/>
                <w:snapToGrid w:val="0"/>
                <w:szCs w:val="24"/>
              </w:rPr>
              <w:t>應開立</w:t>
            </w:r>
            <w:r w:rsidRPr="001929CD">
              <w:rPr>
                <w:rFonts w:ascii="標楷體" w:eastAsia="標楷體" w:hAnsi="標楷體"/>
                <w:snapToGrid w:val="0"/>
                <w:szCs w:val="24"/>
              </w:rPr>
              <w:t>ETF專戶</w:t>
            </w:r>
            <w:proofErr w:type="gramStart"/>
            <w:r w:rsidRPr="001929CD">
              <w:rPr>
                <w:rFonts w:ascii="標楷體" w:eastAsia="標楷體" w:hAnsi="標楷體"/>
                <w:snapToGrid w:val="0"/>
                <w:szCs w:val="24"/>
              </w:rPr>
              <w:t>（</w:t>
            </w:r>
            <w:proofErr w:type="gramEnd"/>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自營商帳號下之七七七七七七～七</w:t>
            </w:r>
            <w:proofErr w:type="gramStart"/>
            <w:r w:rsidRPr="001929CD">
              <w:rPr>
                <w:rFonts w:ascii="標楷體" w:eastAsia="標楷體" w:hAnsi="標楷體"/>
                <w:snapToGrid w:val="0"/>
                <w:szCs w:val="24"/>
              </w:rPr>
              <w:t>）</w:t>
            </w:r>
            <w:proofErr w:type="gramEnd"/>
            <w:r w:rsidRPr="001929CD">
              <w:rPr>
                <w:rFonts w:ascii="標楷體" w:eastAsia="標楷體" w:hAnsi="標楷體" w:hint="eastAsia"/>
                <w:snapToGrid w:val="0"/>
                <w:szCs w:val="24"/>
              </w:rPr>
              <w:t>，為提供</w:t>
            </w:r>
            <w:r w:rsidRPr="001929CD">
              <w:rPr>
                <w:rFonts w:ascii="標楷體" w:eastAsia="標楷體" w:hAnsi="標楷體"/>
                <w:snapToGrid w:val="0"/>
                <w:szCs w:val="24"/>
              </w:rPr>
              <w:t>流動量之買賣申報</w:t>
            </w:r>
            <w:r w:rsidRPr="001929CD">
              <w:rPr>
                <w:rFonts w:ascii="標楷體" w:eastAsia="標楷體" w:hAnsi="標楷體" w:hint="eastAsia"/>
                <w:snapToGrid w:val="0"/>
                <w:szCs w:val="24"/>
              </w:rPr>
              <w:t>。</w:t>
            </w:r>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流動量提供者</w:t>
            </w:r>
            <w:r w:rsidRPr="001929CD">
              <w:rPr>
                <w:rFonts w:ascii="標楷體" w:eastAsia="標楷體" w:hAnsi="標楷體" w:hint="eastAsia"/>
                <w:snapToGrid w:val="0"/>
                <w:szCs w:val="24"/>
              </w:rPr>
              <w:t>為</w:t>
            </w:r>
            <w:r w:rsidRPr="001929CD">
              <w:rPr>
                <w:rFonts w:ascii="標楷體" w:eastAsia="標楷體" w:hAnsi="標楷體"/>
                <w:snapToGrid w:val="0"/>
                <w:szCs w:val="24"/>
              </w:rPr>
              <w:t>提供流動量</w:t>
            </w:r>
            <w:r w:rsidRPr="001929CD">
              <w:rPr>
                <w:rFonts w:ascii="標楷體" w:eastAsia="標楷體" w:hAnsi="標楷體" w:hint="eastAsia"/>
                <w:snapToGrid w:val="0"/>
                <w:szCs w:val="24"/>
              </w:rPr>
              <w:t>之</w:t>
            </w:r>
            <w:r w:rsidRPr="001929CD">
              <w:rPr>
                <w:rFonts w:ascii="標楷體" w:eastAsia="標楷體" w:hAnsi="標楷體"/>
                <w:snapToGrid w:val="0"/>
                <w:szCs w:val="24"/>
              </w:rPr>
              <w:t>避險</w:t>
            </w:r>
            <w:r w:rsidRPr="001929CD">
              <w:rPr>
                <w:rFonts w:ascii="標楷體" w:eastAsia="標楷體" w:hAnsi="標楷體" w:hint="eastAsia"/>
                <w:snapToGrid w:val="0"/>
                <w:szCs w:val="24"/>
              </w:rPr>
              <w:t>需求，得開立</w:t>
            </w:r>
            <w:r w:rsidRPr="001929CD">
              <w:rPr>
                <w:rFonts w:ascii="標楷體" w:eastAsia="標楷體" w:hAnsi="標楷體"/>
                <w:snapToGrid w:val="0"/>
                <w:szCs w:val="24"/>
              </w:rPr>
              <w:t>ETF避險專戶（自營商帳號下之七七七七七七～八）</w:t>
            </w:r>
            <w:r w:rsidRPr="001929CD">
              <w:rPr>
                <w:rFonts w:ascii="標楷體" w:eastAsia="標楷體" w:hAnsi="標楷體" w:hint="eastAsia"/>
                <w:snapToGrid w:val="0"/>
                <w:szCs w:val="24"/>
              </w:rPr>
              <w:t>為借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賣出申報，其數量</w:t>
            </w:r>
            <w:r w:rsidRPr="001929CD">
              <w:rPr>
                <w:rFonts w:ascii="標楷體" w:eastAsia="標楷體" w:hAnsi="標楷體"/>
                <w:snapToGrid w:val="0"/>
                <w:szCs w:val="24"/>
              </w:rPr>
              <w:t>不受每日</w:t>
            </w:r>
            <w:r w:rsidRPr="001929CD">
              <w:rPr>
                <w:rFonts w:ascii="標楷體" w:eastAsia="標楷體" w:hAnsi="標楷體" w:hint="eastAsia"/>
                <w:snapToGrid w:val="0"/>
                <w:szCs w:val="24"/>
              </w:rPr>
              <w:t>盤中</w:t>
            </w:r>
            <w:r w:rsidRPr="001929CD">
              <w:rPr>
                <w:rFonts w:ascii="標楷體" w:eastAsia="標楷體" w:hAnsi="標楷體"/>
                <w:snapToGrid w:val="0"/>
                <w:szCs w:val="24"/>
              </w:rPr>
              <w:t>借</w:t>
            </w:r>
            <w:proofErr w:type="gramStart"/>
            <w:r w:rsidRPr="001929CD">
              <w:rPr>
                <w:rFonts w:ascii="標楷體" w:eastAsia="標楷體" w:hAnsi="標楷體"/>
                <w:snapToGrid w:val="0"/>
                <w:szCs w:val="24"/>
              </w:rPr>
              <w:t>券</w:t>
            </w:r>
            <w:proofErr w:type="gramEnd"/>
            <w:r w:rsidRPr="001929CD">
              <w:rPr>
                <w:rFonts w:ascii="標楷體" w:eastAsia="標楷體" w:hAnsi="標楷體"/>
                <w:snapToGrid w:val="0"/>
                <w:szCs w:val="24"/>
              </w:rPr>
              <w:t>賣出</w:t>
            </w:r>
            <w:r w:rsidRPr="001929CD">
              <w:rPr>
                <w:rFonts w:ascii="標楷體" w:eastAsia="標楷體" w:hAnsi="標楷體" w:hint="eastAsia"/>
                <w:snapToGrid w:val="0"/>
                <w:szCs w:val="24"/>
              </w:rPr>
              <w:t>委</w:t>
            </w:r>
            <w:r w:rsidRPr="001929CD">
              <w:rPr>
                <w:rFonts w:ascii="標楷體" w:eastAsia="標楷體" w:hAnsi="標楷體" w:hint="eastAsia"/>
                <w:snapToGrid w:val="0"/>
                <w:szCs w:val="24"/>
              </w:rPr>
              <w:lastRenderedPageBreak/>
              <w:t>託額度之限制。</w:t>
            </w:r>
          </w:p>
          <w:p w:rsidR="002B712E" w:rsidRPr="001929CD" w:rsidRDefault="002B712E" w:rsidP="00F90E81">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ETF避險專戶</w:t>
            </w:r>
            <w:r w:rsidRPr="001929CD">
              <w:rPr>
                <w:rFonts w:ascii="標楷體" w:eastAsia="標楷體" w:hAnsi="標楷體" w:hint="eastAsia"/>
                <w:snapToGrid w:val="0"/>
                <w:szCs w:val="24"/>
              </w:rPr>
              <w:t>申報借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賣出之有價證券，以自</w:t>
            </w:r>
            <w:r w:rsidRPr="001929CD">
              <w:rPr>
                <w:rFonts w:ascii="標楷體" w:eastAsia="標楷體" w:hAnsi="標楷體"/>
                <w:snapToGrid w:val="0"/>
                <w:szCs w:val="24"/>
              </w:rPr>
              <w:t>ETF專戶（自營商帳號下之七七七七七七～七）</w:t>
            </w:r>
            <w:r w:rsidRPr="001929CD">
              <w:rPr>
                <w:rFonts w:ascii="標楷體" w:eastAsia="標楷體" w:hAnsi="標楷體" w:hint="eastAsia"/>
                <w:snapToGrid w:val="0"/>
                <w:szCs w:val="24"/>
              </w:rPr>
              <w:t>撥入者為限，其餘額僅得撥回</w:t>
            </w:r>
            <w:r w:rsidRPr="00B270D2">
              <w:rPr>
                <w:rFonts w:ascii="標楷體" w:eastAsia="標楷體" w:hAnsi="標楷體" w:hint="eastAsia"/>
                <w:snapToGrid w:val="0"/>
                <w:szCs w:val="24"/>
                <w:u w:val="single"/>
              </w:rPr>
              <w:t>原</w:t>
            </w:r>
            <w:r w:rsidRPr="001929CD">
              <w:rPr>
                <w:rFonts w:ascii="標楷體" w:eastAsia="標楷體" w:hAnsi="標楷體"/>
                <w:snapToGrid w:val="0"/>
                <w:szCs w:val="24"/>
              </w:rPr>
              <w:t>ETF專戶</w:t>
            </w:r>
            <w:r w:rsidRPr="001929CD">
              <w:rPr>
                <w:rFonts w:ascii="標楷體" w:eastAsia="標楷體" w:hAnsi="標楷體" w:hint="eastAsia"/>
                <w:snapToGrid w:val="0"/>
                <w:szCs w:val="24"/>
              </w:rPr>
              <w:t>。</w:t>
            </w:r>
          </w:p>
          <w:p w:rsidR="00C11406" w:rsidRDefault="00C11406">
            <w:pPr>
              <w:kinsoku w:val="0"/>
              <w:overflowPunct w:val="0"/>
              <w:autoSpaceDE w:val="0"/>
              <w:autoSpaceDN w:val="0"/>
              <w:adjustRightInd w:val="0"/>
              <w:snapToGrid w:val="0"/>
              <w:jc w:val="both"/>
              <w:rPr>
                <w:rFonts w:ascii="標楷體" w:eastAsia="標楷體" w:hAnsi="標楷體"/>
                <w:snapToGrid w:val="0"/>
                <w:szCs w:val="24"/>
              </w:rPr>
            </w:pPr>
          </w:p>
        </w:tc>
        <w:tc>
          <w:tcPr>
            <w:tcW w:w="3018" w:type="dxa"/>
          </w:tcPr>
          <w:p w:rsidR="00AE4503" w:rsidRPr="001929CD" w:rsidRDefault="00AE4503" w:rsidP="00AE4503">
            <w:pPr>
              <w:rPr>
                <w:rFonts w:ascii="標楷體" w:eastAsia="標楷體" w:hAnsi="標楷體"/>
              </w:rPr>
            </w:pPr>
            <w:proofErr w:type="gramStart"/>
            <w:r w:rsidRPr="001929CD">
              <w:rPr>
                <w:rFonts w:ascii="標楷體" w:eastAsia="標楷體" w:hAnsi="標楷體" w:hint="eastAsia"/>
              </w:rPr>
              <w:lastRenderedPageBreak/>
              <w:t>酌修文字</w:t>
            </w:r>
            <w:proofErr w:type="gramEnd"/>
            <w:r w:rsidRPr="001929CD">
              <w:rPr>
                <w:rFonts w:ascii="標楷體" w:eastAsia="標楷體" w:hAnsi="標楷體" w:hint="eastAsia"/>
              </w:rPr>
              <w:t>。</w:t>
            </w:r>
          </w:p>
          <w:p w:rsidR="002B712E" w:rsidRPr="001929CD" w:rsidRDefault="002B712E" w:rsidP="002B712E">
            <w:pPr>
              <w:rPr>
                <w:rFonts w:ascii="標楷體" w:eastAsia="標楷體" w:hAnsi="標楷體"/>
                <w:szCs w:val="24"/>
              </w:rPr>
            </w:pPr>
          </w:p>
        </w:tc>
      </w:tr>
      <w:tr w:rsidR="002B712E" w:rsidRPr="001929CD" w:rsidTr="00EF4886">
        <w:tc>
          <w:tcPr>
            <w:tcW w:w="3832" w:type="dxa"/>
          </w:tcPr>
          <w:p w:rsidR="00F90E81" w:rsidRPr="001929CD" w:rsidRDefault="002B712E" w:rsidP="00657820">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陸、提供市場流動契約對流動量提</w:t>
            </w:r>
          </w:p>
          <w:p w:rsidR="002B712E" w:rsidRPr="001929CD" w:rsidRDefault="002B712E" w:rsidP="0076394C">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供者之責任義務至少應規範下列事項</w:t>
            </w:r>
            <w:r w:rsidRPr="001929CD">
              <w:rPr>
                <w:rFonts w:ascii="標楷體" w:eastAsia="標楷體" w:hAnsi="標楷體" w:hint="eastAsia"/>
                <w:snapToGrid w:val="0"/>
                <w:szCs w:val="24"/>
              </w:rPr>
              <w:t>（以下標準均應含開市前三十分鐘及收市前一段時間之試算撮合盤數、試算成交價及試算未成交之申報價格）</w:t>
            </w:r>
            <w:r w:rsidRPr="001929CD">
              <w:rPr>
                <w:rFonts w:ascii="標楷體" w:eastAsia="標楷體" w:hAnsi="標楷體"/>
                <w:snapToGrid w:val="0"/>
                <w:szCs w:val="24"/>
              </w:rPr>
              <w:t>：</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一、該</w:t>
            </w:r>
            <w:r w:rsidR="00627BE4" w:rsidRPr="001929CD">
              <w:rPr>
                <w:rFonts w:ascii="標楷體" w:eastAsia="標楷體" w:hAnsi="標楷體"/>
                <w:snapToGrid w:val="0"/>
                <w:szCs w:val="24"/>
              </w:rPr>
              <w:t>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於本公司有價證券集中交易市場所揭示之最佳一檔買賣價差範圍，其計算公式如下：</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 xml:space="preserve">    </w:t>
            </w:r>
            <w:r w:rsidRPr="001929CD">
              <w:rPr>
                <w:rFonts w:ascii="標楷體" w:eastAsia="標楷體" w:hAnsi="標楷體"/>
                <w:snapToGrid w:val="0"/>
                <w:szCs w:val="24"/>
              </w:rPr>
              <w:t>（最佳一檔買賣價差）＝ [（未成交之最低賣出申報價格）－（未成交之最高買進申報價格） ]／（未成交之最低賣出申報價格）。</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二、流動量提供者對該ETF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之最少參與撮合盤數，所稱參與撮合</w:t>
            </w:r>
            <w:proofErr w:type="gramStart"/>
            <w:r w:rsidRPr="001929CD">
              <w:rPr>
                <w:rFonts w:ascii="標楷體" w:eastAsia="標楷體" w:hAnsi="標楷體"/>
                <w:snapToGrid w:val="0"/>
                <w:szCs w:val="24"/>
              </w:rPr>
              <w:t>盤數係指</w:t>
            </w:r>
            <w:proofErr w:type="gramEnd"/>
            <w:r w:rsidRPr="001929CD">
              <w:rPr>
                <w:rFonts w:ascii="標楷體" w:eastAsia="標楷體" w:hAnsi="標楷體"/>
                <w:snapToGrid w:val="0"/>
                <w:szCs w:val="24"/>
              </w:rPr>
              <w:t>買進、賣出委託，其價格均介於前一次未成交之最低賣出申報價格以上特定範圍及未成交之最高買進申報價格以下特定範圍或成交價上下特定範圍內，參與本公司交易系統撮合之最少次數，針對參與上揭撮合盤數計算之買進及賣出申報應訂定最低數量標準。</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三、流動量提供者於遇該ETF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有本公司營業細則第</w:t>
            </w:r>
            <w:r w:rsidRPr="001929CD">
              <w:rPr>
                <w:rFonts w:ascii="標楷體" w:eastAsia="標楷體" w:hAnsi="標楷體" w:hint="eastAsia"/>
                <w:snapToGrid w:val="0"/>
                <w:szCs w:val="24"/>
              </w:rPr>
              <w:t>五十八</w:t>
            </w:r>
            <w:r w:rsidRPr="001929CD">
              <w:rPr>
                <w:rFonts w:ascii="標楷體" w:eastAsia="標楷體" w:hAnsi="標楷體"/>
                <w:snapToGrid w:val="0"/>
                <w:szCs w:val="24"/>
              </w:rPr>
              <w:t>條之</w:t>
            </w:r>
            <w:r w:rsidRPr="001929CD">
              <w:rPr>
                <w:rFonts w:ascii="標楷體" w:eastAsia="標楷體" w:hAnsi="標楷體" w:hint="eastAsia"/>
                <w:snapToGrid w:val="0"/>
                <w:szCs w:val="24"/>
              </w:rPr>
              <w:t>三</w:t>
            </w:r>
            <w:r w:rsidRPr="001929CD">
              <w:rPr>
                <w:rFonts w:ascii="標楷體" w:eastAsia="標楷體" w:hAnsi="標楷體"/>
                <w:snapToGrid w:val="0"/>
                <w:szCs w:val="24"/>
              </w:rPr>
              <w:t>第四項</w:t>
            </w:r>
            <w:r w:rsidRPr="001929CD">
              <w:rPr>
                <w:rFonts w:ascii="標楷體" w:eastAsia="標楷體" w:hAnsi="標楷體" w:hint="eastAsia"/>
                <w:snapToGrid w:val="0"/>
                <w:szCs w:val="24"/>
              </w:rPr>
              <w:t>及第五項</w:t>
            </w:r>
            <w:r w:rsidRPr="001929CD">
              <w:rPr>
                <w:rFonts w:ascii="標楷體" w:eastAsia="標楷體" w:hAnsi="標楷體"/>
                <w:snapToGrid w:val="0"/>
                <w:szCs w:val="24"/>
              </w:rPr>
              <w:t>之情事時，必須於延緩撮合期間申報買進及賣出委託之最低數量標準。</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lastRenderedPageBreak/>
              <w:t>四、該ETF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價格除漲停或跌停者外，市場行情揭示僅有買進或賣出價格之持續時間限制，</w:t>
            </w:r>
            <w:proofErr w:type="gramStart"/>
            <w:r w:rsidRPr="001929CD">
              <w:rPr>
                <w:rFonts w:ascii="標楷體" w:eastAsia="標楷體" w:hAnsi="標楷體"/>
                <w:snapToGrid w:val="0"/>
                <w:szCs w:val="24"/>
              </w:rPr>
              <w:t>惟遇有</w:t>
            </w:r>
            <w:proofErr w:type="gramEnd"/>
            <w:r w:rsidRPr="001929CD">
              <w:rPr>
                <w:rFonts w:ascii="標楷體" w:eastAsia="標楷體" w:hAnsi="標楷體"/>
                <w:snapToGrid w:val="0"/>
                <w:szCs w:val="24"/>
              </w:rPr>
              <w:t>本公司營業細則第</w:t>
            </w:r>
            <w:r w:rsidRPr="001929CD">
              <w:rPr>
                <w:rFonts w:ascii="標楷體" w:eastAsia="標楷體" w:hAnsi="標楷體" w:hint="eastAsia"/>
                <w:snapToGrid w:val="0"/>
                <w:szCs w:val="24"/>
              </w:rPr>
              <w:t>五十八</w:t>
            </w:r>
            <w:r w:rsidRPr="001929CD">
              <w:rPr>
                <w:rFonts w:ascii="標楷體" w:eastAsia="標楷體" w:hAnsi="標楷體"/>
                <w:snapToGrid w:val="0"/>
                <w:szCs w:val="24"/>
              </w:rPr>
              <w:t>條之</w:t>
            </w:r>
            <w:r w:rsidRPr="001929CD">
              <w:rPr>
                <w:rFonts w:ascii="標楷體" w:eastAsia="標楷體" w:hAnsi="標楷體" w:hint="eastAsia"/>
                <w:snapToGrid w:val="0"/>
                <w:szCs w:val="24"/>
              </w:rPr>
              <w:t>三</w:t>
            </w:r>
            <w:r w:rsidRPr="001929CD">
              <w:rPr>
                <w:rFonts w:ascii="標楷體" w:eastAsia="標楷體" w:hAnsi="標楷體"/>
                <w:snapToGrid w:val="0"/>
                <w:szCs w:val="24"/>
              </w:rPr>
              <w:t>第四項</w:t>
            </w:r>
            <w:r w:rsidRPr="001929CD">
              <w:rPr>
                <w:rFonts w:ascii="標楷體" w:eastAsia="標楷體" w:hAnsi="標楷體" w:hint="eastAsia"/>
                <w:snapToGrid w:val="0"/>
                <w:szCs w:val="24"/>
              </w:rPr>
              <w:t>及第五項</w:t>
            </w:r>
            <w:r w:rsidRPr="001929CD">
              <w:rPr>
                <w:rFonts w:ascii="標楷體" w:eastAsia="標楷體" w:hAnsi="標楷體"/>
                <w:snapToGrid w:val="0"/>
                <w:szCs w:val="24"/>
              </w:rPr>
              <w:t>之情事，須延緩撮合時間時，得排除前項時間計算。</w:t>
            </w:r>
          </w:p>
          <w:p w:rsidR="002B712E" w:rsidRPr="001929CD" w:rsidRDefault="002B712E" w:rsidP="00793F67">
            <w:pPr>
              <w:kinsoku w:val="0"/>
              <w:overflowPunct w:val="0"/>
              <w:autoSpaceDE w:val="0"/>
              <w:autoSpaceDN w:val="0"/>
              <w:adjustRightInd w:val="0"/>
              <w:snapToGrid w:val="0"/>
              <w:ind w:leftChars="250" w:left="960" w:hangingChars="150" w:hanging="360"/>
              <w:jc w:val="both"/>
              <w:rPr>
                <w:rFonts w:ascii="標楷體" w:eastAsia="標楷體" w:hAnsi="標楷體"/>
                <w:snapToGrid w:val="0"/>
                <w:szCs w:val="24"/>
              </w:rPr>
            </w:pPr>
            <w:r w:rsidRPr="001929CD">
              <w:rPr>
                <w:rFonts w:ascii="標楷體" w:eastAsia="標楷體" w:hAnsi="標楷體"/>
                <w:snapToGrid w:val="0"/>
                <w:szCs w:val="24"/>
              </w:rPr>
              <w:t>五、同意本公司將流動量提供者ETF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專戶中就該ETF</w:t>
            </w:r>
            <w:r w:rsidR="000334D8" w:rsidRPr="001929CD">
              <w:rPr>
                <w:rFonts w:ascii="標楷體" w:eastAsia="標楷體" w:hAnsi="標楷體" w:hint="eastAsia"/>
                <w:snapToGrid w:val="0"/>
                <w:szCs w:val="24"/>
                <w:u w:val="single"/>
              </w:rPr>
              <w:t>受益憑證</w:t>
            </w:r>
            <w:r w:rsidRPr="001929CD">
              <w:rPr>
                <w:rFonts w:ascii="標楷體" w:eastAsia="標楷體" w:hAnsi="標楷體"/>
                <w:snapToGrid w:val="0"/>
                <w:szCs w:val="24"/>
              </w:rPr>
              <w:t>所有買賣申報及成交明細提供予投信事業</w:t>
            </w:r>
            <w:r w:rsidRPr="001929CD">
              <w:rPr>
                <w:rFonts w:ascii="標楷體" w:eastAsia="標楷體" w:hAnsi="標楷體" w:hint="eastAsia"/>
                <w:snapToGrid w:val="0"/>
                <w:szCs w:val="24"/>
              </w:rPr>
              <w:t>、</w:t>
            </w:r>
            <w:proofErr w:type="gramStart"/>
            <w:r w:rsidRPr="001929CD">
              <w:rPr>
                <w:rFonts w:ascii="標楷體" w:eastAsia="標楷體" w:hAnsi="標楷體" w:hint="eastAsia"/>
                <w:snapToGrid w:val="0"/>
                <w:szCs w:val="24"/>
              </w:rPr>
              <w:t>期信事業</w:t>
            </w:r>
            <w:proofErr w:type="gramEnd"/>
            <w:r w:rsidRPr="001929CD">
              <w:rPr>
                <w:rFonts w:ascii="標楷體" w:eastAsia="標楷體" w:hAnsi="標楷體"/>
                <w:snapToGrid w:val="0"/>
                <w:szCs w:val="24"/>
              </w:rPr>
              <w:t>或境外基金總代理人。</w:t>
            </w:r>
          </w:p>
        </w:tc>
        <w:tc>
          <w:tcPr>
            <w:tcW w:w="3832" w:type="dxa"/>
          </w:tcPr>
          <w:p w:rsidR="00F90E81"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陸、提供市場流動契約對流動量提</w:t>
            </w:r>
          </w:p>
          <w:p w:rsidR="002B712E" w:rsidRPr="001929CD" w:rsidRDefault="002B712E" w:rsidP="0076394C">
            <w:pPr>
              <w:kinsoku w:val="0"/>
              <w:overflowPunct w:val="0"/>
              <w:autoSpaceDE w:val="0"/>
              <w:autoSpaceDN w:val="0"/>
              <w:adjustRightInd w:val="0"/>
              <w:snapToGrid w:val="0"/>
              <w:ind w:leftChars="200" w:left="480"/>
              <w:jc w:val="both"/>
              <w:rPr>
                <w:rFonts w:ascii="標楷體" w:eastAsia="標楷體" w:hAnsi="標楷體"/>
                <w:snapToGrid w:val="0"/>
                <w:szCs w:val="24"/>
              </w:rPr>
            </w:pPr>
            <w:r w:rsidRPr="001929CD">
              <w:rPr>
                <w:rFonts w:ascii="標楷體" w:eastAsia="標楷體" w:hAnsi="標楷體"/>
                <w:snapToGrid w:val="0"/>
                <w:szCs w:val="24"/>
              </w:rPr>
              <w:t>供者之責任義務至少應規範下列事項</w:t>
            </w:r>
            <w:r w:rsidRPr="001929CD">
              <w:rPr>
                <w:rFonts w:ascii="標楷體" w:eastAsia="標楷體" w:hAnsi="標楷體" w:hint="eastAsia"/>
                <w:snapToGrid w:val="0"/>
                <w:szCs w:val="24"/>
              </w:rPr>
              <w:t>（以下標準均應含開市前三十分鐘及收市前一段時間之試算撮合盤數、試算成交價及試算未成交之申報價格）</w:t>
            </w:r>
            <w:r w:rsidRPr="001929CD">
              <w:rPr>
                <w:rFonts w:ascii="標楷體" w:eastAsia="標楷體" w:hAnsi="標楷體"/>
                <w:snapToGrid w:val="0"/>
                <w:szCs w:val="24"/>
              </w:rPr>
              <w:t>：</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一、該 ETF  於本公司有價證券集中交易市場所揭示之最佳一檔買賣價差範圍，其計算公式如下：</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 xml:space="preserve">    </w:t>
            </w:r>
            <w:r w:rsidRPr="001929CD">
              <w:rPr>
                <w:rFonts w:ascii="標楷體" w:eastAsia="標楷體" w:hAnsi="標楷體"/>
                <w:snapToGrid w:val="0"/>
                <w:szCs w:val="24"/>
              </w:rPr>
              <w:t>（最佳一檔買賣價差）＝ [（未成交之最低賣出申報價格）－（未成交之最高買進申報價格） ]／（未成交之最低賣出申報價格）。</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二、流動量提供者對該ETF之最少參與撮合盤數，所稱參與撮合</w:t>
            </w:r>
            <w:proofErr w:type="gramStart"/>
            <w:r w:rsidRPr="001929CD">
              <w:rPr>
                <w:rFonts w:ascii="標楷體" w:eastAsia="標楷體" w:hAnsi="標楷體"/>
                <w:snapToGrid w:val="0"/>
                <w:szCs w:val="24"/>
              </w:rPr>
              <w:t>盤數係指</w:t>
            </w:r>
            <w:proofErr w:type="gramEnd"/>
            <w:r w:rsidRPr="001929CD">
              <w:rPr>
                <w:rFonts w:ascii="標楷體" w:eastAsia="標楷體" w:hAnsi="標楷體"/>
                <w:snapToGrid w:val="0"/>
                <w:szCs w:val="24"/>
              </w:rPr>
              <w:t>買進、賣出委託，其價格均介於前一次未成交之最低賣出申報價格以上特定範圍及未成交之最高買進申報價格以下特定範圍或成交價上下特定範圍內，參與本公司交易系統撮合之最少次數，針對參與上揭撮合盤數計算之買進及賣出申報應訂定最低數量標準。</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三、流動量提供者於遇該ETF有本公司營業細則第</w:t>
            </w:r>
            <w:r w:rsidRPr="001929CD">
              <w:rPr>
                <w:rFonts w:ascii="標楷體" w:eastAsia="標楷體" w:hAnsi="標楷體" w:hint="eastAsia"/>
                <w:snapToGrid w:val="0"/>
                <w:szCs w:val="24"/>
              </w:rPr>
              <w:t>五十八</w:t>
            </w:r>
            <w:r w:rsidRPr="001929CD">
              <w:rPr>
                <w:rFonts w:ascii="標楷體" w:eastAsia="標楷體" w:hAnsi="標楷體"/>
                <w:snapToGrid w:val="0"/>
                <w:szCs w:val="24"/>
              </w:rPr>
              <w:t>條之</w:t>
            </w:r>
            <w:r w:rsidRPr="001929CD">
              <w:rPr>
                <w:rFonts w:ascii="標楷體" w:eastAsia="標楷體" w:hAnsi="標楷體" w:hint="eastAsia"/>
                <w:snapToGrid w:val="0"/>
                <w:szCs w:val="24"/>
              </w:rPr>
              <w:t>三</w:t>
            </w:r>
            <w:r w:rsidRPr="001929CD">
              <w:rPr>
                <w:rFonts w:ascii="標楷體" w:eastAsia="標楷體" w:hAnsi="標楷體"/>
                <w:snapToGrid w:val="0"/>
                <w:szCs w:val="24"/>
              </w:rPr>
              <w:t>第四項</w:t>
            </w:r>
            <w:r w:rsidRPr="001929CD">
              <w:rPr>
                <w:rFonts w:ascii="標楷體" w:eastAsia="標楷體" w:hAnsi="標楷體" w:hint="eastAsia"/>
                <w:snapToGrid w:val="0"/>
                <w:szCs w:val="24"/>
              </w:rPr>
              <w:t>及第五項</w:t>
            </w:r>
            <w:r w:rsidRPr="001929CD">
              <w:rPr>
                <w:rFonts w:ascii="標楷體" w:eastAsia="標楷體" w:hAnsi="標楷體"/>
                <w:snapToGrid w:val="0"/>
                <w:szCs w:val="24"/>
              </w:rPr>
              <w:t>之情事時，必須於延緩撮合期間申報買進及賣出委託之最低數量標準。</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lastRenderedPageBreak/>
              <w:t>四、該ETF價格除漲停或跌停者外，市場行情揭示僅有買進或賣出價格之持續時間限制，</w:t>
            </w:r>
            <w:proofErr w:type="gramStart"/>
            <w:r w:rsidRPr="001929CD">
              <w:rPr>
                <w:rFonts w:ascii="標楷體" w:eastAsia="標楷體" w:hAnsi="標楷體"/>
                <w:snapToGrid w:val="0"/>
                <w:szCs w:val="24"/>
              </w:rPr>
              <w:t>惟遇有</w:t>
            </w:r>
            <w:proofErr w:type="gramEnd"/>
            <w:r w:rsidRPr="001929CD">
              <w:rPr>
                <w:rFonts w:ascii="標楷體" w:eastAsia="標楷體" w:hAnsi="標楷體"/>
                <w:snapToGrid w:val="0"/>
                <w:szCs w:val="24"/>
              </w:rPr>
              <w:t>本公司營業細則第</w:t>
            </w:r>
            <w:r w:rsidRPr="001929CD">
              <w:rPr>
                <w:rFonts w:ascii="標楷體" w:eastAsia="標楷體" w:hAnsi="標楷體" w:hint="eastAsia"/>
                <w:snapToGrid w:val="0"/>
                <w:szCs w:val="24"/>
              </w:rPr>
              <w:t>五十八</w:t>
            </w:r>
            <w:r w:rsidRPr="001929CD">
              <w:rPr>
                <w:rFonts w:ascii="標楷體" w:eastAsia="標楷體" w:hAnsi="標楷體"/>
                <w:snapToGrid w:val="0"/>
                <w:szCs w:val="24"/>
              </w:rPr>
              <w:t>條之</w:t>
            </w:r>
            <w:r w:rsidRPr="001929CD">
              <w:rPr>
                <w:rFonts w:ascii="標楷體" w:eastAsia="標楷體" w:hAnsi="標楷體" w:hint="eastAsia"/>
                <w:snapToGrid w:val="0"/>
                <w:szCs w:val="24"/>
              </w:rPr>
              <w:t>三</w:t>
            </w:r>
            <w:r w:rsidRPr="001929CD">
              <w:rPr>
                <w:rFonts w:ascii="標楷體" w:eastAsia="標楷體" w:hAnsi="標楷體"/>
                <w:snapToGrid w:val="0"/>
                <w:szCs w:val="24"/>
              </w:rPr>
              <w:t>第四項</w:t>
            </w:r>
            <w:r w:rsidRPr="001929CD">
              <w:rPr>
                <w:rFonts w:ascii="標楷體" w:eastAsia="標楷體" w:hAnsi="標楷體" w:hint="eastAsia"/>
                <w:snapToGrid w:val="0"/>
                <w:szCs w:val="24"/>
              </w:rPr>
              <w:t>及第五項</w:t>
            </w:r>
            <w:r w:rsidRPr="001929CD">
              <w:rPr>
                <w:rFonts w:ascii="標楷體" w:eastAsia="標楷體" w:hAnsi="標楷體"/>
                <w:snapToGrid w:val="0"/>
                <w:szCs w:val="24"/>
              </w:rPr>
              <w:t>之情事，須延緩撮合時間時，得排除前項時間計算。</w:t>
            </w:r>
          </w:p>
          <w:p w:rsidR="002B712E" w:rsidRPr="001929CD" w:rsidRDefault="002B712E" w:rsidP="00793F67">
            <w:pPr>
              <w:kinsoku w:val="0"/>
              <w:overflowPunct w:val="0"/>
              <w:autoSpaceDE w:val="0"/>
              <w:autoSpaceDN w:val="0"/>
              <w:adjustRightInd w:val="0"/>
              <w:snapToGrid w:val="0"/>
              <w:ind w:leftChars="250" w:left="960" w:hangingChars="150" w:hanging="360"/>
              <w:jc w:val="both"/>
              <w:rPr>
                <w:rFonts w:ascii="標楷體" w:eastAsia="標楷體" w:hAnsi="標楷體"/>
                <w:snapToGrid w:val="0"/>
                <w:szCs w:val="24"/>
              </w:rPr>
            </w:pPr>
            <w:r w:rsidRPr="001929CD">
              <w:rPr>
                <w:rFonts w:ascii="標楷體" w:eastAsia="標楷體" w:hAnsi="標楷體"/>
                <w:snapToGrid w:val="0"/>
                <w:szCs w:val="24"/>
              </w:rPr>
              <w:t>五、同意本公司將流動量提供者ETF專戶中就該ETF所有買賣申報及成交明細提供予投信事業</w:t>
            </w:r>
            <w:r w:rsidRPr="001929CD">
              <w:rPr>
                <w:rFonts w:ascii="標楷體" w:eastAsia="標楷體" w:hAnsi="標楷體" w:hint="eastAsia"/>
                <w:snapToGrid w:val="0"/>
                <w:szCs w:val="24"/>
              </w:rPr>
              <w:t>、</w:t>
            </w:r>
            <w:proofErr w:type="gramStart"/>
            <w:r w:rsidRPr="001929CD">
              <w:rPr>
                <w:rFonts w:ascii="標楷體" w:eastAsia="標楷體" w:hAnsi="標楷體" w:hint="eastAsia"/>
                <w:snapToGrid w:val="0"/>
                <w:szCs w:val="24"/>
              </w:rPr>
              <w:t>期信事業</w:t>
            </w:r>
            <w:proofErr w:type="gramEnd"/>
            <w:r w:rsidRPr="001929CD">
              <w:rPr>
                <w:rFonts w:ascii="標楷體" w:eastAsia="標楷體" w:hAnsi="標楷體"/>
                <w:snapToGrid w:val="0"/>
                <w:szCs w:val="24"/>
              </w:rPr>
              <w:t>或境外基金總代理人。</w:t>
            </w:r>
          </w:p>
        </w:tc>
        <w:tc>
          <w:tcPr>
            <w:tcW w:w="3018" w:type="dxa"/>
          </w:tcPr>
          <w:p w:rsidR="00AE4503" w:rsidRPr="001929CD" w:rsidRDefault="00AE4503" w:rsidP="00AE4503">
            <w:pPr>
              <w:rPr>
                <w:rFonts w:ascii="標楷體" w:eastAsia="標楷體" w:hAnsi="標楷體"/>
              </w:rPr>
            </w:pPr>
            <w:proofErr w:type="gramStart"/>
            <w:r w:rsidRPr="001929CD">
              <w:rPr>
                <w:rFonts w:ascii="標楷體" w:eastAsia="標楷體" w:hAnsi="標楷體" w:hint="eastAsia"/>
              </w:rPr>
              <w:lastRenderedPageBreak/>
              <w:t>酌修文字</w:t>
            </w:r>
            <w:proofErr w:type="gramEnd"/>
            <w:r w:rsidRPr="001929CD">
              <w:rPr>
                <w:rFonts w:ascii="標楷體" w:eastAsia="標楷體" w:hAnsi="標楷體" w:hint="eastAsia"/>
              </w:rPr>
              <w:t>。</w:t>
            </w:r>
          </w:p>
          <w:p w:rsidR="002B712E" w:rsidRPr="001929CD" w:rsidRDefault="002B712E" w:rsidP="002B712E">
            <w:pPr>
              <w:rPr>
                <w:rFonts w:ascii="標楷體" w:eastAsia="標楷體" w:hAnsi="標楷體"/>
                <w:szCs w:val="24"/>
              </w:rPr>
            </w:pPr>
          </w:p>
        </w:tc>
      </w:tr>
      <w:tr w:rsidR="002B712E" w:rsidRPr="001929CD" w:rsidTr="00EF4886">
        <w:tc>
          <w:tcPr>
            <w:tcW w:w="3832" w:type="dxa"/>
          </w:tcPr>
          <w:p w:rsidR="00303E8B" w:rsidRPr="001929CD" w:rsidRDefault="002B712E" w:rsidP="00657820">
            <w:pPr>
              <w:kinsoku w:val="0"/>
              <w:overflowPunct w:val="0"/>
              <w:autoSpaceDE w:val="0"/>
              <w:autoSpaceDN w:val="0"/>
              <w:adjustRightInd w:val="0"/>
              <w:snapToGrid w:val="0"/>
              <w:ind w:left="1236" w:hanging="1247"/>
              <w:jc w:val="both"/>
              <w:rPr>
                <w:rFonts w:ascii="標楷體" w:eastAsia="標楷體" w:hAnsi="標楷體"/>
                <w:snapToGrid w:val="0"/>
                <w:szCs w:val="24"/>
              </w:rPr>
            </w:pPr>
            <w:r w:rsidRPr="001929CD">
              <w:rPr>
                <w:rFonts w:ascii="標楷體" w:eastAsia="標楷體" w:hAnsi="標楷體" w:hint="eastAsia"/>
                <w:snapToGrid w:val="0"/>
                <w:szCs w:val="24"/>
              </w:rPr>
              <w:lastRenderedPageBreak/>
              <w:t>陸之一、ETF</w:t>
            </w:r>
            <w:r w:rsidR="00627BE4" w:rsidRPr="001929CD">
              <w:rPr>
                <w:rFonts w:ascii="標楷體" w:eastAsia="標楷體" w:hAnsi="標楷體" w:hint="eastAsia"/>
                <w:u w:val="single"/>
              </w:rPr>
              <w:t>受益憑證</w:t>
            </w:r>
            <w:r w:rsidRPr="001929CD">
              <w:rPr>
                <w:rFonts w:ascii="標楷體" w:eastAsia="標楷體" w:hAnsi="標楷體" w:hint="eastAsia"/>
                <w:snapToGrid w:val="0"/>
                <w:szCs w:val="24"/>
              </w:rPr>
              <w:t>如連續三個月</w:t>
            </w:r>
          </w:p>
          <w:p w:rsidR="002B712E" w:rsidRPr="001929CD" w:rsidRDefault="002B712E"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r w:rsidRPr="001929CD">
              <w:rPr>
                <w:rFonts w:ascii="標楷體" w:eastAsia="標楷體" w:hAnsi="標楷體" w:hint="eastAsia"/>
                <w:snapToGrid w:val="0"/>
                <w:szCs w:val="24"/>
              </w:rPr>
              <w:t>有以下市場行情揭示情事，本公司將通知發行ETF</w:t>
            </w:r>
            <w:r w:rsidR="00627BE4" w:rsidRPr="001929CD">
              <w:rPr>
                <w:rFonts w:ascii="標楷體" w:eastAsia="標楷體" w:hAnsi="標楷體" w:hint="eastAsia"/>
                <w:u w:val="single"/>
              </w:rPr>
              <w:t>受益憑證</w:t>
            </w:r>
            <w:r w:rsidRPr="001929CD">
              <w:rPr>
                <w:rFonts w:ascii="標楷體" w:eastAsia="標楷體" w:hAnsi="標楷體" w:hint="eastAsia"/>
                <w:snapToGrid w:val="0"/>
                <w:szCs w:val="24"/>
              </w:rPr>
              <w:t>之投信事業</w:t>
            </w:r>
            <w:proofErr w:type="gramStart"/>
            <w:r w:rsidRPr="001929CD">
              <w:rPr>
                <w:rFonts w:ascii="標楷體" w:eastAsia="標楷體" w:hAnsi="標楷體" w:hint="eastAsia"/>
                <w:snapToGrid w:val="0"/>
                <w:szCs w:val="24"/>
              </w:rPr>
              <w:t>或期信事業</w:t>
            </w:r>
            <w:proofErr w:type="gramEnd"/>
            <w:r w:rsidRPr="001929CD">
              <w:rPr>
                <w:rFonts w:ascii="標楷體" w:eastAsia="標楷體" w:hAnsi="標楷體" w:hint="eastAsia"/>
                <w:snapToGrid w:val="0"/>
                <w:szCs w:val="24"/>
              </w:rPr>
              <w:t>於通知後次月起二個月內改善；未於期限內改善者，本公司將發函警告，自次月起二個月內仍未改善，視為違反上市契約，本公司對該投信事業</w:t>
            </w:r>
            <w:proofErr w:type="gramStart"/>
            <w:r w:rsidRPr="001929CD">
              <w:rPr>
                <w:rFonts w:ascii="標楷體" w:eastAsia="標楷體" w:hAnsi="標楷體" w:hint="eastAsia"/>
                <w:snapToGrid w:val="0"/>
                <w:szCs w:val="24"/>
              </w:rPr>
              <w:t>或期信事業</w:t>
            </w:r>
            <w:proofErr w:type="gramEnd"/>
            <w:r w:rsidRPr="001929CD">
              <w:rPr>
                <w:rFonts w:ascii="標楷體" w:eastAsia="標楷體" w:hAnsi="標楷體" w:hint="eastAsia"/>
                <w:snapToGrid w:val="0"/>
                <w:szCs w:val="24"/>
              </w:rPr>
              <w:t>課以新臺幣</w:t>
            </w:r>
            <w:proofErr w:type="gramStart"/>
            <w:r w:rsidRPr="001929CD">
              <w:rPr>
                <w:rFonts w:ascii="標楷體" w:eastAsia="標楷體" w:hAnsi="標楷體" w:hint="eastAsia"/>
                <w:snapToGrid w:val="0"/>
                <w:szCs w:val="24"/>
              </w:rPr>
              <w:t>三</w:t>
            </w:r>
            <w:proofErr w:type="gramEnd"/>
            <w:r w:rsidRPr="001929CD">
              <w:rPr>
                <w:rFonts w:ascii="標楷體" w:eastAsia="標楷體" w:hAnsi="標楷體" w:hint="eastAsia"/>
                <w:snapToGrid w:val="0"/>
                <w:szCs w:val="24"/>
              </w:rPr>
              <w:t>萬元之違約金，且每三</w:t>
            </w:r>
            <w:proofErr w:type="gramStart"/>
            <w:r w:rsidRPr="001929CD">
              <w:rPr>
                <w:rFonts w:ascii="標楷體" w:eastAsia="標楷體" w:hAnsi="標楷體" w:hint="eastAsia"/>
                <w:snapToGrid w:val="0"/>
                <w:szCs w:val="24"/>
              </w:rPr>
              <w:t>個</w:t>
            </w:r>
            <w:proofErr w:type="gramEnd"/>
            <w:r w:rsidRPr="001929CD">
              <w:rPr>
                <w:rFonts w:ascii="標楷體" w:eastAsia="標楷體" w:hAnsi="標楷體" w:hint="eastAsia"/>
                <w:snapToGrid w:val="0"/>
                <w:szCs w:val="24"/>
              </w:rPr>
              <w:t>月查處一次並得連續處分至改善為止。</w:t>
            </w:r>
          </w:p>
          <w:p w:rsidR="008C2BDD" w:rsidRPr="001929CD" w:rsidRDefault="002B712E" w:rsidP="002C1452">
            <w:pPr>
              <w:kinsoku w:val="0"/>
              <w:overflowPunct w:val="0"/>
              <w:autoSpaceDE w:val="0"/>
              <w:autoSpaceDN w:val="0"/>
              <w:adjustRightInd w:val="0"/>
              <w:snapToGrid w:val="0"/>
              <w:ind w:leftChars="300" w:left="720"/>
              <w:jc w:val="both"/>
              <w:rPr>
                <w:rFonts w:ascii="標楷體" w:eastAsia="標楷體" w:hAnsi="標楷體"/>
                <w:snapToGrid w:val="0"/>
                <w:szCs w:val="24"/>
              </w:rPr>
            </w:pPr>
            <w:r w:rsidRPr="001929CD">
              <w:rPr>
                <w:rFonts w:ascii="標楷體" w:eastAsia="標楷體" w:hAnsi="標楷體" w:hint="eastAsia"/>
                <w:snapToGrid w:val="0"/>
                <w:szCs w:val="24"/>
              </w:rPr>
              <w:t>國內成分證券</w:t>
            </w:r>
            <w:r w:rsidRPr="001929CD">
              <w:rPr>
                <w:rFonts w:ascii="標楷體" w:eastAsia="標楷體" w:hAnsi="標楷體"/>
                <w:snapToGrid w:val="0"/>
                <w:szCs w:val="24"/>
              </w:rPr>
              <w:t>指數股票型</w:t>
            </w:r>
            <w:r w:rsidR="000334D8" w:rsidRPr="001929CD">
              <w:rPr>
                <w:rFonts w:ascii="標楷體" w:eastAsia="標楷體" w:hAnsi="標楷體"/>
                <w:snapToGrid w:val="0"/>
                <w:szCs w:val="24"/>
                <w:u w:val="single"/>
              </w:rPr>
              <w:t>證券投資信託</w:t>
            </w:r>
            <w:r w:rsidRPr="001929CD">
              <w:rPr>
                <w:rFonts w:ascii="標楷體" w:eastAsia="標楷體" w:hAnsi="標楷體"/>
                <w:snapToGrid w:val="0"/>
                <w:szCs w:val="24"/>
              </w:rPr>
              <w:t>基金</w:t>
            </w:r>
            <w:r w:rsidR="008C2BDD">
              <w:rPr>
                <w:rFonts w:ascii="標楷體" w:eastAsia="標楷體" w:hAnsi="標楷體"/>
                <w:snapToGrid w:val="0"/>
                <w:szCs w:val="24"/>
                <w:u w:val="single"/>
              </w:rPr>
              <w:t>受益憑證</w:t>
            </w:r>
            <w:r w:rsidR="00C15964">
              <w:rPr>
                <w:rFonts w:ascii="標楷體" w:eastAsia="標楷體" w:hAnsi="標楷體"/>
                <w:snapToGrid w:val="0"/>
                <w:szCs w:val="24"/>
                <w:u w:val="single"/>
              </w:rPr>
              <w:t>、</w:t>
            </w:r>
            <w:r w:rsidR="007B57C7">
              <w:rPr>
                <w:rFonts w:ascii="標楷體" w:eastAsia="標楷體" w:hAnsi="標楷體"/>
                <w:snapToGrid w:val="0"/>
                <w:szCs w:val="24"/>
                <w:u w:val="single"/>
              </w:rPr>
              <w:t>標的指數成分證券皆</w:t>
            </w:r>
            <w:r w:rsidR="00D61321">
              <w:rPr>
                <w:rFonts w:ascii="標楷體" w:eastAsia="標楷體" w:hAnsi="標楷體"/>
                <w:snapToGrid w:val="0"/>
                <w:szCs w:val="24"/>
                <w:u w:val="single"/>
              </w:rPr>
              <w:t>為</w:t>
            </w:r>
            <w:r w:rsidR="007B57C7">
              <w:rPr>
                <w:rFonts w:ascii="標楷體" w:eastAsia="標楷體" w:hAnsi="標楷體"/>
                <w:snapToGrid w:val="0"/>
                <w:szCs w:val="24"/>
                <w:u w:val="single"/>
              </w:rPr>
              <w:t>國內有價證券之</w:t>
            </w:r>
            <w:r w:rsidR="00C15964">
              <w:rPr>
                <w:rFonts w:ascii="標楷體" w:eastAsia="標楷體" w:hAnsi="標楷體"/>
                <w:snapToGrid w:val="0"/>
                <w:szCs w:val="24"/>
                <w:u w:val="single"/>
              </w:rPr>
              <w:t>槓桿反向指數股票型證</w:t>
            </w:r>
            <w:r w:rsidR="008E0A3F">
              <w:rPr>
                <w:rFonts w:ascii="標楷體" w:eastAsia="標楷體" w:hAnsi="標楷體"/>
                <w:snapToGrid w:val="0"/>
                <w:szCs w:val="24"/>
                <w:u w:val="single"/>
              </w:rPr>
              <w:t>券投資信託基金</w:t>
            </w:r>
            <w:r w:rsidR="007B57C7">
              <w:rPr>
                <w:rFonts w:ascii="標楷體" w:eastAsia="標楷體" w:hAnsi="標楷體"/>
                <w:snapToGrid w:val="0"/>
                <w:szCs w:val="24"/>
                <w:u w:val="single"/>
              </w:rPr>
              <w:t>受益憑證</w:t>
            </w:r>
            <w:r w:rsidR="00C15964">
              <w:rPr>
                <w:rFonts w:ascii="標楷體" w:eastAsia="標楷體" w:hAnsi="標楷體"/>
                <w:snapToGrid w:val="0"/>
                <w:szCs w:val="24"/>
                <w:u w:val="single"/>
              </w:rPr>
              <w:t>及</w:t>
            </w:r>
            <w:r w:rsidR="007B57C7">
              <w:rPr>
                <w:rFonts w:ascii="標楷體" w:eastAsia="標楷體" w:hAnsi="標楷體"/>
                <w:snapToGrid w:val="0"/>
                <w:szCs w:val="24"/>
                <w:u w:val="single"/>
              </w:rPr>
              <w:t>其</w:t>
            </w:r>
            <w:r w:rsidR="00C15964">
              <w:rPr>
                <w:rFonts w:ascii="標楷體" w:eastAsia="標楷體" w:hAnsi="標楷體"/>
                <w:snapToGrid w:val="0"/>
                <w:szCs w:val="24"/>
                <w:u w:val="single"/>
              </w:rPr>
              <w:t>加掛</w:t>
            </w:r>
            <w:r w:rsidR="00C15964">
              <w:rPr>
                <w:rFonts w:ascii="標楷體" w:eastAsia="標楷體" w:hAnsi="標楷體" w:hint="eastAsia"/>
                <w:snapToGrid w:val="0"/>
                <w:szCs w:val="24"/>
                <w:u w:val="single"/>
              </w:rPr>
              <w:t>ETF受益憑證</w:t>
            </w:r>
            <w:r w:rsidRPr="001929CD">
              <w:rPr>
                <w:rFonts w:ascii="標楷體" w:eastAsia="標楷體" w:hAnsi="標楷體" w:hint="eastAsia"/>
                <w:snapToGrid w:val="0"/>
                <w:szCs w:val="24"/>
              </w:rPr>
              <w:t>，其於開市前三十分鐘至收市之市場行情揭示（含開市前及收市前一段時間試算買賣揭示價格），每月分別不得有下列情事超過二次：</w:t>
            </w:r>
          </w:p>
          <w:p w:rsidR="002B712E" w:rsidRPr="001929CD" w:rsidRDefault="002B712E" w:rsidP="00303E8B">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一、揭示價格除漲停買進或跌停賣出者外，市場行情揭示僅有買進或賣出揭示價格且持續逾三分鐘。</w:t>
            </w:r>
          </w:p>
          <w:p w:rsidR="002B712E" w:rsidRPr="001929CD" w:rsidRDefault="002B712E" w:rsidP="00303E8B">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二、最佳一檔買賣價差大於百分之一且持續逾</w:t>
            </w:r>
            <w:r w:rsidRPr="001929CD">
              <w:rPr>
                <w:rFonts w:ascii="標楷體" w:eastAsia="標楷體" w:hAnsi="標楷體" w:hint="eastAsia"/>
                <w:snapToGrid w:val="0"/>
                <w:szCs w:val="24"/>
              </w:rPr>
              <w:lastRenderedPageBreak/>
              <w:t>十分鐘。</w:t>
            </w:r>
          </w:p>
          <w:p w:rsidR="007E4EE1" w:rsidRDefault="002B712E">
            <w:pPr>
              <w:kinsoku w:val="0"/>
              <w:overflowPunct w:val="0"/>
              <w:autoSpaceDE w:val="0"/>
              <w:autoSpaceDN w:val="0"/>
              <w:adjustRightInd w:val="0"/>
              <w:snapToGrid w:val="0"/>
              <w:ind w:leftChars="357" w:left="1337" w:hangingChars="200" w:hanging="480"/>
              <w:jc w:val="both"/>
              <w:rPr>
                <w:rFonts w:ascii="標楷體" w:eastAsia="標楷體" w:hAnsi="標楷體" w:cs="Times New Roman"/>
                <w:snapToGrid w:val="0"/>
                <w:kern w:val="0"/>
                <w:szCs w:val="24"/>
              </w:rPr>
            </w:pPr>
            <w:r w:rsidRPr="001929CD">
              <w:rPr>
                <w:rFonts w:ascii="標楷體" w:eastAsia="標楷體" w:hAnsi="標楷體" w:hint="eastAsia"/>
                <w:snapToGrid w:val="0"/>
                <w:szCs w:val="24"/>
              </w:rPr>
              <w:t>三、遇有本公司營業細則第五十八條之三第四項及第五項情事，須延緩撮合時間時，得排除前述時間之計算。</w:t>
            </w:r>
          </w:p>
          <w:p w:rsidR="002B712E" w:rsidRPr="001929CD" w:rsidRDefault="002B712E"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r w:rsidRPr="001929CD">
              <w:rPr>
                <w:rFonts w:ascii="標楷體" w:eastAsia="標楷體" w:hAnsi="標楷體" w:hint="eastAsia"/>
                <w:snapToGrid w:val="0"/>
                <w:szCs w:val="24"/>
              </w:rPr>
              <w:t>國外成分證券</w:t>
            </w:r>
            <w:r w:rsidRPr="001929CD">
              <w:rPr>
                <w:rFonts w:ascii="標楷體" w:eastAsia="標楷體" w:hAnsi="標楷體"/>
                <w:snapToGrid w:val="0"/>
                <w:szCs w:val="24"/>
              </w:rPr>
              <w:t>指數股票型</w:t>
            </w:r>
            <w:r w:rsidR="000E0438" w:rsidRPr="001929CD">
              <w:rPr>
                <w:rFonts w:ascii="標楷體" w:eastAsia="標楷體" w:hAnsi="標楷體"/>
                <w:snapToGrid w:val="0"/>
                <w:szCs w:val="24"/>
                <w:u w:val="single"/>
              </w:rPr>
              <w:t>證券投資信託</w:t>
            </w:r>
            <w:r w:rsidRPr="001929CD">
              <w:rPr>
                <w:rFonts w:ascii="標楷體" w:eastAsia="標楷體" w:hAnsi="標楷體"/>
                <w:snapToGrid w:val="0"/>
                <w:szCs w:val="24"/>
              </w:rPr>
              <w:t>基金</w:t>
            </w:r>
            <w:r w:rsidR="008C2BDD">
              <w:rPr>
                <w:rFonts w:ascii="標楷體" w:eastAsia="標楷體" w:hAnsi="標楷體"/>
                <w:snapToGrid w:val="0"/>
                <w:szCs w:val="24"/>
                <w:u w:val="single"/>
              </w:rPr>
              <w:t>受益憑證</w:t>
            </w:r>
            <w:r w:rsidR="00F12C4F">
              <w:rPr>
                <w:rFonts w:ascii="標楷體" w:eastAsia="標楷體" w:hAnsi="標楷體"/>
                <w:snapToGrid w:val="0"/>
                <w:szCs w:val="24"/>
                <w:u w:val="single"/>
              </w:rPr>
              <w:t>及其加掛</w:t>
            </w:r>
            <w:r w:rsidR="00F12C4F">
              <w:rPr>
                <w:rFonts w:ascii="標楷體" w:eastAsia="標楷體" w:hAnsi="標楷體" w:hint="eastAsia"/>
                <w:snapToGrid w:val="0"/>
                <w:szCs w:val="24"/>
                <w:u w:val="single"/>
              </w:rPr>
              <w:t>ETF受益憑證</w:t>
            </w:r>
            <w:r w:rsidR="002C1452">
              <w:rPr>
                <w:rFonts w:ascii="標楷體" w:eastAsia="標楷體" w:hAnsi="標楷體" w:hint="eastAsia"/>
                <w:snapToGrid w:val="0"/>
                <w:szCs w:val="24"/>
              </w:rPr>
              <w:t>、</w:t>
            </w:r>
            <w:r w:rsidRPr="001929CD">
              <w:rPr>
                <w:rFonts w:ascii="標楷體" w:eastAsia="標楷體" w:hAnsi="標楷體" w:hint="eastAsia"/>
                <w:snapToGrid w:val="0"/>
                <w:szCs w:val="24"/>
              </w:rPr>
              <w:t>指數股票型期貨信託基金</w:t>
            </w:r>
            <w:r w:rsidR="008C2BDD">
              <w:rPr>
                <w:rFonts w:ascii="標楷體" w:eastAsia="標楷體" w:hAnsi="標楷體" w:hint="eastAsia"/>
                <w:snapToGrid w:val="0"/>
                <w:szCs w:val="24"/>
                <w:u w:val="single"/>
              </w:rPr>
              <w:t>受益憑證</w:t>
            </w:r>
            <w:r w:rsidR="002C1452">
              <w:rPr>
                <w:rFonts w:ascii="標楷體" w:eastAsia="標楷體" w:hAnsi="標楷體" w:hint="eastAsia"/>
                <w:snapToGrid w:val="0"/>
                <w:szCs w:val="24"/>
                <w:u w:val="single"/>
              </w:rPr>
              <w:t>、</w:t>
            </w:r>
            <w:r w:rsidR="00BB70B0">
              <w:rPr>
                <w:rFonts w:ascii="標楷體" w:eastAsia="標楷體" w:hAnsi="標楷體" w:hint="eastAsia"/>
                <w:snapToGrid w:val="0"/>
                <w:szCs w:val="24"/>
                <w:u w:val="single"/>
              </w:rPr>
              <w:t>標的指數成分證券含一種以上</w:t>
            </w:r>
            <w:r w:rsidR="007B57C7">
              <w:rPr>
                <w:rFonts w:ascii="標楷體" w:eastAsia="標楷體" w:hAnsi="標楷體" w:hint="eastAsia"/>
                <w:snapToGrid w:val="0"/>
                <w:szCs w:val="24"/>
                <w:u w:val="single"/>
              </w:rPr>
              <w:t>國外有價證券之</w:t>
            </w:r>
            <w:r w:rsidR="002C1452">
              <w:rPr>
                <w:rFonts w:ascii="標楷體" w:eastAsia="標楷體" w:hAnsi="標楷體" w:hint="eastAsia"/>
                <w:snapToGrid w:val="0"/>
                <w:szCs w:val="24"/>
                <w:u w:val="single"/>
              </w:rPr>
              <w:t>槓桿反向指數股票型</w:t>
            </w:r>
            <w:r w:rsidR="003A01EB" w:rsidRPr="003A01EB">
              <w:rPr>
                <w:rFonts w:ascii="標楷體" w:eastAsia="標楷體" w:hAnsi="標楷體" w:cs="新細明體" w:hint="eastAsia"/>
                <w:snapToGrid w:val="0"/>
                <w:szCs w:val="24"/>
                <w:u w:val="single"/>
              </w:rPr>
              <w:t>證券投資信託</w:t>
            </w:r>
            <w:r w:rsidR="002C1452" w:rsidRPr="006E2955">
              <w:rPr>
                <w:rFonts w:ascii="標楷體" w:eastAsia="標楷體" w:hAnsi="標楷體" w:hint="eastAsia"/>
                <w:snapToGrid w:val="0"/>
                <w:szCs w:val="24"/>
                <w:u w:val="single"/>
              </w:rPr>
              <w:t>基金受益憑證</w:t>
            </w:r>
            <w:r w:rsidR="002C1452">
              <w:rPr>
                <w:rFonts w:ascii="標楷體" w:eastAsia="標楷體" w:hAnsi="標楷體" w:hint="eastAsia"/>
                <w:snapToGrid w:val="0"/>
                <w:szCs w:val="24"/>
                <w:u w:val="single"/>
              </w:rPr>
              <w:t>及</w:t>
            </w:r>
            <w:r w:rsidR="00F40BC3">
              <w:rPr>
                <w:rFonts w:ascii="標楷體" w:eastAsia="標楷體" w:hAnsi="標楷體" w:hint="eastAsia"/>
                <w:snapToGrid w:val="0"/>
                <w:szCs w:val="24"/>
                <w:u w:val="single"/>
              </w:rPr>
              <w:t>其</w:t>
            </w:r>
            <w:r w:rsidR="002C1452">
              <w:rPr>
                <w:rFonts w:ascii="標楷體" w:eastAsia="標楷體" w:hAnsi="標楷體" w:hint="eastAsia"/>
                <w:snapToGrid w:val="0"/>
                <w:szCs w:val="24"/>
                <w:u w:val="single"/>
              </w:rPr>
              <w:t>加掛ETF受益憑證</w:t>
            </w:r>
            <w:r w:rsidRPr="001929CD">
              <w:rPr>
                <w:rFonts w:ascii="標楷體" w:eastAsia="標楷體" w:hAnsi="標楷體" w:hint="eastAsia"/>
                <w:snapToGrid w:val="0"/>
                <w:szCs w:val="24"/>
              </w:rPr>
              <w:t>，其於開市前三十分鐘至收市之市場行情揭示（含開市前及收市前一段時間試算買賣揭示價格）每月合計不得有下列情事超過六次：</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一、揭示價格除漲停買進或跌停賣出者外，市場行情揭示僅有買進或賣出揭示價格且持續逾十分鐘。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二、最佳一檔買賣價差大於百分之三且持續逾十分鐘。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三、遇有本公司營業細則第五十八條之三第四項及第五項情事，須延緩撮合時間，得排除前述次數之計算。</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四、國外成分證券</w:t>
            </w:r>
            <w:r w:rsidRPr="001929CD">
              <w:rPr>
                <w:rFonts w:ascii="標楷體" w:eastAsia="標楷體" w:hAnsi="標楷體"/>
                <w:snapToGrid w:val="0"/>
                <w:szCs w:val="24"/>
              </w:rPr>
              <w:t>指數股票型</w:t>
            </w:r>
            <w:r w:rsidR="007F65AC" w:rsidRPr="001929CD">
              <w:rPr>
                <w:rFonts w:ascii="標楷體" w:eastAsia="標楷體" w:hAnsi="標楷體"/>
                <w:snapToGrid w:val="0"/>
                <w:szCs w:val="24"/>
                <w:u w:val="single"/>
              </w:rPr>
              <w:t>證券投資信託</w:t>
            </w:r>
            <w:r w:rsidRPr="001929CD">
              <w:rPr>
                <w:rFonts w:ascii="標楷體" w:eastAsia="標楷體" w:hAnsi="標楷體"/>
                <w:snapToGrid w:val="0"/>
                <w:szCs w:val="24"/>
              </w:rPr>
              <w:t>基金</w:t>
            </w:r>
            <w:r w:rsidR="008C2BDD" w:rsidRPr="00651DE9">
              <w:rPr>
                <w:rFonts w:ascii="標楷體" w:eastAsia="標楷體" w:hAnsi="標楷體" w:cs="細明體" w:hint="eastAsia"/>
                <w:kern w:val="0"/>
                <w:u w:val="single"/>
              </w:rPr>
              <w:t>之標的指數成分證券，</w:t>
            </w:r>
            <w:r w:rsidR="008C2BDD" w:rsidRPr="00651DE9">
              <w:rPr>
                <w:rFonts w:ascii="標楷體" w:eastAsia="標楷體" w:hAnsi="標楷體" w:cs="細明體" w:hint="eastAsia"/>
                <w:kern w:val="0"/>
                <w:szCs w:val="24"/>
                <w:u w:val="single"/>
              </w:rPr>
              <w:t>其國外有價證券</w:t>
            </w:r>
            <w:r w:rsidR="008C2BDD" w:rsidRPr="008C2BDD">
              <w:rPr>
                <w:rFonts w:ascii="標楷體" w:eastAsia="標楷體" w:hAnsi="標楷體" w:cs="細明體" w:hint="eastAsia"/>
                <w:kern w:val="0"/>
                <w:szCs w:val="24"/>
                <w:u w:val="single"/>
              </w:rPr>
              <w:t>流通市</w:t>
            </w:r>
            <w:r w:rsidR="008C2BDD" w:rsidRPr="008C2BDD">
              <w:rPr>
                <w:rFonts w:ascii="標楷體" w:eastAsia="標楷體" w:hAnsi="標楷體" w:cs="新細明體" w:hint="eastAsia"/>
                <w:kern w:val="0"/>
                <w:szCs w:val="24"/>
                <w:u w:val="single"/>
              </w:rPr>
              <w:t>場休市時</w:t>
            </w:r>
            <w:r w:rsidR="008C2BDD">
              <w:rPr>
                <w:rFonts w:ascii="標楷體" w:eastAsia="標楷體" w:hAnsi="標楷體" w:hint="eastAsia"/>
                <w:snapToGrid w:val="0"/>
                <w:szCs w:val="24"/>
              </w:rPr>
              <w:t>，</w:t>
            </w:r>
            <w:r w:rsidR="008E0A3F" w:rsidRPr="008E0A3F">
              <w:rPr>
                <w:rFonts w:ascii="標楷體" w:eastAsia="標楷體" w:hAnsi="標楷體" w:hint="eastAsia"/>
                <w:snapToGrid w:val="0"/>
                <w:szCs w:val="24"/>
                <w:u w:val="single"/>
              </w:rPr>
              <w:t>該國外成分證券</w:t>
            </w:r>
            <w:r w:rsidR="008E0A3F" w:rsidRPr="008E0A3F">
              <w:rPr>
                <w:rFonts w:ascii="標楷體" w:eastAsia="標楷體" w:hAnsi="標楷體"/>
                <w:snapToGrid w:val="0"/>
                <w:szCs w:val="24"/>
                <w:u w:val="single"/>
              </w:rPr>
              <w:t>指數股票型證券投資信託基金受益憑證</w:t>
            </w:r>
            <w:r w:rsidR="008E0A3F" w:rsidRPr="008E0A3F">
              <w:rPr>
                <w:rFonts w:ascii="標楷體" w:eastAsia="標楷體" w:hAnsi="標楷體" w:hint="eastAsia"/>
                <w:snapToGrid w:val="0"/>
                <w:szCs w:val="24"/>
                <w:u w:val="single"/>
              </w:rPr>
              <w:t>及其加掛</w:t>
            </w:r>
            <w:r w:rsidR="008E0A3F">
              <w:rPr>
                <w:rFonts w:ascii="標楷體" w:eastAsia="標楷體" w:hAnsi="標楷體" w:hint="eastAsia"/>
                <w:snapToGrid w:val="0"/>
                <w:szCs w:val="24"/>
                <w:u w:val="single"/>
              </w:rPr>
              <w:t>ETF受益憑證</w:t>
            </w:r>
            <w:r w:rsidRPr="001929CD">
              <w:rPr>
                <w:rFonts w:ascii="標楷體" w:eastAsia="標楷體" w:hAnsi="標楷體" w:hint="eastAsia"/>
                <w:snapToGrid w:val="0"/>
                <w:szCs w:val="24"/>
              </w:rPr>
              <w:t>當日市場行情揭示排除前述次數之計算。</w:t>
            </w:r>
          </w:p>
          <w:p w:rsidR="002B712E" w:rsidRDefault="008C2BDD"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Pr>
                <w:rFonts w:ascii="標楷體" w:eastAsia="標楷體" w:hAnsi="標楷體" w:hint="eastAsia"/>
                <w:snapToGrid w:val="0"/>
                <w:szCs w:val="24"/>
              </w:rPr>
              <w:t>五、</w:t>
            </w:r>
            <w:r w:rsidR="002B712E" w:rsidRPr="001929CD">
              <w:rPr>
                <w:rFonts w:ascii="標楷體" w:eastAsia="標楷體" w:hAnsi="標楷體" w:hint="eastAsia"/>
                <w:snapToGrid w:val="0"/>
                <w:szCs w:val="24"/>
              </w:rPr>
              <w:t>指數股票型期貨信託</w:t>
            </w:r>
            <w:r w:rsidR="002B712E" w:rsidRPr="001929CD">
              <w:rPr>
                <w:rFonts w:ascii="標楷體" w:eastAsia="標楷體" w:hAnsi="標楷體" w:hint="eastAsia"/>
                <w:snapToGrid w:val="0"/>
                <w:szCs w:val="24"/>
              </w:rPr>
              <w:lastRenderedPageBreak/>
              <w:t>基金</w:t>
            </w:r>
            <w:r w:rsidRPr="008C2BDD">
              <w:rPr>
                <w:rFonts w:ascii="標楷體" w:eastAsia="標楷體" w:hAnsi="標楷體" w:cs="細明體" w:hint="eastAsia"/>
                <w:u w:val="single"/>
              </w:rPr>
              <w:t>之標的指數成分，其</w:t>
            </w:r>
            <w:r w:rsidRPr="002267DA">
              <w:rPr>
                <w:rFonts w:ascii="標楷體" w:eastAsia="標楷體" w:hAnsi="標楷體" w:cs="細明體" w:hint="eastAsia"/>
              </w:rPr>
              <w:t>國外期貨契約交易市場休市時</w:t>
            </w:r>
            <w:r w:rsidR="002B712E" w:rsidRPr="001929CD">
              <w:rPr>
                <w:rFonts w:ascii="標楷體" w:eastAsia="標楷體" w:hAnsi="標楷體" w:hint="eastAsia"/>
                <w:snapToGrid w:val="0"/>
                <w:szCs w:val="24"/>
              </w:rPr>
              <w:t>，當日市場行情揭示排除前述次數之計算。</w:t>
            </w:r>
          </w:p>
          <w:p w:rsidR="002B712E" w:rsidRPr="008E0A3F" w:rsidRDefault="00401005" w:rsidP="008E0A3F">
            <w:pPr>
              <w:kinsoku w:val="0"/>
              <w:overflowPunct w:val="0"/>
              <w:autoSpaceDE w:val="0"/>
              <w:autoSpaceDN w:val="0"/>
              <w:adjustRightInd w:val="0"/>
              <w:snapToGrid w:val="0"/>
              <w:ind w:leftChars="357" w:left="1337" w:hangingChars="200" w:hanging="480"/>
              <w:jc w:val="both"/>
              <w:rPr>
                <w:rFonts w:ascii="標楷體" w:eastAsia="標楷體" w:hAnsi="標楷體" w:cs="新細明體"/>
                <w:snapToGrid w:val="0"/>
                <w:szCs w:val="24"/>
                <w:u w:val="single"/>
              </w:rPr>
            </w:pPr>
            <w:r w:rsidRPr="00841641">
              <w:rPr>
                <w:rFonts w:ascii="標楷體" w:eastAsia="標楷體" w:hAnsi="標楷體" w:hint="eastAsia"/>
                <w:snapToGrid w:val="0"/>
                <w:szCs w:val="24"/>
                <w:u w:val="single"/>
              </w:rPr>
              <w:t>六、</w:t>
            </w:r>
            <w:r w:rsidR="006E2955">
              <w:rPr>
                <w:rFonts w:ascii="標楷體" w:eastAsia="標楷體" w:hAnsi="標楷體" w:hint="eastAsia"/>
                <w:snapToGrid w:val="0"/>
                <w:szCs w:val="24"/>
                <w:u w:val="single"/>
              </w:rPr>
              <w:t>槓桿反向指數股票型</w:t>
            </w:r>
            <w:r w:rsidRPr="00841641">
              <w:rPr>
                <w:rFonts w:ascii="標楷體" w:eastAsia="標楷體" w:hAnsi="標楷體" w:cs="新細明體" w:hint="eastAsia"/>
                <w:snapToGrid w:val="0"/>
                <w:szCs w:val="24"/>
                <w:u w:val="single"/>
              </w:rPr>
              <w:t>證券投資信託基金</w:t>
            </w:r>
            <w:r w:rsidR="00841641" w:rsidRPr="00841641">
              <w:rPr>
                <w:rFonts w:ascii="標楷體" w:eastAsia="標楷體" w:hAnsi="標楷體" w:cs="新細明體" w:hint="eastAsia"/>
                <w:snapToGrid w:val="0"/>
                <w:szCs w:val="24"/>
                <w:u w:val="single"/>
              </w:rPr>
              <w:t>之標的指數成分</w:t>
            </w:r>
            <w:r w:rsidR="00DC1C7D">
              <w:rPr>
                <w:rFonts w:ascii="標楷體" w:eastAsia="標楷體" w:hAnsi="標楷體" w:cs="新細明體" w:hint="eastAsia"/>
                <w:snapToGrid w:val="0"/>
                <w:szCs w:val="24"/>
                <w:u w:val="single"/>
              </w:rPr>
              <w:t>證券</w:t>
            </w:r>
            <w:r w:rsidR="00841641" w:rsidRPr="00841641">
              <w:rPr>
                <w:rFonts w:ascii="標楷體" w:eastAsia="標楷體" w:hAnsi="標楷體" w:cs="新細明體" w:hint="eastAsia"/>
                <w:snapToGrid w:val="0"/>
                <w:szCs w:val="24"/>
                <w:u w:val="single"/>
              </w:rPr>
              <w:t>，其國外有價證券流通市場休市時，</w:t>
            </w:r>
            <w:r w:rsidR="006E2955">
              <w:rPr>
                <w:rFonts w:ascii="標楷體" w:eastAsia="標楷體" w:hAnsi="標楷體" w:cs="新細明體" w:hint="eastAsia"/>
                <w:snapToGrid w:val="0"/>
                <w:szCs w:val="24"/>
                <w:u w:val="single"/>
              </w:rPr>
              <w:t>該</w:t>
            </w:r>
            <w:r w:rsidR="008E0A3F">
              <w:rPr>
                <w:rFonts w:ascii="標楷體" w:eastAsia="標楷體" w:hAnsi="標楷體" w:cs="新細明體" w:hint="eastAsia"/>
                <w:snapToGrid w:val="0"/>
                <w:szCs w:val="24"/>
                <w:u w:val="single"/>
              </w:rPr>
              <w:t>槓</w:t>
            </w:r>
            <w:r w:rsidR="006E2955">
              <w:rPr>
                <w:rFonts w:ascii="標楷體" w:eastAsia="標楷體" w:hAnsi="標楷體" w:cs="新細明體" w:hint="eastAsia"/>
                <w:snapToGrid w:val="0"/>
                <w:szCs w:val="24"/>
                <w:u w:val="single"/>
              </w:rPr>
              <w:t>桿</w:t>
            </w:r>
            <w:r w:rsidR="008E0A3F">
              <w:rPr>
                <w:rFonts w:ascii="標楷體" w:eastAsia="標楷體" w:hAnsi="標楷體" w:cs="新細明體" w:hint="eastAsia"/>
                <w:snapToGrid w:val="0"/>
                <w:szCs w:val="24"/>
                <w:u w:val="single"/>
              </w:rPr>
              <w:t>反向</w:t>
            </w:r>
            <w:r w:rsidR="006E2955">
              <w:rPr>
                <w:rFonts w:ascii="標楷體" w:eastAsia="標楷體" w:hAnsi="標楷體" w:cs="新細明體" w:hint="eastAsia"/>
                <w:snapToGrid w:val="0"/>
                <w:szCs w:val="24"/>
                <w:u w:val="single"/>
              </w:rPr>
              <w:t>指數股票型</w:t>
            </w:r>
            <w:r w:rsidR="008E0A3F">
              <w:rPr>
                <w:rFonts w:ascii="標楷體" w:eastAsia="標楷體" w:hAnsi="標楷體" w:cs="新細明體" w:hint="eastAsia"/>
                <w:snapToGrid w:val="0"/>
                <w:szCs w:val="24"/>
                <w:u w:val="single"/>
              </w:rPr>
              <w:t>證券投資信託基金受益憑證及其加掛ETF受益憑證</w:t>
            </w:r>
            <w:r w:rsidR="00841641" w:rsidRPr="00841641">
              <w:rPr>
                <w:rFonts w:ascii="標楷體" w:eastAsia="標楷體" w:hAnsi="標楷體" w:cs="新細明體" w:hint="eastAsia"/>
                <w:snapToGrid w:val="0"/>
                <w:szCs w:val="24"/>
                <w:u w:val="single"/>
              </w:rPr>
              <w:t>當日市場行情揭示排除前述次數之計算。</w:t>
            </w:r>
          </w:p>
        </w:tc>
        <w:tc>
          <w:tcPr>
            <w:tcW w:w="3832" w:type="dxa"/>
          </w:tcPr>
          <w:p w:rsidR="00303E8B" w:rsidRPr="001929CD" w:rsidRDefault="002B712E" w:rsidP="002B712E">
            <w:pPr>
              <w:kinsoku w:val="0"/>
              <w:overflowPunct w:val="0"/>
              <w:autoSpaceDE w:val="0"/>
              <w:autoSpaceDN w:val="0"/>
              <w:adjustRightInd w:val="0"/>
              <w:snapToGrid w:val="0"/>
              <w:ind w:left="1236" w:hanging="1247"/>
              <w:jc w:val="both"/>
              <w:rPr>
                <w:rFonts w:ascii="標楷體" w:eastAsia="標楷體" w:hAnsi="標楷體"/>
                <w:snapToGrid w:val="0"/>
                <w:szCs w:val="24"/>
              </w:rPr>
            </w:pPr>
            <w:r w:rsidRPr="001929CD">
              <w:rPr>
                <w:rFonts w:ascii="標楷體" w:eastAsia="標楷體" w:hAnsi="標楷體" w:hint="eastAsia"/>
                <w:snapToGrid w:val="0"/>
                <w:szCs w:val="24"/>
              </w:rPr>
              <w:lastRenderedPageBreak/>
              <w:t>陸之一、ETF如連續三個月有以下市</w:t>
            </w:r>
          </w:p>
          <w:p w:rsidR="002B712E" w:rsidRDefault="002B712E"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r w:rsidRPr="001929CD">
              <w:rPr>
                <w:rFonts w:ascii="標楷體" w:eastAsia="標楷體" w:hAnsi="標楷體" w:hint="eastAsia"/>
                <w:snapToGrid w:val="0"/>
                <w:szCs w:val="24"/>
              </w:rPr>
              <w:t>場行情揭示情事，本公司將通知發行ETF之投信事業</w:t>
            </w:r>
            <w:proofErr w:type="gramStart"/>
            <w:r w:rsidRPr="001929CD">
              <w:rPr>
                <w:rFonts w:ascii="標楷體" w:eastAsia="標楷體" w:hAnsi="標楷體" w:hint="eastAsia"/>
                <w:snapToGrid w:val="0"/>
                <w:szCs w:val="24"/>
              </w:rPr>
              <w:t>或期信事業</w:t>
            </w:r>
            <w:proofErr w:type="gramEnd"/>
            <w:r w:rsidRPr="001929CD">
              <w:rPr>
                <w:rFonts w:ascii="標楷體" w:eastAsia="標楷體" w:hAnsi="標楷體" w:hint="eastAsia"/>
                <w:snapToGrid w:val="0"/>
                <w:szCs w:val="24"/>
              </w:rPr>
              <w:t>於通知後次月起二個月內改善；未於期限內改善者，本公司將發函警告，自次月起二個月內仍未改善，視為違反上市契約，本公司對該投信事業</w:t>
            </w:r>
            <w:proofErr w:type="gramStart"/>
            <w:r w:rsidRPr="001929CD">
              <w:rPr>
                <w:rFonts w:ascii="標楷體" w:eastAsia="標楷體" w:hAnsi="標楷體" w:hint="eastAsia"/>
                <w:snapToGrid w:val="0"/>
                <w:szCs w:val="24"/>
              </w:rPr>
              <w:t>或期信事業</w:t>
            </w:r>
            <w:proofErr w:type="gramEnd"/>
            <w:r w:rsidRPr="001929CD">
              <w:rPr>
                <w:rFonts w:ascii="標楷體" w:eastAsia="標楷體" w:hAnsi="標楷體" w:hint="eastAsia"/>
                <w:snapToGrid w:val="0"/>
                <w:szCs w:val="24"/>
              </w:rPr>
              <w:t>課以新臺幣</w:t>
            </w:r>
            <w:proofErr w:type="gramStart"/>
            <w:r w:rsidRPr="001929CD">
              <w:rPr>
                <w:rFonts w:ascii="標楷體" w:eastAsia="標楷體" w:hAnsi="標楷體" w:hint="eastAsia"/>
                <w:snapToGrid w:val="0"/>
                <w:szCs w:val="24"/>
              </w:rPr>
              <w:t>三</w:t>
            </w:r>
            <w:proofErr w:type="gramEnd"/>
            <w:r w:rsidRPr="001929CD">
              <w:rPr>
                <w:rFonts w:ascii="標楷體" w:eastAsia="標楷體" w:hAnsi="標楷體" w:hint="eastAsia"/>
                <w:snapToGrid w:val="0"/>
                <w:szCs w:val="24"/>
              </w:rPr>
              <w:t>萬元之違約金，且每三</w:t>
            </w:r>
            <w:proofErr w:type="gramStart"/>
            <w:r w:rsidRPr="001929CD">
              <w:rPr>
                <w:rFonts w:ascii="標楷體" w:eastAsia="標楷體" w:hAnsi="標楷體" w:hint="eastAsia"/>
                <w:snapToGrid w:val="0"/>
                <w:szCs w:val="24"/>
              </w:rPr>
              <w:t>個</w:t>
            </w:r>
            <w:proofErr w:type="gramEnd"/>
            <w:r w:rsidRPr="001929CD">
              <w:rPr>
                <w:rFonts w:ascii="標楷體" w:eastAsia="標楷體" w:hAnsi="標楷體" w:hint="eastAsia"/>
                <w:snapToGrid w:val="0"/>
                <w:szCs w:val="24"/>
              </w:rPr>
              <w:t>月查處一次並得連續處分至改善為止。</w:t>
            </w:r>
          </w:p>
          <w:p w:rsidR="008C2BDD" w:rsidRPr="001929CD" w:rsidRDefault="008C2BDD"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2B712E" w:rsidRDefault="002B712E"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r w:rsidRPr="008C2BDD">
              <w:rPr>
                <w:rFonts w:ascii="標楷體" w:eastAsia="標楷體" w:hAnsi="標楷體" w:hint="eastAsia"/>
                <w:snapToGrid w:val="0"/>
                <w:szCs w:val="24"/>
                <w:u w:val="single"/>
              </w:rPr>
              <w:t>依受益憑證買賣辦法第二條所稱之</w:t>
            </w:r>
            <w:r w:rsidRPr="001929CD">
              <w:rPr>
                <w:rFonts w:ascii="標楷體" w:eastAsia="標楷體" w:hAnsi="標楷體" w:hint="eastAsia"/>
                <w:snapToGrid w:val="0"/>
                <w:szCs w:val="24"/>
              </w:rPr>
              <w:t>國內成分證券</w:t>
            </w:r>
            <w:r w:rsidRPr="001929CD">
              <w:rPr>
                <w:rFonts w:ascii="標楷體" w:eastAsia="標楷體" w:hAnsi="標楷體"/>
                <w:snapToGrid w:val="0"/>
                <w:szCs w:val="24"/>
              </w:rPr>
              <w:t>指數股票型基金</w:t>
            </w:r>
            <w:r w:rsidRPr="001929CD">
              <w:rPr>
                <w:rFonts w:ascii="標楷體" w:eastAsia="標楷體" w:hAnsi="標楷體" w:hint="eastAsia"/>
                <w:snapToGrid w:val="0"/>
                <w:szCs w:val="24"/>
              </w:rPr>
              <w:t>，其於開市前三十分鐘至收市之市場行情揭示（含開市前及收市前一段時間試算買賣揭示價格），每月分別不得有下列情事超過二次：</w:t>
            </w:r>
          </w:p>
          <w:p w:rsidR="002C1452" w:rsidRDefault="002C1452"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2C1452" w:rsidRDefault="002C1452"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C11406" w:rsidRDefault="00C11406">
            <w:pPr>
              <w:kinsoku w:val="0"/>
              <w:overflowPunct w:val="0"/>
              <w:autoSpaceDE w:val="0"/>
              <w:autoSpaceDN w:val="0"/>
              <w:adjustRightInd w:val="0"/>
              <w:snapToGrid w:val="0"/>
              <w:jc w:val="both"/>
              <w:rPr>
                <w:rFonts w:ascii="標楷體" w:eastAsia="標楷體" w:hAnsi="標楷體"/>
                <w:snapToGrid w:val="0"/>
                <w:szCs w:val="24"/>
              </w:rPr>
            </w:pP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一、揭示價格除漲停買進或跌停賣出者外，市場行情揭示僅有買進或賣出揭示價格且持續逾三分鐘。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二、最佳一檔買賣價差大於百分之一且持續逾</w:t>
            </w:r>
            <w:r w:rsidRPr="001929CD">
              <w:rPr>
                <w:rFonts w:ascii="標楷體" w:eastAsia="標楷體" w:hAnsi="標楷體" w:hint="eastAsia"/>
                <w:snapToGrid w:val="0"/>
                <w:szCs w:val="24"/>
              </w:rPr>
              <w:lastRenderedPageBreak/>
              <w:t>十分鐘。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三、遇有本公司營業細則第五十八條之三第四項及第五項情事，須延緩撮合時間時，得排除前述時間之計算。</w:t>
            </w:r>
          </w:p>
          <w:p w:rsidR="002B712E" w:rsidRDefault="009C7DC4"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r w:rsidRPr="009C7DC4">
              <w:rPr>
                <w:rFonts w:ascii="標楷體" w:eastAsia="標楷體" w:hAnsi="標楷體" w:hint="eastAsia"/>
                <w:snapToGrid w:val="0"/>
                <w:szCs w:val="24"/>
                <w:u w:val="single"/>
              </w:rPr>
              <w:t>依受益憑證買賣辦法第二條所稱之</w:t>
            </w:r>
            <w:r w:rsidR="002B712E" w:rsidRPr="001929CD">
              <w:rPr>
                <w:rFonts w:ascii="標楷體" w:eastAsia="標楷體" w:hAnsi="標楷體" w:hint="eastAsia"/>
                <w:snapToGrid w:val="0"/>
                <w:szCs w:val="24"/>
              </w:rPr>
              <w:t>國外成分證券</w:t>
            </w:r>
            <w:r w:rsidR="002B712E" w:rsidRPr="001929CD">
              <w:rPr>
                <w:rFonts w:ascii="標楷體" w:eastAsia="標楷體" w:hAnsi="標楷體"/>
                <w:snapToGrid w:val="0"/>
                <w:szCs w:val="24"/>
              </w:rPr>
              <w:t>指數股票型基金</w:t>
            </w:r>
            <w:r w:rsidR="002B712E" w:rsidRPr="001929CD">
              <w:rPr>
                <w:rFonts w:ascii="標楷體" w:eastAsia="標楷體" w:hAnsi="標楷體" w:hint="eastAsia"/>
                <w:snapToGrid w:val="0"/>
                <w:szCs w:val="24"/>
              </w:rPr>
              <w:t>及指數股票型期貨信託基金，其於開市前三十分鐘至收市之市場行情揭示（含開市前及收市前一段時間試算買賣揭示價格）每月合計不得有下列情事超過六次：</w:t>
            </w:r>
          </w:p>
          <w:p w:rsidR="008C2BDD" w:rsidRDefault="008C2BDD"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2C1452" w:rsidRDefault="002C1452"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E21213" w:rsidRDefault="00E21213"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B106C8" w:rsidRDefault="00B106C8"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9376DB" w:rsidRPr="009376DB" w:rsidRDefault="009376DB" w:rsidP="00303E8B">
            <w:pPr>
              <w:kinsoku w:val="0"/>
              <w:overflowPunct w:val="0"/>
              <w:autoSpaceDE w:val="0"/>
              <w:autoSpaceDN w:val="0"/>
              <w:adjustRightInd w:val="0"/>
              <w:snapToGrid w:val="0"/>
              <w:ind w:leftChars="300" w:left="720"/>
              <w:jc w:val="both"/>
              <w:rPr>
                <w:rFonts w:ascii="標楷體" w:eastAsia="標楷體" w:hAnsi="標楷體"/>
                <w:snapToGrid w:val="0"/>
                <w:szCs w:val="24"/>
              </w:rPr>
            </w:pP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一、揭示價格除漲停買進或跌停賣出者外，市場行情揭示僅有買進或賣出揭示價格且持續逾十分鐘。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二、最佳一檔買賣價差大於百分之三且持續逾十分鐘。</w:t>
            </w: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三、遇有本公司營業細則第五十八條之三第四項及第五項情事，須延緩撮合時間，得排除前述次數之計算。</w:t>
            </w:r>
          </w:p>
          <w:p w:rsidR="00DC1C7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四、國外成分證券</w:t>
            </w:r>
            <w:r w:rsidRPr="001929CD">
              <w:rPr>
                <w:rFonts w:ascii="標楷體" w:eastAsia="標楷體" w:hAnsi="標楷體"/>
                <w:snapToGrid w:val="0"/>
                <w:szCs w:val="24"/>
              </w:rPr>
              <w:t>指數股票型基金</w:t>
            </w:r>
            <w:r w:rsidR="009C7DC4" w:rsidRPr="009C7DC4">
              <w:rPr>
                <w:rFonts w:ascii="標楷體" w:eastAsia="標楷體" w:hAnsi="標楷體" w:hint="eastAsia"/>
                <w:snapToGrid w:val="0"/>
                <w:szCs w:val="24"/>
                <w:u w:val="single"/>
              </w:rPr>
              <w:t>如遇其</w:t>
            </w:r>
            <w:r w:rsidRPr="004E5063">
              <w:rPr>
                <w:rFonts w:ascii="標楷體" w:eastAsia="標楷體" w:hAnsi="標楷體" w:hint="eastAsia"/>
                <w:snapToGrid w:val="0"/>
                <w:szCs w:val="24"/>
              </w:rPr>
              <w:t>指數成分證券</w:t>
            </w:r>
            <w:r w:rsidR="009C7DC4" w:rsidRPr="009C7DC4">
              <w:rPr>
                <w:rFonts w:ascii="標楷體" w:eastAsia="標楷體" w:hAnsi="標楷體" w:hint="eastAsia"/>
                <w:snapToGrid w:val="0"/>
                <w:szCs w:val="24"/>
                <w:u w:val="single"/>
              </w:rPr>
              <w:t>上市地之國外證券</w:t>
            </w:r>
            <w:r w:rsidRPr="004E534C">
              <w:rPr>
                <w:rFonts w:ascii="標楷體" w:eastAsia="標楷體" w:hAnsi="標楷體" w:hint="eastAsia"/>
                <w:snapToGrid w:val="0"/>
                <w:szCs w:val="24"/>
              </w:rPr>
              <w:t>市</w:t>
            </w:r>
            <w:r w:rsidRPr="004E5063">
              <w:rPr>
                <w:rFonts w:ascii="標楷體" w:eastAsia="標楷體" w:hAnsi="標楷體" w:hint="eastAsia"/>
                <w:snapToGrid w:val="0"/>
                <w:szCs w:val="24"/>
              </w:rPr>
              <w:t>場休市</w:t>
            </w:r>
            <w:r w:rsidRPr="001929CD">
              <w:rPr>
                <w:rFonts w:ascii="標楷體" w:eastAsia="標楷體" w:hAnsi="標楷體" w:hint="eastAsia"/>
                <w:snapToGrid w:val="0"/>
                <w:szCs w:val="24"/>
              </w:rPr>
              <w:t>，當日市場行情揭示排除前述次數之計算。</w:t>
            </w:r>
          </w:p>
          <w:p w:rsidR="002C1452" w:rsidRDefault="002C1452" w:rsidP="00DC1C7D">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p>
          <w:p w:rsidR="00E21213" w:rsidRDefault="00E21213" w:rsidP="00DC1C7D">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p>
          <w:p w:rsidR="00E21213" w:rsidRDefault="00E21213" w:rsidP="00DC1C7D">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p>
          <w:p w:rsidR="00E21213" w:rsidRDefault="00E21213" w:rsidP="00DC1C7D">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p>
          <w:p w:rsidR="00E21213" w:rsidRPr="001929CD" w:rsidRDefault="00E21213" w:rsidP="00DC1C7D">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p>
          <w:p w:rsidR="002B712E" w:rsidRPr="001929CD" w:rsidRDefault="002B712E" w:rsidP="00F90E81">
            <w:pPr>
              <w:kinsoku w:val="0"/>
              <w:overflowPunct w:val="0"/>
              <w:autoSpaceDE w:val="0"/>
              <w:autoSpaceDN w:val="0"/>
              <w:adjustRightInd w:val="0"/>
              <w:snapToGrid w:val="0"/>
              <w:ind w:leftChars="357" w:left="1337" w:hangingChars="200" w:hanging="480"/>
              <w:jc w:val="both"/>
              <w:rPr>
                <w:rFonts w:ascii="標楷體" w:eastAsia="標楷體" w:hAnsi="標楷體"/>
                <w:snapToGrid w:val="0"/>
                <w:szCs w:val="24"/>
              </w:rPr>
            </w:pPr>
            <w:r w:rsidRPr="001929CD">
              <w:rPr>
                <w:rFonts w:ascii="標楷體" w:eastAsia="標楷體" w:hAnsi="標楷體" w:hint="eastAsia"/>
                <w:snapToGrid w:val="0"/>
                <w:szCs w:val="24"/>
              </w:rPr>
              <w:t>五、</w:t>
            </w:r>
            <w:r w:rsidRPr="00A6746F">
              <w:rPr>
                <w:rFonts w:ascii="標楷體" w:eastAsia="標楷體" w:hAnsi="標楷體" w:hint="eastAsia"/>
                <w:snapToGrid w:val="0"/>
                <w:szCs w:val="24"/>
                <w:u w:val="single"/>
              </w:rPr>
              <w:t>如遇</w:t>
            </w:r>
            <w:r w:rsidRPr="001929CD">
              <w:rPr>
                <w:rFonts w:ascii="標楷體" w:eastAsia="標楷體" w:hAnsi="標楷體" w:hint="eastAsia"/>
                <w:snapToGrid w:val="0"/>
                <w:szCs w:val="24"/>
              </w:rPr>
              <w:t>指數股票型期貨</w:t>
            </w:r>
            <w:r w:rsidRPr="001929CD">
              <w:rPr>
                <w:rFonts w:ascii="標楷體" w:eastAsia="標楷體" w:hAnsi="標楷體" w:hint="eastAsia"/>
                <w:snapToGrid w:val="0"/>
                <w:szCs w:val="24"/>
              </w:rPr>
              <w:lastRenderedPageBreak/>
              <w:t>信託基金</w:t>
            </w:r>
            <w:r w:rsidR="009C7DC4" w:rsidRPr="009C7DC4">
              <w:rPr>
                <w:rFonts w:ascii="標楷體" w:eastAsia="標楷體" w:hAnsi="標楷體"/>
                <w:snapToGrid w:val="0"/>
                <w:szCs w:val="24"/>
                <w:u w:val="single"/>
              </w:rPr>
              <w:t>所表彰之</w:t>
            </w:r>
            <w:r w:rsidRPr="00A6746F">
              <w:rPr>
                <w:rFonts w:ascii="標楷體" w:eastAsia="標楷體" w:hAnsi="標楷體"/>
                <w:snapToGrid w:val="0"/>
                <w:szCs w:val="24"/>
              </w:rPr>
              <w:t>國外</w:t>
            </w:r>
            <w:r w:rsidRPr="00A6746F">
              <w:rPr>
                <w:rFonts w:ascii="標楷體" w:eastAsia="標楷體" w:hAnsi="標楷體" w:hint="eastAsia"/>
                <w:snapToGrid w:val="0"/>
                <w:szCs w:val="24"/>
              </w:rPr>
              <w:t>期貨契約交易市場</w:t>
            </w:r>
            <w:r w:rsidRPr="00A6746F">
              <w:rPr>
                <w:rFonts w:ascii="標楷體" w:eastAsia="標楷體" w:hAnsi="標楷體"/>
                <w:snapToGrid w:val="0"/>
                <w:szCs w:val="24"/>
              </w:rPr>
              <w:t>休市時</w:t>
            </w:r>
            <w:r w:rsidRPr="001929CD">
              <w:rPr>
                <w:rFonts w:ascii="標楷體" w:eastAsia="標楷體" w:hAnsi="標楷體" w:hint="eastAsia"/>
                <w:snapToGrid w:val="0"/>
                <w:szCs w:val="24"/>
              </w:rPr>
              <w:t>，當日市場行情揭示排除前述次數之計算。</w:t>
            </w:r>
          </w:p>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p>
        </w:tc>
        <w:tc>
          <w:tcPr>
            <w:tcW w:w="3018" w:type="dxa"/>
          </w:tcPr>
          <w:p w:rsidR="009C7DC4" w:rsidRDefault="00106C86" w:rsidP="009C7DC4">
            <w:pPr>
              <w:ind w:left="480" w:hangingChars="200" w:hanging="480"/>
              <w:jc w:val="both"/>
              <w:rPr>
                <w:rFonts w:ascii="標楷體" w:eastAsia="標楷體" w:hAnsi="標楷體" w:cs="新細明體"/>
              </w:rPr>
            </w:pPr>
            <w:r w:rsidRPr="001929CD">
              <w:rPr>
                <w:rFonts w:ascii="標楷體" w:eastAsia="標楷體" w:hAnsi="標楷體"/>
              </w:rPr>
              <w:lastRenderedPageBreak/>
              <w:t>一、</w:t>
            </w:r>
            <w:r w:rsidR="008C2BDD">
              <w:rPr>
                <w:rFonts w:ascii="標楷體" w:eastAsia="標楷體" w:hAnsi="標楷體" w:hint="eastAsia"/>
              </w:rPr>
              <w:t>配合「受益憑證買賣辦法」第二條第一項第二款第一目修正</w:t>
            </w:r>
            <w:r w:rsidRPr="001929CD">
              <w:rPr>
                <w:rFonts w:ascii="標楷體" w:eastAsia="標楷體" w:hAnsi="標楷體" w:hint="eastAsia"/>
              </w:rPr>
              <w:t>，證券投資信託事業募集之指數股票型</w:t>
            </w:r>
            <w:r w:rsidR="00701AAB" w:rsidRPr="001929CD">
              <w:rPr>
                <w:rFonts w:ascii="標楷體" w:eastAsia="標楷體" w:hAnsi="標楷體" w:cs="新細明體" w:hint="eastAsia"/>
              </w:rPr>
              <w:t>證券投資信託基金</w:t>
            </w:r>
            <w:r w:rsidR="008C2BDD">
              <w:rPr>
                <w:rFonts w:ascii="標楷體" w:eastAsia="標楷體" w:hAnsi="標楷體" w:cs="新細明體" w:hint="eastAsia"/>
              </w:rPr>
              <w:t>之簡稱</w:t>
            </w:r>
            <w:r w:rsidR="00881D97">
              <w:rPr>
                <w:rFonts w:ascii="標楷體" w:eastAsia="標楷體" w:hAnsi="標楷體" w:cs="新細明體" w:hint="eastAsia"/>
              </w:rPr>
              <w:t>為指數股票型證券投資信託基金</w:t>
            </w:r>
            <w:r w:rsidR="00447BE0">
              <w:rPr>
                <w:rFonts w:ascii="標楷體" w:eastAsia="標楷體" w:hAnsi="標楷體" w:cs="新細明體" w:hint="eastAsia"/>
              </w:rPr>
              <w:t>，</w:t>
            </w:r>
            <w:proofErr w:type="gramStart"/>
            <w:r w:rsidR="00447BE0">
              <w:rPr>
                <w:rFonts w:ascii="標楷體" w:eastAsia="標楷體" w:hAnsi="標楷體" w:cs="新細明體" w:hint="eastAsia"/>
                <w:kern w:val="0"/>
              </w:rPr>
              <w:t>爰</w:t>
            </w:r>
            <w:proofErr w:type="gramEnd"/>
            <w:r w:rsidR="00447BE0">
              <w:rPr>
                <w:rFonts w:ascii="標楷體" w:eastAsia="標楷體" w:hAnsi="標楷體" w:cs="新細明體" w:hint="eastAsia"/>
                <w:kern w:val="0"/>
              </w:rPr>
              <w:t>修正相關用語。</w:t>
            </w:r>
          </w:p>
          <w:p w:rsidR="009C7DC4" w:rsidRDefault="00106C86" w:rsidP="009C7DC4">
            <w:pPr>
              <w:jc w:val="both"/>
              <w:rPr>
                <w:rFonts w:ascii="標楷體" w:eastAsia="標楷體" w:hAnsi="標楷體"/>
              </w:rPr>
            </w:pPr>
            <w:r w:rsidRPr="001929CD">
              <w:rPr>
                <w:rFonts w:ascii="標楷體" w:eastAsia="標楷體" w:hAnsi="標楷體" w:hint="eastAsia"/>
              </w:rPr>
              <w:t>二、</w:t>
            </w:r>
            <w:proofErr w:type="gramStart"/>
            <w:r w:rsidR="00AE4503" w:rsidRPr="001929CD">
              <w:rPr>
                <w:rFonts w:ascii="標楷體" w:eastAsia="標楷體" w:hAnsi="標楷體" w:hint="eastAsia"/>
              </w:rPr>
              <w:t>酌修文字</w:t>
            </w:r>
            <w:proofErr w:type="gramEnd"/>
            <w:r w:rsidR="00AE4503" w:rsidRPr="001929CD">
              <w:rPr>
                <w:rFonts w:ascii="標楷體" w:eastAsia="標楷體" w:hAnsi="標楷體" w:hint="eastAsia"/>
              </w:rPr>
              <w:t>。</w:t>
            </w:r>
          </w:p>
          <w:p w:rsidR="009C7DC4" w:rsidRDefault="005833AA" w:rsidP="009C7DC4">
            <w:pPr>
              <w:jc w:val="both"/>
              <w:rPr>
                <w:rFonts w:ascii="標楷體" w:eastAsia="標楷體" w:hAnsi="標楷體"/>
              </w:rPr>
            </w:pPr>
            <w:r>
              <w:rPr>
                <w:rFonts w:ascii="標楷體" w:eastAsia="標楷體" w:hAnsi="標楷體" w:hint="eastAsia"/>
              </w:rPr>
              <w:t>三、</w:t>
            </w:r>
            <w:r w:rsidR="001B79FA">
              <w:rPr>
                <w:rFonts w:ascii="標楷體" w:eastAsia="標楷體" w:hAnsi="標楷體" w:hint="eastAsia"/>
              </w:rPr>
              <w:t>槓桿反向指數股票型證</w:t>
            </w:r>
          </w:p>
          <w:p w:rsidR="009C7DC4" w:rsidRDefault="005833AA" w:rsidP="009C7DC4">
            <w:pPr>
              <w:jc w:val="distribute"/>
              <w:rPr>
                <w:rFonts w:ascii="標楷體" w:eastAsia="標楷體" w:hAnsi="標楷體"/>
              </w:rPr>
            </w:pPr>
            <w:r>
              <w:rPr>
                <w:rFonts w:ascii="標楷體" w:eastAsia="標楷體" w:hAnsi="標楷體" w:hint="eastAsia"/>
              </w:rPr>
              <w:t xml:space="preserve">    </w:t>
            </w:r>
            <w:proofErr w:type="gramStart"/>
            <w:r w:rsidR="001B79FA">
              <w:rPr>
                <w:rFonts w:ascii="標楷體" w:eastAsia="標楷體" w:hAnsi="標楷體" w:hint="eastAsia"/>
              </w:rPr>
              <w:t>券</w:t>
            </w:r>
            <w:proofErr w:type="gramEnd"/>
            <w:r w:rsidR="001B79FA">
              <w:rPr>
                <w:rFonts w:ascii="標楷體" w:eastAsia="標楷體" w:hAnsi="標楷體" w:hint="eastAsia"/>
              </w:rPr>
              <w:t>投資信託基金受益</w:t>
            </w:r>
          </w:p>
          <w:p w:rsidR="009C7DC4" w:rsidRDefault="001B79FA" w:rsidP="009C7DC4">
            <w:pPr>
              <w:ind w:leftChars="200" w:left="480"/>
              <w:jc w:val="both"/>
              <w:rPr>
                <w:rFonts w:ascii="標楷體" w:eastAsia="標楷體" w:hAnsi="標楷體"/>
              </w:rPr>
            </w:pPr>
            <w:r>
              <w:rPr>
                <w:rFonts w:ascii="標楷體" w:eastAsia="標楷體" w:hAnsi="標楷體" w:hint="eastAsia"/>
              </w:rPr>
              <w:t>憑證及加掛ETF受益憑證</w:t>
            </w:r>
            <w:r w:rsidR="00BB70B0">
              <w:rPr>
                <w:rFonts w:ascii="標楷體" w:eastAsia="標楷體" w:hAnsi="標楷體" w:hint="eastAsia"/>
              </w:rPr>
              <w:t>之</w:t>
            </w:r>
            <w:r w:rsidR="008E0A3F">
              <w:rPr>
                <w:rFonts w:ascii="標楷體" w:eastAsia="標楷體" w:hAnsi="標楷體" w:hint="eastAsia"/>
              </w:rPr>
              <w:t>市場行情揭示</w:t>
            </w:r>
            <w:r w:rsidR="007B57C7">
              <w:rPr>
                <w:rFonts w:ascii="標楷體" w:eastAsia="標楷體" w:hAnsi="標楷體" w:hint="eastAsia"/>
              </w:rPr>
              <w:t>須符合</w:t>
            </w:r>
            <w:r w:rsidR="005833AA">
              <w:rPr>
                <w:rFonts w:ascii="標楷體" w:eastAsia="標楷體" w:hAnsi="標楷體" w:hint="eastAsia"/>
              </w:rPr>
              <w:t>規定，爰於第二項及第三項增列。</w:t>
            </w:r>
          </w:p>
          <w:p w:rsidR="00C11406" w:rsidRDefault="00841641">
            <w:pPr>
              <w:ind w:left="480" w:hangingChars="200" w:hanging="480"/>
              <w:jc w:val="both"/>
              <w:rPr>
                <w:rFonts w:ascii="標楷體" w:eastAsia="標楷體" w:hAnsi="標楷體"/>
              </w:rPr>
            </w:pPr>
            <w:r>
              <w:rPr>
                <w:rFonts w:ascii="標楷體" w:eastAsia="標楷體" w:hAnsi="標楷體" w:hint="eastAsia"/>
              </w:rPr>
              <w:t>四、增列第三項第六款槓桿</w:t>
            </w:r>
            <w:r w:rsidR="008E0A3F">
              <w:rPr>
                <w:rFonts w:ascii="標楷體" w:eastAsia="標楷體" w:hAnsi="標楷體" w:hint="eastAsia"/>
              </w:rPr>
              <w:t xml:space="preserve">  </w:t>
            </w:r>
            <w:r w:rsidRPr="006E2955">
              <w:rPr>
                <w:rFonts w:ascii="標楷體" w:eastAsia="標楷體" w:hAnsi="標楷體" w:hint="eastAsia"/>
              </w:rPr>
              <w:t>反向指數股票型</w:t>
            </w:r>
            <w:r w:rsidR="009C7DC4" w:rsidRPr="009C7DC4">
              <w:rPr>
                <w:rFonts w:ascii="標楷體" w:eastAsia="標楷體" w:hAnsi="標楷體" w:cs="新細明體" w:hint="eastAsia"/>
              </w:rPr>
              <w:t>證券投資信託</w:t>
            </w:r>
            <w:r w:rsidRPr="006E2955">
              <w:rPr>
                <w:rFonts w:ascii="標楷體" w:eastAsia="標楷體" w:hAnsi="標楷體" w:hint="eastAsia"/>
              </w:rPr>
              <w:t>基</w:t>
            </w:r>
            <w:r>
              <w:rPr>
                <w:rFonts w:ascii="標楷體" w:eastAsia="標楷體" w:hAnsi="標楷體" w:hint="eastAsia"/>
              </w:rPr>
              <w:t>金受益憑證</w:t>
            </w:r>
            <w:r w:rsidR="00DC1C7D">
              <w:rPr>
                <w:rFonts w:ascii="標楷體" w:eastAsia="標楷體" w:hAnsi="標楷體" w:hint="eastAsia"/>
              </w:rPr>
              <w:t>及</w:t>
            </w:r>
            <w:r w:rsidR="005833AA">
              <w:rPr>
                <w:rFonts w:ascii="標楷體" w:eastAsia="標楷體" w:hAnsi="標楷體" w:hint="eastAsia"/>
              </w:rPr>
              <w:t>其</w:t>
            </w:r>
            <w:r w:rsidR="00DC1C7D">
              <w:rPr>
                <w:rFonts w:ascii="標楷體" w:eastAsia="標楷體" w:hAnsi="標楷體" w:hint="eastAsia"/>
              </w:rPr>
              <w:t>加掛ETF受益憑證</w:t>
            </w:r>
            <w:r>
              <w:rPr>
                <w:rFonts w:ascii="標楷體" w:eastAsia="標楷體" w:hAnsi="標楷體" w:hint="eastAsia"/>
              </w:rPr>
              <w:t>之標的指數成分證券，其國外有價證券市場休市時，</w:t>
            </w:r>
            <w:r w:rsidR="00FC71D0">
              <w:rPr>
                <w:rFonts w:ascii="標楷體" w:eastAsia="標楷體" w:hAnsi="標楷體" w:hint="eastAsia"/>
              </w:rPr>
              <w:t>得排除</w:t>
            </w:r>
            <w:r>
              <w:rPr>
                <w:rFonts w:ascii="標楷體" w:eastAsia="標楷體" w:hAnsi="標楷體" w:hint="eastAsia"/>
              </w:rPr>
              <w:t>行情揭示之</w:t>
            </w:r>
            <w:r w:rsidR="00FC71D0">
              <w:rPr>
                <w:rFonts w:ascii="標楷體" w:eastAsia="標楷體" w:hAnsi="標楷體" w:hint="eastAsia"/>
              </w:rPr>
              <w:t>規定。</w:t>
            </w:r>
          </w:p>
          <w:p w:rsidR="009C7DC4" w:rsidRDefault="009C7DC4" w:rsidP="009C7DC4">
            <w:pPr>
              <w:jc w:val="both"/>
              <w:rPr>
                <w:rFonts w:ascii="標楷體" w:eastAsia="標楷體" w:hAnsi="標楷體"/>
                <w:szCs w:val="24"/>
              </w:rPr>
            </w:pPr>
          </w:p>
        </w:tc>
      </w:tr>
      <w:tr w:rsidR="002B712E" w:rsidRPr="001929CD" w:rsidTr="00EF4886">
        <w:tc>
          <w:tcPr>
            <w:tcW w:w="3832" w:type="dxa"/>
          </w:tcPr>
          <w:p w:rsidR="002B712E" w:rsidRPr="001929CD" w:rsidRDefault="002B712E" w:rsidP="00657820">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捌、流動量提供者之優惠</w:t>
            </w: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一、流動量提供者就該ETF</w:t>
            </w:r>
            <w:r w:rsidR="00627BE4" w:rsidRPr="001929CD">
              <w:rPr>
                <w:rFonts w:ascii="標楷體" w:eastAsia="標楷體" w:hAnsi="標楷體" w:hint="eastAsia"/>
                <w:u w:val="single"/>
              </w:rPr>
              <w:t>受益憑證</w:t>
            </w:r>
            <w:r w:rsidRPr="001929CD">
              <w:rPr>
                <w:rFonts w:ascii="標楷體" w:eastAsia="標楷體" w:hAnsi="標楷體"/>
                <w:snapToGrid w:val="0"/>
                <w:szCs w:val="24"/>
              </w:rPr>
              <w:t>鉅額買賣、普通交易、盤後定價及零股交易，</w:t>
            </w:r>
            <w:proofErr w:type="gramStart"/>
            <w:r w:rsidRPr="001929CD">
              <w:rPr>
                <w:rFonts w:ascii="標楷體" w:eastAsia="標楷體" w:hAnsi="標楷體"/>
                <w:snapToGrid w:val="0"/>
                <w:szCs w:val="24"/>
              </w:rPr>
              <w:t>同日現股</w:t>
            </w:r>
            <w:proofErr w:type="gramEnd"/>
            <w:r w:rsidRPr="001929CD">
              <w:rPr>
                <w:rFonts w:ascii="標楷體" w:eastAsia="標楷體" w:hAnsi="標楷體"/>
                <w:snapToGrid w:val="0"/>
                <w:szCs w:val="24"/>
              </w:rPr>
              <w:t>買賣同一</w:t>
            </w:r>
            <w:proofErr w:type="gramStart"/>
            <w:r w:rsidRPr="001929CD">
              <w:rPr>
                <w:rFonts w:ascii="標楷體" w:eastAsia="標楷體" w:hAnsi="標楷體"/>
                <w:snapToGrid w:val="0"/>
                <w:szCs w:val="24"/>
              </w:rPr>
              <w:t>交割期得進行</w:t>
            </w:r>
            <w:proofErr w:type="gramEnd"/>
            <w:r w:rsidRPr="001929CD">
              <w:rPr>
                <w:rFonts w:ascii="標楷體" w:eastAsia="標楷體" w:hAnsi="標楷體"/>
                <w:snapToGrid w:val="0"/>
                <w:szCs w:val="24"/>
              </w:rPr>
              <w:t>買賣相抵之交割。前揭相抵後，仍有賣出餘額者，得於當日由本公司借</w:t>
            </w:r>
            <w:proofErr w:type="gramStart"/>
            <w:r w:rsidRPr="001929CD">
              <w:rPr>
                <w:rFonts w:ascii="標楷體" w:eastAsia="標楷體" w:hAnsi="標楷體"/>
                <w:snapToGrid w:val="0"/>
                <w:szCs w:val="24"/>
              </w:rPr>
              <w:t>券</w:t>
            </w:r>
            <w:proofErr w:type="gramEnd"/>
            <w:r w:rsidRPr="001929CD">
              <w:rPr>
                <w:rFonts w:ascii="標楷體" w:eastAsia="標楷體" w:hAnsi="標楷體"/>
                <w:snapToGrid w:val="0"/>
                <w:szCs w:val="24"/>
              </w:rPr>
              <w:t>系統或依</w:t>
            </w:r>
            <w:proofErr w:type="gramStart"/>
            <w:r w:rsidRPr="001929CD">
              <w:rPr>
                <w:rFonts w:ascii="標楷體" w:eastAsia="標楷體" w:hAnsi="標楷體"/>
                <w:snapToGrid w:val="0"/>
                <w:szCs w:val="24"/>
              </w:rPr>
              <w:t>規</w:t>
            </w:r>
            <w:proofErr w:type="gramEnd"/>
            <w:r w:rsidRPr="001929CD">
              <w:rPr>
                <w:rFonts w:ascii="標楷體" w:eastAsia="標楷體" w:hAnsi="標楷體"/>
                <w:snapToGrid w:val="0"/>
                <w:szCs w:val="24"/>
              </w:rPr>
              <w:t>向證券商借入該ETF</w:t>
            </w:r>
            <w:r w:rsidR="00627BE4" w:rsidRPr="00C43A75">
              <w:rPr>
                <w:rFonts w:ascii="標楷體" w:eastAsia="標楷體" w:hAnsi="標楷體" w:hint="eastAsia"/>
              </w:rPr>
              <w:t>受益憑證</w:t>
            </w:r>
            <w:r w:rsidR="00C72A05" w:rsidRPr="00C43A75">
              <w:rPr>
                <w:rFonts w:ascii="標楷體" w:eastAsia="標楷體" w:hAnsi="標楷體" w:hint="eastAsia"/>
                <w:snapToGrid w:val="0"/>
                <w:szCs w:val="24"/>
              </w:rPr>
              <w:t>，</w:t>
            </w:r>
            <w:r w:rsidR="00C72A05" w:rsidRPr="00DC1C7D">
              <w:rPr>
                <w:rFonts w:ascii="標楷體" w:eastAsia="標楷體" w:hAnsi="標楷體" w:hint="eastAsia"/>
                <w:snapToGrid w:val="0"/>
                <w:szCs w:val="24"/>
                <w:u w:val="single"/>
              </w:rPr>
              <w:t>另</w:t>
            </w:r>
            <w:r w:rsidR="00C72A05" w:rsidRPr="00C43A75">
              <w:rPr>
                <w:rFonts w:ascii="標楷體" w:eastAsia="標楷體" w:hAnsi="標楷體" w:hint="eastAsia"/>
                <w:snapToGrid w:val="0"/>
                <w:szCs w:val="24"/>
              </w:rPr>
              <w:t>至</w:t>
            </w:r>
            <w:r w:rsidR="00C72A05" w:rsidRPr="00C43A75">
              <w:rPr>
                <w:rFonts w:ascii="標楷體" w:eastAsia="標楷體" w:hAnsi="標楷體"/>
                <w:snapToGrid w:val="0"/>
                <w:szCs w:val="24"/>
              </w:rPr>
              <w:t>遲於次二營業日依本公司營業細則第一○九條規定申</w:t>
            </w:r>
            <w:r w:rsidR="00C72A05" w:rsidRPr="00BB70B0">
              <w:rPr>
                <w:rFonts w:ascii="標楷體" w:eastAsia="標楷體" w:hAnsi="標楷體"/>
                <w:snapToGrid w:val="0"/>
                <w:szCs w:val="24"/>
                <w:u w:val="single"/>
              </w:rPr>
              <w:t>請</w:t>
            </w:r>
            <w:r w:rsidR="00C72A05" w:rsidRPr="00C43A75">
              <w:rPr>
                <w:rFonts w:ascii="標楷體" w:eastAsia="標楷體" w:hAnsi="標楷體"/>
                <w:snapToGrid w:val="0"/>
                <w:szCs w:val="24"/>
              </w:rPr>
              <w:t>借</w:t>
            </w:r>
            <w:proofErr w:type="gramStart"/>
            <w:r w:rsidR="00C72A05" w:rsidRPr="00C43A75">
              <w:rPr>
                <w:rFonts w:ascii="標楷體" w:eastAsia="標楷體" w:hAnsi="標楷體"/>
                <w:snapToGrid w:val="0"/>
                <w:szCs w:val="24"/>
              </w:rPr>
              <w:t>券</w:t>
            </w:r>
            <w:proofErr w:type="gramEnd"/>
            <w:r w:rsidR="00C72A05" w:rsidRPr="00C43A75">
              <w:rPr>
                <w:rFonts w:ascii="標楷體" w:eastAsia="標楷體" w:hAnsi="標楷體"/>
                <w:snapToGrid w:val="0"/>
                <w:szCs w:val="24"/>
              </w:rPr>
              <w:t>辦理交割</w:t>
            </w:r>
            <w:r w:rsidR="00C72A05" w:rsidRPr="00C43A75">
              <w:rPr>
                <w:rFonts w:ascii="標楷體" w:eastAsia="標楷體" w:hAnsi="標楷體" w:hint="eastAsia"/>
                <w:snapToGrid w:val="0"/>
                <w:szCs w:val="24"/>
              </w:rPr>
              <w:t>。</w:t>
            </w:r>
          </w:p>
          <w:p w:rsidR="002B712E" w:rsidRDefault="00A6746F"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Pr>
                <w:rFonts w:ascii="標楷體" w:eastAsia="標楷體" w:hAnsi="標楷體"/>
                <w:snapToGrid w:val="0"/>
                <w:szCs w:val="24"/>
              </w:rPr>
              <w:t>二、</w:t>
            </w:r>
            <w:r w:rsidR="002267DA" w:rsidRPr="003634A8">
              <w:rPr>
                <w:rFonts w:ascii="標楷體" w:eastAsia="標楷體" w:hAnsi="標楷體"/>
                <w:snapToGrid w:val="0"/>
                <w:szCs w:val="24"/>
              </w:rPr>
              <w:t>依</w:t>
            </w:r>
            <w:r w:rsidR="002B712E" w:rsidRPr="001929CD">
              <w:rPr>
                <w:rFonts w:ascii="標楷體" w:eastAsia="標楷體" w:hAnsi="標楷體"/>
                <w:snapToGrid w:val="0"/>
                <w:szCs w:val="24"/>
              </w:rPr>
              <w:t>本公司營業細則第一○九條規定申</w:t>
            </w:r>
            <w:r>
              <w:rPr>
                <w:rFonts w:ascii="標楷體" w:eastAsia="標楷體" w:hAnsi="標楷體"/>
                <w:snapToGrid w:val="0"/>
                <w:szCs w:val="24"/>
                <w:u w:val="single"/>
              </w:rPr>
              <w:t>請</w:t>
            </w:r>
            <w:r w:rsidR="002B712E" w:rsidRPr="001929CD">
              <w:rPr>
                <w:rFonts w:ascii="標楷體" w:eastAsia="標楷體" w:hAnsi="標楷體"/>
                <w:snapToGrid w:val="0"/>
                <w:szCs w:val="24"/>
              </w:rPr>
              <w:t>借</w:t>
            </w:r>
            <w:proofErr w:type="gramStart"/>
            <w:r w:rsidR="002B712E" w:rsidRPr="001929CD">
              <w:rPr>
                <w:rFonts w:ascii="標楷體" w:eastAsia="標楷體" w:hAnsi="標楷體"/>
                <w:snapToGrid w:val="0"/>
                <w:szCs w:val="24"/>
              </w:rPr>
              <w:t>券</w:t>
            </w:r>
            <w:proofErr w:type="gramEnd"/>
            <w:r w:rsidR="002B712E" w:rsidRPr="001929CD">
              <w:rPr>
                <w:rFonts w:ascii="標楷體" w:eastAsia="標楷體" w:hAnsi="標楷體"/>
                <w:snapToGrid w:val="0"/>
                <w:szCs w:val="24"/>
              </w:rPr>
              <w:t>辦理交割者，得免除對其總經理、經理人及經辦人員為相關之處置。</w:t>
            </w:r>
          </w:p>
          <w:p w:rsidR="007819D7" w:rsidRPr="001929CD" w:rsidRDefault="007819D7"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p>
          <w:p w:rsidR="002B712E" w:rsidRPr="001929CD" w:rsidRDefault="002B712E" w:rsidP="00657820">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三、本公司對達特定績效之流動量提供者予</w:t>
            </w:r>
            <w:proofErr w:type="gramStart"/>
            <w:r w:rsidRPr="001929CD">
              <w:rPr>
                <w:rFonts w:ascii="標楷體" w:eastAsia="標楷體" w:hAnsi="標楷體"/>
                <w:snapToGrid w:val="0"/>
                <w:szCs w:val="24"/>
              </w:rPr>
              <w:t>經手費折讓</w:t>
            </w:r>
            <w:proofErr w:type="gramEnd"/>
            <w:r w:rsidRPr="001929CD">
              <w:rPr>
                <w:rFonts w:ascii="標楷體" w:eastAsia="標楷體" w:hAnsi="標楷體"/>
                <w:snapToGrid w:val="0"/>
                <w:szCs w:val="24"/>
              </w:rPr>
              <w:t>優惠，相關條件與標準由本公司另訂之。</w:t>
            </w:r>
          </w:p>
          <w:p w:rsidR="002B712E" w:rsidRPr="001929CD" w:rsidRDefault="002B712E" w:rsidP="00DC2CA9">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u w:val="single"/>
              </w:rPr>
            </w:pPr>
            <w:r w:rsidRPr="001929CD">
              <w:rPr>
                <w:rFonts w:ascii="標楷體" w:eastAsia="標楷體" w:hAnsi="標楷體"/>
                <w:snapToGrid w:val="0"/>
                <w:szCs w:val="24"/>
              </w:rPr>
              <w:t>四、</w:t>
            </w:r>
            <w:r w:rsidR="00A6746F">
              <w:rPr>
                <w:rFonts w:ascii="標楷體" w:eastAsia="標楷體" w:hAnsi="標楷體" w:hint="eastAsia"/>
                <w:snapToGrid w:val="0"/>
                <w:szCs w:val="24"/>
              </w:rPr>
              <w:t>依</w:t>
            </w:r>
            <w:r w:rsidRPr="001929CD">
              <w:rPr>
                <w:rFonts w:ascii="標楷體" w:eastAsia="標楷體" w:hAnsi="標楷體" w:hint="eastAsia"/>
                <w:snapToGrid w:val="0"/>
                <w:szCs w:val="24"/>
              </w:rPr>
              <w:t>本公司營業細則第一○九條規定申</w:t>
            </w:r>
            <w:r w:rsidR="00A6746F">
              <w:rPr>
                <w:rFonts w:ascii="標楷體" w:eastAsia="標楷體" w:hAnsi="標楷體" w:hint="eastAsia"/>
                <w:snapToGrid w:val="0"/>
                <w:szCs w:val="24"/>
                <w:u w:val="single"/>
              </w:rPr>
              <w:t>請</w:t>
            </w:r>
            <w:r w:rsidRPr="001929CD">
              <w:rPr>
                <w:rFonts w:ascii="標楷體" w:eastAsia="標楷體" w:hAnsi="標楷體" w:hint="eastAsia"/>
                <w:snapToGrid w:val="0"/>
                <w:szCs w:val="24"/>
              </w:rPr>
              <w:t>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辦理交割之數量如超過該ETF</w:t>
            </w:r>
            <w:r w:rsidR="007F65AC" w:rsidRPr="001929CD">
              <w:rPr>
                <w:rFonts w:ascii="標楷體" w:eastAsia="標楷體" w:hAnsi="標楷體" w:hint="eastAsia"/>
                <w:snapToGrid w:val="0"/>
                <w:szCs w:val="24"/>
                <w:u w:val="single"/>
              </w:rPr>
              <w:t>受益憑證</w:t>
            </w:r>
            <w:r w:rsidRPr="001929CD">
              <w:rPr>
                <w:rFonts w:ascii="標楷體" w:eastAsia="標楷體" w:hAnsi="標楷體" w:hint="eastAsia"/>
                <w:snapToGrid w:val="0"/>
                <w:szCs w:val="24"/>
              </w:rPr>
              <w:t>每申購單位之受益權單位數，則取消該流動量提供者當</w:t>
            </w:r>
            <w:r w:rsidRPr="001929CD">
              <w:rPr>
                <w:rFonts w:ascii="標楷體" w:eastAsia="標楷體" w:hAnsi="標楷體" w:hint="eastAsia"/>
                <w:snapToGrid w:val="0"/>
                <w:szCs w:val="24"/>
              </w:rPr>
              <w:lastRenderedPageBreak/>
              <w:t>月經手費減免之優惠條件。</w:t>
            </w:r>
          </w:p>
        </w:tc>
        <w:tc>
          <w:tcPr>
            <w:tcW w:w="3832" w:type="dxa"/>
          </w:tcPr>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r w:rsidRPr="001929CD">
              <w:rPr>
                <w:rFonts w:ascii="標楷體" w:eastAsia="標楷體" w:hAnsi="標楷體"/>
                <w:snapToGrid w:val="0"/>
                <w:szCs w:val="24"/>
              </w:rPr>
              <w:lastRenderedPageBreak/>
              <w:t>捌、流動量提供者之優惠</w:t>
            </w:r>
          </w:p>
          <w:p w:rsidR="007819D7" w:rsidRPr="001929CD" w:rsidRDefault="002B712E" w:rsidP="008E0A3F">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一、流動量提供者就該ETF鉅額買賣、普通交易、盤後定價及零股交易，</w:t>
            </w:r>
            <w:r w:rsidRPr="002C1452">
              <w:rPr>
                <w:rFonts w:ascii="標楷體" w:eastAsia="標楷體" w:hAnsi="標楷體"/>
                <w:snapToGrid w:val="0"/>
                <w:szCs w:val="24"/>
                <w:u w:val="single"/>
              </w:rPr>
              <w:t>及其相互</w:t>
            </w:r>
            <w:proofErr w:type="gramStart"/>
            <w:r w:rsidRPr="002C1452">
              <w:rPr>
                <w:rFonts w:ascii="標楷體" w:eastAsia="標楷體" w:hAnsi="標楷體"/>
                <w:snapToGrid w:val="0"/>
                <w:szCs w:val="24"/>
                <w:u w:val="single"/>
              </w:rPr>
              <w:t>間</w:t>
            </w:r>
            <w:r w:rsidRPr="001929CD">
              <w:rPr>
                <w:rFonts w:ascii="標楷體" w:eastAsia="標楷體" w:hAnsi="標楷體"/>
                <w:snapToGrid w:val="0"/>
                <w:szCs w:val="24"/>
              </w:rPr>
              <w:t>同日現</w:t>
            </w:r>
            <w:proofErr w:type="gramEnd"/>
            <w:r w:rsidRPr="001929CD">
              <w:rPr>
                <w:rFonts w:ascii="標楷體" w:eastAsia="標楷體" w:hAnsi="標楷體"/>
                <w:snapToGrid w:val="0"/>
                <w:szCs w:val="24"/>
              </w:rPr>
              <w:t>股買賣同一</w:t>
            </w:r>
            <w:proofErr w:type="gramStart"/>
            <w:r w:rsidRPr="001929CD">
              <w:rPr>
                <w:rFonts w:ascii="標楷體" w:eastAsia="標楷體" w:hAnsi="標楷體"/>
                <w:snapToGrid w:val="0"/>
                <w:szCs w:val="24"/>
              </w:rPr>
              <w:t>交割期得進行</w:t>
            </w:r>
            <w:proofErr w:type="gramEnd"/>
            <w:r w:rsidRPr="001929CD">
              <w:rPr>
                <w:rFonts w:ascii="標楷體" w:eastAsia="標楷體" w:hAnsi="標楷體"/>
                <w:snapToGrid w:val="0"/>
                <w:szCs w:val="24"/>
              </w:rPr>
              <w:t>買賣相抵之交割。前揭相抵後，仍有賣出餘額者，得於當日由本公司借</w:t>
            </w:r>
            <w:proofErr w:type="gramStart"/>
            <w:r w:rsidRPr="001929CD">
              <w:rPr>
                <w:rFonts w:ascii="標楷體" w:eastAsia="標楷體" w:hAnsi="標楷體"/>
                <w:snapToGrid w:val="0"/>
                <w:szCs w:val="24"/>
              </w:rPr>
              <w:t>券</w:t>
            </w:r>
            <w:proofErr w:type="gramEnd"/>
            <w:r w:rsidRPr="001929CD">
              <w:rPr>
                <w:rFonts w:ascii="標楷體" w:eastAsia="標楷體" w:hAnsi="標楷體"/>
                <w:snapToGrid w:val="0"/>
                <w:szCs w:val="24"/>
              </w:rPr>
              <w:t>系統或依</w:t>
            </w:r>
            <w:proofErr w:type="gramStart"/>
            <w:r w:rsidRPr="001929CD">
              <w:rPr>
                <w:rFonts w:ascii="標楷體" w:eastAsia="標楷體" w:hAnsi="標楷體"/>
                <w:snapToGrid w:val="0"/>
                <w:szCs w:val="24"/>
              </w:rPr>
              <w:t>規</w:t>
            </w:r>
            <w:proofErr w:type="gramEnd"/>
            <w:r w:rsidRPr="001929CD">
              <w:rPr>
                <w:rFonts w:ascii="標楷體" w:eastAsia="標楷體" w:hAnsi="標楷體"/>
                <w:snapToGrid w:val="0"/>
                <w:szCs w:val="24"/>
              </w:rPr>
              <w:t>向證券商借入該ETF，</w:t>
            </w:r>
            <w:r w:rsidRPr="007819D7">
              <w:rPr>
                <w:rFonts w:ascii="標楷體" w:eastAsia="標楷體" w:hAnsi="標楷體"/>
                <w:snapToGrid w:val="0"/>
                <w:szCs w:val="24"/>
                <w:u w:val="single"/>
              </w:rPr>
              <w:t>或</w:t>
            </w:r>
            <w:r w:rsidRPr="001929CD">
              <w:rPr>
                <w:rFonts w:ascii="標楷體" w:eastAsia="標楷體" w:hAnsi="標楷體"/>
                <w:snapToGrid w:val="0"/>
                <w:szCs w:val="24"/>
              </w:rPr>
              <w:t>至遲於次二營業日依本公司營業細則第一○九條規定申</w:t>
            </w:r>
            <w:r w:rsidRPr="00B53C25">
              <w:rPr>
                <w:rFonts w:ascii="標楷體" w:eastAsia="標楷體" w:hAnsi="標楷體"/>
                <w:snapToGrid w:val="0"/>
                <w:szCs w:val="24"/>
              </w:rPr>
              <w:t>報</w:t>
            </w:r>
            <w:r w:rsidRPr="001929CD">
              <w:rPr>
                <w:rFonts w:ascii="標楷體" w:eastAsia="標楷體" w:hAnsi="標楷體"/>
                <w:snapToGrid w:val="0"/>
                <w:szCs w:val="24"/>
              </w:rPr>
              <w:t>借</w:t>
            </w:r>
            <w:proofErr w:type="gramStart"/>
            <w:r w:rsidRPr="001929CD">
              <w:rPr>
                <w:rFonts w:ascii="標楷體" w:eastAsia="標楷體" w:hAnsi="標楷體"/>
                <w:snapToGrid w:val="0"/>
                <w:szCs w:val="24"/>
              </w:rPr>
              <w:t>券</w:t>
            </w:r>
            <w:proofErr w:type="gramEnd"/>
            <w:r w:rsidRPr="001929CD">
              <w:rPr>
                <w:rFonts w:ascii="標楷體" w:eastAsia="標楷體" w:hAnsi="標楷體"/>
                <w:snapToGrid w:val="0"/>
                <w:szCs w:val="24"/>
              </w:rPr>
              <w:t>辦理交割。</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二、</w:t>
            </w:r>
            <w:r w:rsidRPr="002267DA">
              <w:rPr>
                <w:rFonts w:ascii="標楷體" w:eastAsia="標楷體" w:hAnsi="標楷體"/>
                <w:snapToGrid w:val="0"/>
                <w:szCs w:val="24"/>
              </w:rPr>
              <w:t>依</w:t>
            </w:r>
            <w:r w:rsidRPr="00A6746F">
              <w:rPr>
                <w:rFonts w:ascii="標楷體" w:eastAsia="標楷體" w:hAnsi="標楷體"/>
                <w:snapToGrid w:val="0"/>
                <w:szCs w:val="24"/>
                <w:u w:val="single"/>
              </w:rPr>
              <w:t>前揭</w:t>
            </w:r>
            <w:r w:rsidRPr="001929CD">
              <w:rPr>
                <w:rFonts w:ascii="標楷體" w:eastAsia="標楷體" w:hAnsi="標楷體"/>
                <w:snapToGrid w:val="0"/>
                <w:szCs w:val="24"/>
              </w:rPr>
              <w:t>本公司營業細則第一○九條規定申</w:t>
            </w:r>
            <w:r w:rsidRPr="00B53C25">
              <w:rPr>
                <w:rFonts w:ascii="標楷體" w:eastAsia="標楷體" w:hAnsi="標楷體"/>
                <w:snapToGrid w:val="0"/>
                <w:szCs w:val="24"/>
              </w:rPr>
              <w:t>報</w:t>
            </w:r>
            <w:r w:rsidRPr="001929CD">
              <w:rPr>
                <w:rFonts w:ascii="標楷體" w:eastAsia="標楷體" w:hAnsi="標楷體"/>
                <w:snapToGrid w:val="0"/>
                <w:szCs w:val="24"/>
              </w:rPr>
              <w:t>借</w:t>
            </w:r>
            <w:proofErr w:type="gramStart"/>
            <w:r w:rsidRPr="001929CD">
              <w:rPr>
                <w:rFonts w:ascii="標楷體" w:eastAsia="標楷體" w:hAnsi="標楷體"/>
                <w:snapToGrid w:val="0"/>
                <w:szCs w:val="24"/>
              </w:rPr>
              <w:t>券</w:t>
            </w:r>
            <w:proofErr w:type="gramEnd"/>
            <w:r w:rsidRPr="001929CD">
              <w:rPr>
                <w:rFonts w:ascii="標楷體" w:eastAsia="標楷體" w:hAnsi="標楷體"/>
                <w:snapToGrid w:val="0"/>
                <w:szCs w:val="24"/>
              </w:rPr>
              <w:t>辦理交割者，得免除對其總經理、經理人及經辦人員為相關之處置。</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三、本公司對達特定績效之流動量提供者予</w:t>
            </w:r>
            <w:proofErr w:type="gramStart"/>
            <w:r w:rsidRPr="001929CD">
              <w:rPr>
                <w:rFonts w:ascii="標楷體" w:eastAsia="標楷體" w:hAnsi="標楷體"/>
                <w:snapToGrid w:val="0"/>
                <w:szCs w:val="24"/>
              </w:rPr>
              <w:t>經手費折讓</w:t>
            </w:r>
            <w:proofErr w:type="gramEnd"/>
            <w:r w:rsidRPr="001929CD">
              <w:rPr>
                <w:rFonts w:ascii="標楷體" w:eastAsia="標楷體" w:hAnsi="標楷體"/>
                <w:snapToGrid w:val="0"/>
                <w:szCs w:val="24"/>
              </w:rPr>
              <w:t>優惠，相關條件與標準由本公司另訂之。</w:t>
            </w:r>
          </w:p>
          <w:p w:rsidR="002B712E" w:rsidRPr="001929CD" w:rsidRDefault="002B712E" w:rsidP="002B712E">
            <w:pPr>
              <w:kinsoku w:val="0"/>
              <w:overflowPunct w:val="0"/>
              <w:autoSpaceDE w:val="0"/>
              <w:autoSpaceDN w:val="0"/>
              <w:adjustRightInd w:val="0"/>
              <w:snapToGrid w:val="0"/>
              <w:ind w:leftChars="267" w:left="1121" w:hangingChars="200" w:hanging="480"/>
              <w:jc w:val="both"/>
              <w:rPr>
                <w:rFonts w:ascii="標楷體" w:eastAsia="標楷體" w:hAnsi="標楷體"/>
                <w:snapToGrid w:val="0"/>
                <w:szCs w:val="24"/>
              </w:rPr>
            </w:pPr>
            <w:r w:rsidRPr="001929CD">
              <w:rPr>
                <w:rFonts w:ascii="標楷體" w:eastAsia="標楷體" w:hAnsi="標楷體"/>
                <w:snapToGrid w:val="0"/>
                <w:szCs w:val="24"/>
              </w:rPr>
              <w:t>四、</w:t>
            </w:r>
            <w:r w:rsidRPr="001929CD">
              <w:rPr>
                <w:rFonts w:ascii="標楷體" w:eastAsia="標楷體" w:hAnsi="標楷體" w:hint="eastAsia"/>
                <w:snapToGrid w:val="0"/>
                <w:szCs w:val="24"/>
              </w:rPr>
              <w:t>依</w:t>
            </w:r>
            <w:r w:rsidRPr="00A6746F">
              <w:rPr>
                <w:rFonts w:ascii="標楷體" w:eastAsia="標楷體" w:hAnsi="標楷體" w:hint="eastAsia"/>
                <w:snapToGrid w:val="0"/>
                <w:szCs w:val="24"/>
                <w:u w:val="single"/>
              </w:rPr>
              <w:t>前揭</w:t>
            </w:r>
            <w:r w:rsidRPr="001929CD">
              <w:rPr>
                <w:rFonts w:ascii="標楷體" w:eastAsia="標楷體" w:hAnsi="標楷體" w:hint="eastAsia"/>
                <w:snapToGrid w:val="0"/>
                <w:szCs w:val="24"/>
              </w:rPr>
              <w:t>本公司營業細則第一○九條規定申</w:t>
            </w:r>
            <w:r w:rsidRPr="00B53C25">
              <w:rPr>
                <w:rFonts w:ascii="標楷體" w:eastAsia="標楷體" w:hAnsi="標楷體" w:hint="eastAsia"/>
                <w:snapToGrid w:val="0"/>
                <w:szCs w:val="24"/>
              </w:rPr>
              <w:t>報</w:t>
            </w:r>
            <w:r w:rsidRPr="001929CD">
              <w:rPr>
                <w:rFonts w:ascii="標楷體" w:eastAsia="標楷體" w:hAnsi="標楷體" w:hint="eastAsia"/>
                <w:snapToGrid w:val="0"/>
                <w:szCs w:val="24"/>
              </w:rPr>
              <w:t>借</w:t>
            </w:r>
            <w:proofErr w:type="gramStart"/>
            <w:r w:rsidRPr="001929CD">
              <w:rPr>
                <w:rFonts w:ascii="標楷體" w:eastAsia="標楷體" w:hAnsi="標楷體" w:hint="eastAsia"/>
                <w:snapToGrid w:val="0"/>
                <w:szCs w:val="24"/>
              </w:rPr>
              <w:t>券</w:t>
            </w:r>
            <w:proofErr w:type="gramEnd"/>
            <w:r w:rsidRPr="001929CD">
              <w:rPr>
                <w:rFonts w:ascii="標楷體" w:eastAsia="標楷體" w:hAnsi="標楷體" w:hint="eastAsia"/>
                <w:snapToGrid w:val="0"/>
                <w:szCs w:val="24"/>
              </w:rPr>
              <w:t>辦理交割之數量如超過該ETF每申購單位之受益權單位數，則取消該流動量提供者當月經</w:t>
            </w:r>
            <w:r w:rsidRPr="001929CD">
              <w:rPr>
                <w:rFonts w:ascii="標楷體" w:eastAsia="標楷體" w:hAnsi="標楷體" w:hint="eastAsia"/>
                <w:snapToGrid w:val="0"/>
                <w:szCs w:val="24"/>
              </w:rPr>
              <w:lastRenderedPageBreak/>
              <w:t>手費減免之優惠條件。</w:t>
            </w:r>
          </w:p>
          <w:p w:rsidR="002B712E" w:rsidRPr="001929CD" w:rsidRDefault="002B712E" w:rsidP="002B712E">
            <w:pPr>
              <w:kinsoku w:val="0"/>
              <w:overflowPunct w:val="0"/>
              <w:autoSpaceDE w:val="0"/>
              <w:autoSpaceDN w:val="0"/>
              <w:adjustRightInd w:val="0"/>
              <w:snapToGrid w:val="0"/>
              <w:ind w:left="602" w:hanging="616"/>
              <w:jc w:val="both"/>
              <w:rPr>
                <w:rFonts w:ascii="標楷體" w:eastAsia="標楷體" w:hAnsi="標楷體"/>
                <w:snapToGrid w:val="0"/>
                <w:szCs w:val="24"/>
              </w:rPr>
            </w:pPr>
          </w:p>
        </w:tc>
        <w:tc>
          <w:tcPr>
            <w:tcW w:w="3018" w:type="dxa"/>
          </w:tcPr>
          <w:p w:rsidR="00C11406" w:rsidRDefault="009C7DC4">
            <w:pPr>
              <w:rPr>
                <w:rFonts w:ascii="標楷體" w:eastAsia="標楷體" w:hAnsi="標楷體"/>
              </w:rPr>
            </w:pPr>
            <w:proofErr w:type="gramStart"/>
            <w:r w:rsidRPr="009C7DC4">
              <w:rPr>
                <w:rFonts w:ascii="標楷體" w:eastAsia="標楷體" w:hAnsi="標楷體" w:hint="eastAsia"/>
              </w:rPr>
              <w:lastRenderedPageBreak/>
              <w:t>酌修文字</w:t>
            </w:r>
            <w:proofErr w:type="gramEnd"/>
            <w:r w:rsidRPr="009C7DC4">
              <w:rPr>
                <w:rFonts w:ascii="標楷體" w:eastAsia="標楷體" w:hAnsi="標楷體" w:hint="eastAsia"/>
              </w:rPr>
              <w:t>。</w:t>
            </w:r>
          </w:p>
          <w:p w:rsidR="00597D88" w:rsidRPr="001929CD" w:rsidRDefault="00597D88" w:rsidP="00597D88">
            <w:pPr>
              <w:rPr>
                <w:rFonts w:ascii="標楷體" w:eastAsia="標楷體" w:hAnsi="標楷體"/>
              </w:rPr>
            </w:pPr>
          </w:p>
          <w:p w:rsidR="002B712E" w:rsidRPr="001929CD" w:rsidRDefault="002B712E" w:rsidP="002B712E">
            <w:pPr>
              <w:rPr>
                <w:rFonts w:ascii="標楷體" w:eastAsia="標楷體" w:hAnsi="標楷體"/>
                <w:szCs w:val="24"/>
              </w:rPr>
            </w:pPr>
          </w:p>
        </w:tc>
      </w:tr>
    </w:tbl>
    <w:p w:rsidR="00746138" w:rsidRPr="001929CD" w:rsidRDefault="00746138" w:rsidP="002B712E">
      <w:pPr>
        <w:rPr>
          <w:rFonts w:ascii="標楷體" w:eastAsia="標楷體" w:hAnsi="標楷體"/>
          <w:szCs w:val="24"/>
        </w:rPr>
      </w:pPr>
    </w:p>
    <w:sectPr w:rsidR="00746138" w:rsidRPr="001929CD" w:rsidSect="007461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7A" w:rsidRDefault="00A7117A" w:rsidP="00CF0559">
      <w:r>
        <w:separator/>
      </w:r>
    </w:p>
  </w:endnote>
  <w:endnote w:type="continuationSeparator" w:id="0">
    <w:p w:rsidR="00A7117A" w:rsidRDefault="00A7117A"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081"/>
      <w:docPartObj>
        <w:docPartGallery w:val="Page Numbers (Bottom of Page)"/>
        <w:docPartUnique/>
      </w:docPartObj>
    </w:sdtPr>
    <w:sdtContent>
      <w:p w:rsidR="0061651A" w:rsidRDefault="00B37900">
        <w:pPr>
          <w:pStyle w:val="aa"/>
          <w:jc w:val="right"/>
        </w:pPr>
        <w:fldSimple w:instr=" PAGE   \* MERGEFORMAT ">
          <w:r w:rsidR="004F1180" w:rsidRPr="004F1180">
            <w:rPr>
              <w:noProof/>
              <w:lang w:val="zh-TW"/>
            </w:rPr>
            <w:t>1</w:t>
          </w:r>
        </w:fldSimple>
      </w:p>
    </w:sdtContent>
  </w:sdt>
  <w:p w:rsidR="0061651A" w:rsidRDefault="006165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7A" w:rsidRDefault="00A7117A" w:rsidP="00CF0559">
      <w:r>
        <w:separator/>
      </w:r>
    </w:p>
  </w:footnote>
  <w:footnote w:type="continuationSeparator" w:id="0">
    <w:p w:rsidR="00A7117A" w:rsidRDefault="00A7117A"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D82"/>
    <w:multiLevelType w:val="hybridMultilevel"/>
    <w:tmpl w:val="C7B282A4"/>
    <w:lvl w:ilvl="0" w:tplc="E95E696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5A7052A8"/>
    <w:multiLevelType w:val="hybridMultilevel"/>
    <w:tmpl w:val="A34407E8"/>
    <w:lvl w:ilvl="0" w:tplc="E82A49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5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1498C"/>
    <w:rsid w:val="000257DD"/>
    <w:rsid w:val="000268A8"/>
    <w:rsid w:val="000334D8"/>
    <w:rsid w:val="00041814"/>
    <w:rsid w:val="0004500D"/>
    <w:rsid w:val="000550B7"/>
    <w:rsid w:val="00055186"/>
    <w:rsid w:val="00067BAD"/>
    <w:rsid w:val="00076FF4"/>
    <w:rsid w:val="0008328E"/>
    <w:rsid w:val="000A45B4"/>
    <w:rsid w:val="000A7EBF"/>
    <w:rsid w:val="000B6B6F"/>
    <w:rsid w:val="000C7DE6"/>
    <w:rsid w:val="000D2F7B"/>
    <w:rsid w:val="000D4405"/>
    <w:rsid w:val="000E0438"/>
    <w:rsid w:val="000E271C"/>
    <w:rsid w:val="00106C86"/>
    <w:rsid w:val="00115E5D"/>
    <w:rsid w:val="00125773"/>
    <w:rsid w:val="00134D02"/>
    <w:rsid w:val="00135B8F"/>
    <w:rsid w:val="00136ADB"/>
    <w:rsid w:val="001476B2"/>
    <w:rsid w:val="001536F7"/>
    <w:rsid w:val="00153942"/>
    <w:rsid w:val="0016531B"/>
    <w:rsid w:val="0019224E"/>
    <w:rsid w:val="001929CD"/>
    <w:rsid w:val="00196ADD"/>
    <w:rsid w:val="001A66BB"/>
    <w:rsid w:val="001B79FA"/>
    <w:rsid w:val="001C36D6"/>
    <w:rsid w:val="001D02B4"/>
    <w:rsid w:val="001D3B4C"/>
    <w:rsid w:val="001E4D7B"/>
    <w:rsid w:val="001F345A"/>
    <w:rsid w:val="001F617F"/>
    <w:rsid w:val="001F61C1"/>
    <w:rsid w:val="00201CFE"/>
    <w:rsid w:val="00205D85"/>
    <w:rsid w:val="002073A7"/>
    <w:rsid w:val="00211F4F"/>
    <w:rsid w:val="002267DA"/>
    <w:rsid w:val="00234A70"/>
    <w:rsid w:val="002372F3"/>
    <w:rsid w:val="00237E91"/>
    <w:rsid w:val="00237EA4"/>
    <w:rsid w:val="00255E52"/>
    <w:rsid w:val="00257BB1"/>
    <w:rsid w:val="00265D46"/>
    <w:rsid w:val="002671EE"/>
    <w:rsid w:val="00276CFC"/>
    <w:rsid w:val="002929F7"/>
    <w:rsid w:val="0029542E"/>
    <w:rsid w:val="00296F9D"/>
    <w:rsid w:val="002B712E"/>
    <w:rsid w:val="002C0B3D"/>
    <w:rsid w:val="002C1452"/>
    <w:rsid w:val="002C35B9"/>
    <w:rsid w:val="002D2FF7"/>
    <w:rsid w:val="002F0894"/>
    <w:rsid w:val="00303E8B"/>
    <w:rsid w:val="00305639"/>
    <w:rsid w:val="003321A0"/>
    <w:rsid w:val="0034336D"/>
    <w:rsid w:val="00353FB0"/>
    <w:rsid w:val="003565FE"/>
    <w:rsid w:val="003634A8"/>
    <w:rsid w:val="00391CE1"/>
    <w:rsid w:val="003A01EB"/>
    <w:rsid w:val="003B0941"/>
    <w:rsid w:val="003D29DF"/>
    <w:rsid w:val="003F435F"/>
    <w:rsid w:val="003F6D8D"/>
    <w:rsid w:val="00401005"/>
    <w:rsid w:val="00404136"/>
    <w:rsid w:val="004215EA"/>
    <w:rsid w:val="0042278D"/>
    <w:rsid w:val="004372B8"/>
    <w:rsid w:val="00445E89"/>
    <w:rsid w:val="00447645"/>
    <w:rsid w:val="00447BE0"/>
    <w:rsid w:val="004935C0"/>
    <w:rsid w:val="004A306D"/>
    <w:rsid w:val="004C4B05"/>
    <w:rsid w:val="004D1125"/>
    <w:rsid w:val="004D1A84"/>
    <w:rsid w:val="004E5063"/>
    <w:rsid w:val="004E534C"/>
    <w:rsid w:val="004E6BF2"/>
    <w:rsid w:val="004F1180"/>
    <w:rsid w:val="004F497C"/>
    <w:rsid w:val="004F7B6F"/>
    <w:rsid w:val="005306CC"/>
    <w:rsid w:val="00532A2A"/>
    <w:rsid w:val="0054354F"/>
    <w:rsid w:val="0054673D"/>
    <w:rsid w:val="00553CAB"/>
    <w:rsid w:val="00557D51"/>
    <w:rsid w:val="0056127E"/>
    <w:rsid w:val="00580633"/>
    <w:rsid w:val="005833AA"/>
    <w:rsid w:val="00597D88"/>
    <w:rsid w:val="005B1BDC"/>
    <w:rsid w:val="005C30A9"/>
    <w:rsid w:val="005C3F9E"/>
    <w:rsid w:val="005C7255"/>
    <w:rsid w:val="005C7A81"/>
    <w:rsid w:val="005D4D0D"/>
    <w:rsid w:val="006026A8"/>
    <w:rsid w:val="00606D72"/>
    <w:rsid w:val="00607112"/>
    <w:rsid w:val="0061651A"/>
    <w:rsid w:val="0062337A"/>
    <w:rsid w:val="00625802"/>
    <w:rsid w:val="00627BE4"/>
    <w:rsid w:val="006368D6"/>
    <w:rsid w:val="00644B1D"/>
    <w:rsid w:val="00652C0B"/>
    <w:rsid w:val="00671B5C"/>
    <w:rsid w:val="00674548"/>
    <w:rsid w:val="00675366"/>
    <w:rsid w:val="006774C9"/>
    <w:rsid w:val="00686604"/>
    <w:rsid w:val="0069077A"/>
    <w:rsid w:val="006A0175"/>
    <w:rsid w:val="006A1C34"/>
    <w:rsid w:val="006A6C14"/>
    <w:rsid w:val="006B5383"/>
    <w:rsid w:val="006C28AF"/>
    <w:rsid w:val="006D071E"/>
    <w:rsid w:val="006D4496"/>
    <w:rsid w:val="006D74BB"/>
    <w:rsid w:val="006D77F6"/>
    <w:rsid w:val="006E0BCA"/>
    <w:rsid w:val="006E1AAA"/>
    <w:rsid w:val="006E2955"/>
    <w:rsid w:val="006E358B"/>
    <w:rsid w:val="006E3EED"/>
    <w:rsid w:val="006E4796"/>
    <w:rsid w:val="006E6535"/>
    <w:rsid w:val="006E6553"/>
    <w:rsid w:val="006F0891"/>
    <w:rsid w:val="006F79E3"/>
    <w:rsid w:val="0070056A"/>
    <w:rsid w:val="00701337"/>
    <w:rsid w:val="00701AAB"/>
    <w:rsid w:val="007044EE"/>
    <w:rsid w:val="00705642"/>
    <w:rsid w:val="007362E2"/>
    <w:rsid w:val="00746138"/>
    <w:rsid w:val="00751EE5"/>
    <w:rsid w:val="00754DAC"/>
    <w:rsid w:val="0075733C"/>
    <w:rsid w:val="0076107B"/>
    <w:rsid w:val="0076394C"/>
    <w:rsid w:val="007761AE"/>
    <w:rsid w:val="007819D7"/>
    <w:rsid w:val="007902DB"/>
    <w:rsid w:val="00793F67"/>
    <w:rsid w:val="007A13A9"/>
    <w:rsid w:val="007B57C7"/>
    <w:rsid w:val="007C4A39"/>
    <w:rsid w:val="007D23E0"/>
    <w:rsid w:val="007D2E5C"/>
    <w:rsid w:val="007E2A91"/>
    <w:rsid w:val="007E331A"/>
    <w:rsid w:val="007E4EE1"/>
    <w:rsid w:val="007F65AC"/>
    <w:rsid w:val="00806503"/>
    <w:rsid w:val="00810919"/>
    <w:rsid w:val="00811C04"/>
    <w:rsid w:val="00823E0C"/>
    <w:rsid w:val="00841641"/>
    <w:rsid w:val="00842A21"/>
    <w:rsid w:val="00844428"/>
    <w:rsid w:val="00854922"/>
    <w:rsid w:val="008719E6"/>
    <w:rsid w:val="00881D97"/>
    <w:rsid w:val="00895F5A"/>
    <w:rsid w:val="00897ADA"/>
    <w:rsid w:val="008B1D1E"/>
    <w:rsid w:val="008C2BDD"/>
    <w:rsid w:val="008C4B20"/>
    <w:rsid w:val="008D09C9"/>
    <w:rsid w:val="008D163F"/>
    <w:rsid w:val="008D7C94"/>
    <w:rsid w:val="008E0A3F"/>
    <w:rsid w:val="008E3CE5"/>
    <w:rsid w:val="008E6E61"/>
    <w:rsid w:val="009112EA"/>
    <w:rsid w:val="00930952"/>
    <w:rsid w:val="009376DB"/>
    <w:rsid w:val="00940636"/>
    <w:rsid w:val="00943A6E"/>
    <w:rsid w:val="0095037D"/>
    <w:rsid w:val="009512AB"/>
    <w:rsid w:val="00954337"/>
    <w:rsid w:val="00961C7D"/>
    <w:rsid w:val="00990AC5"/>
    <w:rsid w:val="0099229D"/>
    <w:rsid w:val="009A4921"/>
    <w:rsid w:val="009A73F0"/>
    <w:rsid w:val="009C7DC4"/>
    <w:rsid w:val="009D4EA2"/>
    <w:rsid w:val="009E2B1B"/>
    <w:rsid w:val="009E2D0E"/>
    <w:rsid w:val="009E3BED"/>
    <w:rsid w:val="009E4709"/>
    <w:rsid w:val="009E755D"/>
    <w:rsid w:val="009F1357"/>
    <w:rsid w:val="00A00BAB"/>
    <w:rsid w:val="00A1281A"/>
    <w:rsid w:val="00A45192"/>
    <w:rsid w:val="00A62681"/>
    <w:rsid w:val="00A6746F"/>
    <w:rsid w:val="00A7117A"/>
    <w:rsid w:val="00A866E9"/>
    <w:rsid w:val="00AA2E9F"/>
    <w:rsid w:val="00AC1144"/>
    <w:rsid w:val="00AD4D74"/>
    <w:rsid w:val="00AD5E23"/>
    <w:rsid w:val="00AE4503"/>
    <w:rsid w:val="00B106C8"/>
    <w:rsid w:val="00B270D2"/>
    <w:rsid w:val="00B31E1A"/>
    <w:rsid w:val="00B37900"/>
    <w:rsid w:val="00B424B3"/>
    <w:rsid w:val="00B46AF1"/>
    <w:rsid w:val="00B50BCC"/>
    <w:rsid w:val="00B53C25"/>
    <w:rsid w:val="00B72917"/>
    <w:rsid w:val="00B843BC"/>
    <w:rsid w:val="00BA0BF1"/>
    <w:rsid w:val="00BA3F9A"/>
    <w:rsid w:val="00BA52DD"/>
    <w:rsid w:val="00BB5FE1"/>
    <w:rsid w:val="00BB70B0"/>
    <w:rsid w:val="00BD5BA7"/>
    <w:rsid w:val="00BE22E3"/>
    <w:rsid w:val="00BE2B43"/>
    <w:rsid w:val="00BF17E6"/>
    <w:rsid w:val="00BF620B"/>
    <w:rsid w:val="00C0314A"/>
    <w:rsid w:val="00C11406"/>
    <w:rsid w:val="00C15109"/>
    <w:rsid w:val="00C15964"/>
    <w:rsid w:val="00C3167A"/>
    <w:rsid w:val="00C35A3D"/>
    <w:rsid w:val="00C43A75"/>
    <w:rsid w:val="00C43B0B"/>
    <w:rsid w:val="00C72A05"/>
    <w:rsid w:val="00C91E52"/>
    <w:rsid w:val="00CA1532"/>
    <w:rsid w:val="00CA1B00"/>
    <w:rsid w:val="00CB4558"/>
    <w:rsid w:val="00CB51A7"/>
    <w:rsid w:val="00CC5D07"/>
    <w:rsid w:val="00CD3461"/>
    <w:rsid w:val="00CF0559"/>
    <w:rsid w:val="00CF64C9"/>
    <w:rsid w:val="00D05C00"/>
    <w:rsid w:val="00D20BCA"/>
    <w:rsid w:val="00D2130D"/>
    <w:rsid w:val="00D33982"/>
    <w:rsid w:val="00D34E61"/>
    <w:rsid w:val="00D57737"/>
    <w:rsid w:val="00D61321"/>
    <w:rsid w:val="00D62392"/>
    <w:rsid w:val="00D656B0"/>
    <w:rsid w:val="00D67154"/>
    <w:rsid w:val="00D7075B"/>
    <w:rsid w:val="00D75EE4"/>
    <w:rsid w:val="00D77C1C"/>
    <w:rsid w:val="00DA1FB1"/>
    <w:rsid w:val="00DC1A69"/>
    <w:rsid w:val="00DC1C7D"/>
    <w:rsid w:val="00DC2CA9"/>
    <w:rsid w:val="00DD7412"/>
    <w:rsid w:val="00DF601F"/>
    <w:rsid w:val="00E21213"/>
    <w:rsid w:val="00E422CB"/>
    <w:rsid w:val="00E4267E"/>
    <w:rsid w:val="00E44A69"/>
    <w:rsid w:val="00E44F35"/>
    <w:rsid w:val="00E46A71"/>
    <w:rsid w:val="00E514C4"/>
    <w:rsid w:val="00E976A3"/>
    <w:rsid w:val="00EA2683"/>
    <w:rsid w:val="00EA6185"/>
    <w:rsid w:val="00EC17CF"/>
    <w:rsid w:val="00EC474D"/>
    <w:rsid w:val="00ED0725"/>
    <w:rsid w:val="00EE4007"/>
    <w:rsid w:val="00EF4886"/>
    <w:rsid w:val="00F072D9"/>
    <w:rsid w:val="00F101F2"/>
    <w:rsid w:val="00F125EC"/>
    <w:rsid w:val="00F12C4F"/>
    <w:rsid w:val="00F138D7"/>
    <w:rsid w:val="00F22DBC"/>
    <w:rsid w:val="00F30B27"/>
    <w:rsid w:val="00F40BC3"/>
    <w:rsid w:val="00F4301E"/>
    <w:rsid w:val="00F45C2C"/>
    <w:rsid w:val="00F64DFA"/>
    <w:rsid w:val="00F862B1"/>
    <w:rsid w:val="00F90E81"/>
    <w:rsid w:val="00F94492"/>
    <w:rsid w:val="00FA38D4"/>
    <w:rsid w:val="00FB197E"/>
    <w:rsid w:val="00FB4106"/>
    <w:rsid w:val="00FB77D3"/>
    <w:rsid w:val="00FB7D61"/>
    <w:rsid w:val="00FC71D0"/>
    <w:rsid w:val="00FD4563"/>
    <w:rsid w:val="00FE61F0"/>
    <w:rsid w:val="00FF41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semiHidden/>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semiHidden/>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sz w:val="20"/>
      <w:szCs w:val="20"/>
    </w:rPr>
  </w:style>
  <w:style w:type="character" w:customStyle="1" w:styleId="ab">
    <w:name w:val="頁尾 字元"/>
    <w:basedOn w:val="a0"/>
    <w:link w:val="aa"/>
    <w:uiPriority w:val="99"/>
    <w:rsid w:val="00CF0559"/>
    <w:rPr>
      <w:sz w:val="20"/>
      <w:szCs w:val="20"/>
    </w:rPr>
  </w:style>
  <w:style w:type="paragraph" w:styleId="HTML">
    <w:name w:val="HTML Preformatted"/>
    <w:basedOn w:val="a"/>
    <w:link w:val="HTML0"/>
    <w:uiPriority w:val="99"/>
    <w:unhideWhenUsed/>
    <w:rsid w:val="00EF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F4886"/>
    <w:rPr>
      <w:rFonts w:ascii="細明體" w:eastAsia="細明體" w:hAnsi="細明體" w:cs="Times New Roman"/>
      <w:color w:val="333333"/>
      <w:kern w:val="0"/>
      <w:szCs w:val="24"/>
    </w:rPr>
  </w:style>
  <w:style w:type="paragraph" w:styleId="ac">
    <w:name w:val="List Paragraph"/>
    <w:basedOn w:val="a"/>
    <w:uiPriority w:val="34"/>
    <w:qFormat/>
    <w:rsid w:val="00BD5BA7"/>
    <w:pPr>
      <w:ind w:leftChars="200" w:left="480"/>
    </w:pPr>
  </w:style>
  <w:style w:type="paragraph" w:styleId="ad">
    <w:name w:val="Balloon Text"/>
    <w:basedOn w:val="a"/>
    <w:link w:val="ae"/>
    <w:uiPriority w:val="99"/>
    <w:semiHidden/>
    <w:unhideWhenUsed/>
    <w:rsid w:val="0095433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43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1933668">
      <w:bodyDiv w:val="1"/>
      <w:marLeft w:val="0"/>
      <w:marRight w:val="0"/>
      <w:marTop w:val="0"/>
      <w:marBottom w:val="0"/>
      <w:divBdr>
        <w:top w:val="none" w:sz="0" w:space="0" w:color="auto"/>
        <w:left w:val="none" w:sz="0" w:space="0" w:color="auto"/>
        <w:bottom w:val="none" w:sz="0" w:space="0" w:color="auto"/>
        <w:right w:val="none" w:sz="0" w:space="0" w:color="auto"/>
      </w:divBdr>
    </w:div>
    <w:div w:id="1419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EF45-232D-4DE6-995E-F76EEAFD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870</Words>
  <Characters>4965</Characters>
  <Application>Microsoft Office Word</Application>
  <DocSecurity>0</DocSecurity>
  <Lines>41</Lines>
  <Paragraphs>11</Paragraphs>
  <ScaleCrop>false</ScaleCrop>
  <Company>Toshiba</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5</cp:revision>
  <cp:lastPrinted>2016-02-02T03:29:00Z</cp:lastPrinted>
  <dcterms:created xsi:type="dcterms:W3CDTF">2016-02-17T07:15:00Z</dcterms:created>
  <dcterms:modified xsi:type="dcterms:W3CDTF">2016-02-24T08:24:00Z</dcterms:modified>
</cp:coreProperties>
</file>