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6C" w:rsidRDefault="002E626C" w:rsidP="002E626C">
      <w:pPr>
        <w:spacing w:line="400" w:lineRule="exact"/>
        <w:rPr>
          <w:rFonts w:ascii="標楷體" w:eastAsia="標楷體" w:hAnsi="標楷體"/>
          <w:b/>
          <w:sz w:val="32"/>
          <w:szCs w:val="32"/>
        </w:rPr>
      </w:pPr>
      <w:r>
        <w:rPr>
          <w:rFonts w:ascii="標楷體" w:eastAsia="標楷體" w:hAnsi="標楷體" w:hint="eastAsia"/>
          <w:b/>
          <w:sz w:val="32"/>
          <w:szCs w:val="32"/>
        </w:rPr>
        <w:t>附件二</w:t>
      </w:r>
    </w:p>
    <w:p w:rsidR="0023603A" w:rsidRPr="00D75580" w:rsidRDefault="007B22DD" w:rsidP="00615764">
      <w:pPr>
        <w:spacing w:line="400" w:lineRule="exact"/>
        <w:jc w:val="center"/>
        <w:rPr>
          <w:rFonts w:ascii="標楷體" w:eastAsia="標楷體" w:hAnsi="標楷體"/>
          <w:b/>
          <w:sz w:val="32"/>
          <w:szCs w:val="32"/>
        </w:rPr>
      </w:pPr>
      <w:r>
        <w:rPr>
          <w:rFonts w:ascii="標楷體" w:eastAsia="標楷體" w:hAnsi="標楷體" w:hint="eastAsia"/>
          <w:b/>
          <w:sz w:val="32"/>
          <w:szCs w:val="32"/>
        </w:rPr>
        <w:t>指數股票型</w:t>
      </w:r>
      <w:r w:rsidR="00366E1E">
        <w:rPr>
          <w:rFonts w:ascii="標楷體" w:eastAsia="標楷體" w:hAnsi="標楷體" w:hint="eastAsia"/>
          <w:b/>
          <w:sz w:val="32"/>
          <w:szCs w:val="32"/>
        </w:rPr>
        <w:t>證券投資信託</w:t>
      </w:r>
      <w:r>
        <w:rPr>
          <w:rFonts w:ascii="標楷體" w:eastAsia="標楷體" w:hAnsi="標楷體" w:hint="eastAsia"/>
          <w:b/>
          <w:sz w:val="32"/>
          <w:szCs w:val="32"/>
        </w:rPr>
        <w:t>基金加掛其他幣別受益憑證交易機制及相關配套措施</w:t>
      </w:r>
    </w:p>
    <w:p w:rsidR="00760CED" w:rsidRPr="00D75580" w:rsidRDefault="006D3F5D" w:rsidP="00C517EE">
      <w:pPr>
        <w:pStyle w:val="a3"/>
        <w:numPr>
          <w:ilvl w:val="0"/>
          <w:numId w:val="1"/>
        </w:numPr>
        <w:spacing w:line="400" w:lineRule="exact"/>
        <w:ind w:leftChars="0"/>
        <w:rPr>
          <w:rFonts w:ascii="標楷體" w:eastAsia="標楷體" w:hAnsi="標楷體"/>
          <w:b/>
          <w:sz w:val="32"/>
          <w:szCs w:val="32"/>
        </w:rPr>
      </w:pPr>
      <w:r w:rsidRPr="00D75580">
        <w:rPr>
          <w:rFonts w:ascii="標楷體" w:eastAsia="標楷體" w:hAnsi="標楷體" w:hint="eastAsia"/>
          <w:b/>
          <w:sz w:val="32"/>
          <w:szCs w:val="32"/>
        </w:rPr>
        <w:t>背景說明</w:t>
      </w:r>
    </w:p>
    <w:p w:rsidR="00615764" w:rsidRPr="00D75580" w:rsidRDefault="00615764" w:rsidP="00615764">
      <w:pPr>
        <w:pStyle w:val="a3"/>
        <w:spacing w:line="400" w:lineRule="exact"/>
        <w:ind w:leftChars="0" w:left="720"/>
        <w:rPr>
          <w:rFonts w:ascii="標楷體" w:eastAsia="標楷體" w:hAnsi="標楷體"/>
          <w:b/>
          <w:sz w:val="32"/>
          <w:szCs w:val="32"/>
        </w:rPr>
      </w:pPr>
    </w:p>
    <w:p w:rsidR="00641FDD" w:rsidRPr="00D75580" w:rsidRDefault="00641FDD" w:rsidP="00615764">
      <w:pPr>
        <w:spacing w:line="400" w:lineRule="exact"/>
        <w:ind w:leftChars="100" w:left="240" w:firstLineChars="200" w:firstLine="560"/>
        <w:rPr>
          <w:rFonts w:ascii="標楷體" w:eastAsia="標楷體" w:hAnsi="標楷體"/>
          <w:sz w:val="28"/>
          <w:szCs w:val="28"/>
        </w:rPr>
      </w:pPr>
      <w:r w:rsidRPr="00D75580">
        <w:rPr>
          <w:rFonts w:ascii="標楷體" w:eastAsia="標楷體" w:hAnsi="標楷體"/>
          <w:sz w:val="28"/>
          <w:szCs w:val="28"/>
        </w:rPr>
        <w:t>為提供提投資人多樣化投資商品及促進證券市場發展，</w:t>
      </w:r>
      <w:r w:rsidR="00FE3106">
        <w:rPr>
          <w:rFonts w:ascii="標楷體" w:eastAsia="標楷體" w:hAnsi="標楷體" w:hint="eastAsia"/>
          <w:sz w:val="28"/>
          <w:szCs w:val="28"/>
        </w:rPr>
        <w:t>規劃</w:t>
      </w:r>
      <w:r w:rsidRPr="00D75580">
        <w:rPr>
          <w:rFonts w:ascii="標楷體" w:eastAsia="標楷體" w:hAnsi="標楷體"/>
          <w:sz w:val="28"/>
          <w:szCs w:val="28"/>
        </w:rPr>
        <w:t>以外幣（含人民幣）計價商品</w:t>
      </w:r>
      <w:r w:rsidR="009703AB" w:rsidRPr="00D75580">
        <w:rPr>
          <w:rFonts w:ascii="標楷體" w:eastAsia="標楷體" w:hAnsi="標楷體"/>
          <w:sz w:val="28"/>
          <w:szCs w:val="28"/>
        </w:rPr>
        <w:t>之</w:t>
      </w:r>
      <w:r w:rsidRPr="00D75580">
        <w:rPr>
          <w:rFonts w:ascii="標楷體" w:eastAsia="標楷體" w:hAnsi="標楷體"/>
          <w:sz w:val="28"/>
          <w:szCs w:val="28"/>
        </w:rPr>
        <w:t>交易機制，</w:t>
      </w:r>
      <w:proofErr w:type="gramStart"/>
      <w:r w:rsidRPr="00D75580">
        <w:rPr>
          <w:rFonts w:ascii="標楷體" w:eastAsia="標楷體" w:hAnsi="標楷體"/>
          <w:sz w:val="28"/>
          <w:szCs w:val="28"/>
        </w:rPr>
        <w:t>爰</w:t>
      </w:r>
      <w:proofErr w:type="gramEnd"/>
      <w:r w:rsidRPr="00D75580">
        <w:rPr>
          <w:rFonts w:ascii="標楷體" w:eastAsia="標楷體" w:hAnsi="標楷體"/>
          <w:sz w:val="28"/>
          <w:szCs w:val="28"/>
        </w:rPr>
        <w:t>新增指數股票型</w:t>
      </w:r>
      <w:r w:rsidR="00B52630">
        <w:rPr>
          <w:rFonts w:ascii="標楷體" w:eastAsia="標楷體" w:hAnsi="標楷體"/>
          <w:sz w:val="28"/>
          <w:szCs w:val="28"/>
        </w:rPr>
        <w:t>證券投資信託</w:t>
      </w:r>
      <w:r w:rsidRPr="00D75580">
        <w:rPr>
          <w:rFonts w:ascii="標楷體" w:eastAsia="標楷體" w:hAnsi="標楷體"/>
          <w:sz w:val="28"/>
          <w:szCs w:val="28"/>
        </w:rPr>
        <w:t>基金</w:t>
      </w:r>
      <w:r w:rsidR="00A56A98" w:rsidRPr="00D75580">
        <w:rPr>
          <w:rFonts w:ascii="標楷體" w:eastAsia="標楷體" w:hAnsi="標楷體"/>
          <w:sz w:val="28"/>
          <w:szCs w:val="28"/>
        </w:rPr>
        <w:t>受益憑證</w:t>
      </w:r>
      <w:r w:rsidRPr="00D75580">
        <w:rPr>
          <w:rFonts w:ascii="標楷體" w:eastAsia="標楷體" w:hAnsi="標楷體"/>
          <w:sz w:val="28"/>
          <w:szCs w:val="28"/>
        </w:rPr>
        <w:t>可加掛其他幣別</w:t>
      </w:r>
      <w:proofErr w:type="gramStart"/>
      <w:r w:rsidRPr="00D75580">
        <w:rPr>
          <w:rFonts w:ascii="標楷體" w:eastAsia="標楷體" w:hAnsi="標楷體"/>
          <w:sz w:val="28"/>
          <w:szCs w:val="28"/>
        </w:rPr>
        <w:t>之</w:t>
      </w:r>
      <w:proofErr w:type="gramEnd"/>
      <w:r w:rsidRPr="00D75580">
        <w:rPr>
          <w:rFonts w:ascii="標楷體" w:eastAsia="標楷體" w:hAnsi="標楷體"/>
          <w:sz w:val="28"/>
          <w:szCs w:val="28"/>
        </w:rPr>
        <w:t>受益憑證</w:t>
      </w:r>
      <w:r w:rsidRPr="00D75580">
        <w:rPr>
          <w:rFonts w:ascii="標楷體" w:eastAsia="標楷體" w:hAnsi="標楷體" w:hint="eastAsia"/>
          <w:sz w:val="28"/>
          <w:szCs w:val="28"/>
        </w:rPr>
        <w:t>上市。</w:t>
      </w:r>
    </w:p>
    <w:p w:rsidR="0021475D" w:rsidRPr="00D75580" w:rsidRDefault="00FE3106" w:rsidP="00615764">
      <w:pPr>
        <w:spacing w:line="400" w:lineRule="exact"/>
        <w:ind w:leftChars="100" w:left="240" w:firstLineChars="200" w:firstLine="560"/>
        <w:rPr>
          <w:rFonts w:ascii="標楷體" w:eastAsia="標楷體" w:hAnsi="標楷體"/>
          <w:sz w:val="28"/>
          <w:szCs w:val="28"/>
        </w:rPr>
      </w:pPr>
      <w:r>
        <w:rPr>
          <w:rFonts w:ascii="標楷體" w:eastAsia="標楷體" w:hAnsi="標楷體" w:hint="eastAsia"/>
          <w:sz w:val="28"/>
          <w:szCs w:val="28"/>
        </w:rPr>
        <w:t>初期就</w:t>
      </w:r>
      <w:r w:rsidR="00F51C70">
        <w:rPr>
          <w:rFonts w:ascii="標楷體" w:eastAsia="標楷體" w:hAnsi="標楷體" w:hint="eastAsia"/>
          <w:sz w:val="28"/>
          <w:szCs w:val="28"/>
        </w:rPr>
        <w:t>已</w:t>
      </w:r>
      <w:r w:rsidR="0021475D" w:rsidRPr="00D75580">
        <w:rPr>
          <w:rFonts w:ascii="標楷體" w:eastAsia="標楷體" w:hAnsi="標楷體"/>
          <w:sz w:val="28"/>
          <w:szCs w:val="28"/>
        </w:rPr>
        <w:t>核准</w:t>
      </w:r>
      <w:r w:rsidR="00F51C70">
        <w:rPr>
          <w:rFonts w:ascii="標楷體" w:eastAsia="標楷體" w:hAnsi="標楷體"/>
          <w:sz w:val="28"/>
          <w:szCs w:val="28"/>
        </w:rPr>
        <w:t>募集</w:t>
      </w:r>
      <w:r w:rsidR="00A2163E" w:rsidRPr="00D75580">
        <w:rPr>
          <w:rFonts w:ascii="標楷體" w:eastAsia="標楷體" w:hAnsi="標楷體"/>
          <w:sz w:val="28"/>
          <w:szCs w:val="28"/>
        </w:rPr>
        <w:t>之</w:t>
      </w:r>
      <w:r w:rsidR="0021475D" w:rsidRPr="00D75580">
        <w:rPr>
          <w:rFonts w:ascii="標楷體" w:eastAsia="標楷體" w:hAnsi="標楷體"/>
          <w:sz w:val="28"/>
          <w:szCs w:val="28"/>
        </w:rPr>
        <w:t>指數股票型</w:t>
      </w:r>
      <w:r w:rsidR="00B52630">
        <w:rPr>
          <w:rFonts w:ascii="標楷體" w:eastAsia="標楷體" w:hAnsi="標楷體"/>
          <w:sz w:val="28"/>
          <w:szCs w:val="28"/>
        </w:rPr>
        <w:t>證券投資信託</w:t>
      </w:r>
      <w:r w:rsidR="0021475D" w:rsidRPr="00D75580">
        <w:rPr>
          <w:rFonts w:ascii="標楷體" w:eastAsia="標楷體" w:hAnsi="標楷體"/>
          <w:sz w:val="28"/>
          <w:szCs w:val="28"/>
        </w:rPr>
        <w:t>基金</w:t>
      </w:r>
      <w:r w:rsidR="00A2163E" w:rsidRPr="00D75580">
        <w:rPr>
          <w:rFonts w:ascii="標楷體" w:eastAsia="標楷體" w:hAnsi="標楷體"/>
          <w:sz w:val="28"/>
          <w:szCs w:val="28"/>
        </w:rPr>
        <w:t>受益憑證</w:t>
      </w:r>
      <w:r w:rsidR="0021475D" w:rsidRPr="00D75580">
        <w:rPr>
          <w:rFonts w:ascii="標楷體" w:eastAsia="標楷體" w:hAnsi="標楷體"/>
          <w:sz w:val="28"/>
          <w:szCs w:val="28"/>
        </w:rPr>
        <w:t>（簡稱ETF受益憑證）</w:t>
      </w:r>
      <w:r>
        <w:rPr>
          <w:rFonts w:ascii="標楷體" w:eastAsia="標楷體" w:hAnsi="標楷體"/>
          <w:sz w:val="28"/>
          <w:szCs w:val="28"/>
        </w:rPr>
        <w:t>得</w:t>
      </w:r>
      <w:r w:rsidR="0021475D" w:rsidRPr="00D75580">
        <w:rPr>
          <w:rFonts w:ascii="標楷體" w:eastAsia="標楷體" w:hAnsi="標楷體"/>
          <w:sz w:val="28"/>
          <w:szCs w:val="28"/>
        </w:rPr>
        <w:t>加掛其他幣別</w:t>
      </w:r>
      <w:proofErr w:type="gramStart"/>
      <w:r w:rsidR="0021475D" w:rsidRPr="00D75580">
        <w:rPr>
          <w:rFonts w:ascii="標楷體" w:eastAsia="標楷體" w:hAnsi="標楷體"/>
          <w:sz w:val="28"/>
          <w:szCs w:val="28"/>
        </w:rPr>
        <w:t>之</w:t>
      </w:r>
      <w:proofErr w:type="gramEnd"/>
      <w:r w:rsidR="0021475D" w:rsidRPr="00D75580">
        <w:rPr>
          <w:rFonts w:ascii="標楷體" w:eastAsia="標楷體" w:hAnsi="標楷體"/>
          <w:sz w:val="28"/>
          <w:szCs w:val="28"/>
        </w:rPr>
        <w:t>受益憑證（簡稱加掛ETF受益憑證</w:t>
      </w:r>
      <w:r w:rsidR="00462AC5" w:rsidRPr="00D75580">
        <w:rPr>
          <w:rFonts w:ascii="標楷體" w:eastAsia="標楷體" w:hAnsi="標楷體"/>
          <w:sz w:val="28"/>
          <w:szCs w:val="28"/>
        </w:rPr>
        <w:t>）</w:t>
      </w:r>
      <w:r w:rsidR="00462AC5" w:rsidRPr="00D75580">
        <w:rPr>
          <w:rFonts w:ascii="標楷體" w:eastAsia="標楷體" w:hAnsi="標楷體" w:hint="eastAsia"/>
          <w:sz w:val="28"/>
          <w:szCs w:val="28"/>
        </w:rPr>
        <w:t>。</w:t>
      </w:r>
      <w:r w:rsidR="0021475D" w:rsidRPr="00D75580">
        <w:rPr>
          <w:rFonts w:ascii="標楷體" w:eastAsia="標楷體" w:hAnsi="標楷體" w:hint="eastAsia"/>
          <w:sz w:val="28"/>
          <w:szCs w:val="28"/>
        </w:rPr>
        <w:t>加掛ETF受益憑證上市流程</w:t>
      </w:r>
      <w:r w:rsidR="002E626C">
        <w:rPr>
          <w:rFonts w:ascii="標楷體" w:eastAsia="標楷體" w:hAnsi="標楷體" w:hint="eastAsia"/>
          <w:sz w:val="28"/>
          <w:szCs w:val="28"/>
        </w:rPr>
        <w:t>，一為</w:t>
      </w:r>
      <w:r w:rsidR="0021475D" w:rsidRPr="00D75580">
        <w:rPr>
          <w:rFonts w:ascii="標楷體" w:eastAsia="標楷體" w:hAnsi="標楷體" w:hint="eastAsia"/>
          <w:sz w:val="28"/>
          <w:szCs w:val="28"/>
        </w:rPr>
        <w:t>目前已上市</w:t>
      </w:r>
      <w:r w:rsidR="00025954" w:rsidRPr="00D75580">
        <w:rPr>
          <w:rFonts w:ascii="標楷體" w:eastAsia="標楷體" w:hAnsi="標楷體" w:hint="eastAsia"/>
          <w:sz w:val="28"/>
          <w:szCs w:val="28"/>
        </w:rPr>
        <w:t>新臺幣</w:t>
      </w:r>
      <w:r w:rsidR="0021475D" w:rsidRPr="00D75580">
        <w:rPr>
          <w:rFonts w:ascii="標楷體" w:eastAsia="標楷體" w:hAnsi="標楷體" w:hint="eastAsia"/>
          <w:sz w:val="28"/>
          <w:szCs w:val="28"/>
        </w:rPr>
        <w:t>ETF</w:t>
      </w:r>
      <w:r w:rsidR="00F51C70">
        <w:rPr>
          <w:rFonts w:ascii="標楷體" w:eastAsia="標楷體" w:hAnsi="標楷體" w:hint="eastAsia"/>
          <w:sz w:val="28"/>
          <w:szCs w:val="28"/>
        </w:rPr>
        <w:t>之發行人，提出修正後</w:t>
      </w:r>
      <w:r w:rsidR="0021475D" w:rsidRPr="00D75580">
        <w:rPr>
          <w:rFonts w:ascii="標楷體" w:eastAsia="標楷體" w:hAnsi="標楷體" w:hint="eastAsia"/>
          <w:sz w:val="28"/>
          <w:szCs w:val="28"/>
        </w:rPr>
        <w:t>之公開說明書及契約，經主管機關核准後</w:t>
      </w:r>
      <w:r w:rsidR="00CF0FDB" w:rsidRPr="00D75580">
        <w:rPr>
          <w:rFonts w:ascii="標楷體" w:eastAsia="標楷體" w:hAnsi="標楷體" w:hint="eastAsia"/>
          <w:sz w:val="28"/>
          <w:szCs w:val="28"/>
        </w:rPr>
        <w:t>，尋求有意願之</w:t>
      </w:r>
      <w:r w:rsidR="00D342A5" w:rsidRPr="00D75580">
        <w:rPr>
          <w:rFonts w:ascii="標楷體" w:eastAsia="標楷體" w:hAnsi="標楷體" w:hint="eastAsia"/>
          <w:sz w:val="28"/>
          <w:szCs w:val="28"/>
        </w:rPr>
        <w:t>流動量提供者</w:t>
      </w:r>
      <w:r w:rsidR="00CF0FDB" w:rsidRPr="00D75580">
        <w:rPr>
          <w:rFonts w:ascii="標楷體" w:eastAsia="標楷體" w:hAnsi="標楷體" w:hint="eastAsia"/>
          <w:sz w:val="28"/>
          <w:szCs w:val="28"/>
        </w:rPr>
        <w:t>，</w:t>
      </w:r>
      <w:r w:rsidR="00F51C70">
        <w:rPr>
          <w:rFonts w:ascii="標楷體" w:eastAsia="標楷體" w:hAnsi="標楷體" w:hint="eastAsia"/>
          <w:sz w:val="28"/>
          <w:szCs w:val="28"/>
        </w:rPr>
        <w:t>就已上市之受益憑證部位</w:t>
      </w:r>
      <w:r w:rsidR="00462AC5" w:rsidRPr="00D75580">
        <w:rPr>
          <w:rFonts w:ascii="標楷體" w:eastAsia="標楷體" w:hAnsi="標楷體" w:hint="eastAsia"/>
          <w:sz w:val="28"/>
          <w:szCs w:val="28"/>
        </w:rPr>
        <w:t>向本公司申請轉換，</w:t>
      </w:r>
      <w:proofErr w:type="gramStart"/>
      <w:r w:rsidR="00462AC5" w:rsidRPr="00D75580">
        <w:rPr>
          <w:rFonts w:ascii="標楷體" w:eastAsia="標楷體" w:hAnsi="標楷體" w:hint="eastAsia"/>
          <w:sz w:val="28"/>
          <w:szCs w:val="28"/>
        </w:rPr>
        <w:t>經集保</w:t>
      </w:r>
      <w:proofErr w:type="gramEnd"/>
      <w:r w:rsidR="00D97A2C" w:rsidRPr="00D75580">
        <w:rPr>
          <w:rFonts w:ascii="標楷體" w:eastAsia="標楷體" w:hAnsi="標楷體" w:hint="eastAsia"/>
          <w:sz w:val="28"/>
          <w:szCs w:val="28"/>
        </w:rPr>
        <w:t>公司確認</w:t>
      </w:r>
      <w:r w:rsidR="00641FDD" w:rsidRPr="00D75580">
        <w:rPr>
          <w:rFonts w:ascii="標楷體" w:eastAsia="標楷體" w:hAnsi="標楷體" w:hint="eastAsia"/>
          <w:sz w:val="28"/>
          <w:szCs w:val="28"/>
        </w:rPr>
        <w:t>，</w:t>
      </w:r>
      <w:r w:rsidR="00F51C70">
        <w:rPr>
          <w:rFonts w:ascii="標楷體" w:eastAsia="標楷體" w:hAnsi="標楷體" w:hint="eastAsia"/>
          <w:sz w:val="28"/>
          <w:szCs w:val="28"/>
        </w:rPr>
        <w:t>增加</w:t>
      </w:r>
      <w:proofErr w:type="gramStart"/>
      <w:r w:rsidR="00F51C70">
        <w:rPr>
          <w:rFonts w:ascii="標楷體" w:eastAsia="標楷體" w:hAnsi="標楷體" w:hint="eastAsia"/>
          <w:sz w:val="28"/>
          <w:szCs w:val="28"/>
        </w:rPr>
        <w:t>加</w:t>
      </w:r>
      <w:proofErr w:type="gramEnd"/>
      <w:r w:rsidR="00F51C70">
        <w:rPr>
          <w:rFonts w:ascii="標楷體" w:eastAsia="標楷體" w:hAnsi="標楷體" w:hint="eastAsia"/>
          <w:sz w:val="28"/>
          <w:szCs w:val="28"/>
        </w:rPr>
        <w:t>掛部位</w:t>
      </w:r>
      <w:r w:rsidR="00462AC5" w:rsidRPr="00D75580">
        <w:rPr>
          <w:rFonts w:ascii="標楷體" w:eastAsia="標楷體" w:hAnsi="標楷體" w:hint="eastAsia"/>
          <w:sz w:val="28"/>
          <w:szCs w:val="28"/>
        </w:rPr>
        <w:t>，送</w:t>
      </w:r>
      <w:r w:rsidR="00F51C70">
        <w:rPr>
          <w:rFonts w:ascii="標楷體" w:eastAsia="標楷體" w:hAnsi="標楷體" w:hint="eastAsia"/>
          <w:sz w:val="28"/>
          <w:szCs w:val="28"/>
        </w:rPr>
        <w:t>本公司</w:t>
      </w:r>
      <w:r w:rsidR="00CF0FDB" w:rsidRPr="00D75580">
        <w:rPr>
          <w:rFonts w:ascii="標楷體" w:eastAsia="標楷體" w:hAnsi="標楷體" w:hint="eastAsia"/>
          <w:sz w:val="28"/>
          <w:szCs w:val="28"/>
        </w:rPr>
        <w:t>審查完成</w:t>
      </w:r>
      <w:r w:rsidR="00BA28A2" w:rsidRPr="00D75580">
        <w:rPr>
          <w:rFonts w:ascii="標楷體" w:eastAsia="標楷體" w:hAnsi="標楷體" w:hint="eastAsia"/>
          <w:sz w:val="28"/>
          <w:szCs w:val="28"/>
        </w:rPr>
        <w:t>後</w:t>
      </w:r>
      <w:r w:rsidR="00CF0FDB" w:rsidRPr="00D75580">
        <w:rPr>
          <w:rFonts w:ascii="標楷體" w:eastAsia="標楷體" w:hAnsi="標楷體" w:hint="eastAsia"/>
          <w:sz w:val="28"/>
          <w:szCs w:val="28"/>
        </w:rPr>
        <w:t>，</w:t>
      </w:r>
      <w:r w:rsidR="00CE7755" w:rsidRPr="00D75580">
        <w:rPr>
          <w:rFonts w:ascii="標楷體" w:eastAsia="標楷體" w:hAnsi="標楷體" w:hint="eastAsia"/>
          <w:sz w:val="28"/>
          <w:szCs w:val="28"/>
        </w:rPr>
        <w:t>加掛ETF</w:t>
      </w:r>
      <w:r w:rsidR="00F51C70">
        <w:rPr>
          <w:rFonts w:ascii="標楷體" w:eastAsia="標楷體" w:hAnsi="標楷體" w:hint="eastAsia"/>
          <w:sz w:val="28"/>
          <w:szCs w:val="28"/>
        </w:rPr>
        <w:t>受益憑證</w:t>
      </w:r>
      <w:r w:rsidR="00CE7755" w:rsidRPr="00D75580">
        <w:rPr>
          <w:rFonts w:ascii="標楷體" w:eastAsia="標楷體" w:hAnsi="標楷體" w:hint="eastAsia"/>
          <w:sz w:val="28"/>
          <w:szCs w:val="28"/>
        </w:rPr>
        <w:t>即可上市，並</w:t>
      </w:r>
      <w:r w:rsidR="00656A37" w:rsidRPr="00D75580">
        <w:rPr>
          <w:rFonts w:ascii="標楷體" w:eastAsia="標楷體" w:hAnsi="標楷體" w:hint="eastAsia"/>
          <w:sz w:val="28"/>
          <w:szCs w:val="28"/>
        </w:rPr>
        <w:t>進行</w:t>
      </w:r>
      <w:r w:rsidR="00CF0FDB" w:rsidRPr="00D75580">
        <w:rPr>
          <w:rFonts w:ascii="標楷體" w:eastAsia="標楷體" w:hAnsi="標楷體" w:hint="eastAsia"/>
          <w:sz w:val="28"/>
          <w:szCs w:val="28"/>
        </w:rPr>
        <w:t>交易</w:t>
      </w:r>
      <w:r w:rsidR="009E31EB">
        <w:rPr>
          <w:rFonts w:ascii="標楷體" w:eastAsia="標楷體" w:hAnsi="標楷體" w:hint="eastAsia"/>
          <w:sz w:val="28"/>
          <w:szCs w:val="28"/>
        </w:rPr>
        <w:t>；</w:t>
      </w:r>
      <w:r w:rsidR="002E626C">
        <w:rPr>
          <w:rFonts w:ascii="標楷體" w:eastAsia="標楷體" w:hAnsi="標楷體" w:hint="eastAsia"/>
          <w:sz w:val="28"/>
          <w:szCs w:val="28"/>
        </w:rPr>
        <w:t>二為新</w:t>
      </w:r>
      <w:r w:rsidR="00AB4381">
        <w:rPr>
          <w:rFonts w:ascii="標楷體" w:eastAsia="標楷體" w:hAnsi="標楷體" w:hint="eastAsia"/>
          <w:sz w:val="28"/>
          <w:szCs w:val="28"/>
        </w:rPr>
        <w:t>申請</w:t>
      </w:r>
      <w:r w:rsidR="00AB4381" w:rsidRPr="00D75580">
        <w:rPr>
          <w:rFonts w:ascii="標楷體" w:eastAsia="標楷體" w:hAnsi="標楷體"/>
          <w:sz w:val="28"/>
          <w:szCs w:val="28"/>
        </w:rPr>
        <w:t>ETF受益憑證</w:t>
      </w:r>
      <w:r w:rsidR="0047122F">
        <w:rPr>
          <w:rFonts w:ascii="標楷體" w:eastAsia="標楷體" w:hAnsi="標楷體" w:hint="eastAsia"/>
          <w:sz w:val="28"/>
          <w:szCs w:val="28"/>
        </w:rPr>
        <w:t>新</w:t>
      </w:r>
      <w:r w:rsidR="002E626C">
        <w:rPr>
          <w:rFonts w:ascii="標楷體" w:eastAsia="標楷體" w:hAnsi="標楷體" w:hint="eastAsia"/>
          <w:sz w:val="28"/>
          <w:szCs w:val="28"/>
        </w:rPr>
        <w:t>上市時亦申請</w:t>
      </w:r>
      <w:r w:rsidR="00AB4381">
        <w:rPr>
          <w:rFonts w:ascii="標楷體" w:eastAsia="標楷體" w:hAnsi="標楷體" w:hint="eastAsia"/>
          <w:sz w:val="28"/>
          <w:szCs w:val="28"/>
        </w:rPr>
        <w:t>加掛ETF受益憑證同時上市</w:t>
      </w:r>
      <w:r w:rsidR="00CF0FDB" w:rsidRPr="00D75580">
        <w:rPr>
          <w:rFonts w:ascii="標楷體" w:eastAsia="標楷體" w:hAnsi="標楷體" w:hint="eastAsia"/>
          <w:sz w:val="28"/>
          <w:szCs w:val="28"/>
        </w:rPr>
        <w:t>。</w:t>
      </w:r>
    </w:p>
    <w:p w:rsidR="00004D07" w:rsidRPr="009E31EB" w:rsidRDefault="00004D07" w:rsidP="00615764">
      <w:pPr>
        <w:spacing w:line="400" w:lineRule="exact"/>
        <w:rPr>
          <w:rFonts w:ascii="標楷體" w:eastAsia="標楷體" w:hAnsi="標楷體"/>
          <w:sz w:val="28"/>
          <w:szCs w:val="28"/>
        </w:rPr>
      </w:pPr>
    </w:p>
    <w:p w:rsidR="00004D07" w:rsidRPr="00D75580" w:rsidRDefault="00615764" w:rsidP="00615764">
      <w:pPr>
        <w:spacing w:line="400" w:lineRule="exact"/>
        <w:rPr>
          <w:rFonts w:ascii="標楷體" w:eastAsia="標楷體" w:hAnsi="標楷體"/>
          <w:b/>
          <w:sz w:val="32"/>
          <w:szCs w:val="32"/>
        </w:rPr>
      </w:pPr>
      <w:r w:rsidRPr="00D75580">
        <w:rPr>
          <w:rFonts w:ascii="標楷體" w:eastAsia="標楷體" w:hAnsi="標楷體" w:hint="eastAsia"/>
          <w:b/>
          <w:sz w:val="32"/>
          <w:szCs w:val="32"/>
        </w:rPr>
        <w:t>貳、</w:t>
      </w:r>
      <w:r w:rsidR="00CF0FDB" w:rsidRPr="00D75580">
        <w:rPr>
          <w:rFonts w:ascii="標楷體" w:eastAsia="標楷體" w:hAnsi="標楷體" w:hint="eastAsia"/>
          <w:b/>
          <w:sz w:val="32"/>
          <w:szCs w:val="32"/>
        </w:rPr>
        <w:t>「加掛ETF受益憑證」</w:t>
      </w:r>
      <w:r w:rsidR="00004D07" w:rsidRPr="00D75580">
        <w:rPr>
          <w:rFonts w:ascii="標楷體" w:eastAsia="標楷體" w:hAnsi="標楷體" w:hint="eastAsia"/>
          <w:b/>
          <w:sz w:val="32"/>
          <w:szCs w:val="32"/>
        </w:rPr>
        <w:t>規劃</w:t>
      </w:r>
    </w:p>
    <w:p w:rsidR="000042AE" w:rsidRPr="00D75580" w:rsidRDefault="000042AE" w:rsidP="00615764">
      <w:pPr>
        <w:spacing w:line="400" w:lineRule="exact"/>
        <w:rPr>
          <w:rFonts w:ascii="標楷體" w:eastAsia="標楷體" w:hAnsi="標楷體"/>
          <w:sz w:val="28"/>
          <w:szCs w:val="28"/>
        </w:rPr>
      </w:pPr>
    </w:p>
    <w:p w:rsidR="00766474" w:rsidRDefault="002E626C" w:rsidP="00C517EE">
      <w:pPr>
        <w:pStyle w:val="a3"/>
        <w:numPr>
          <w:ilvl w:val="0"/>
          <w:numId w:val="2"/>
        </w:numPr>
        <w:spacing w:line="400" w:lineRule="exact"/>
        <w:ind w:leftChars="0"/>
        <w:rPr>
          <w:rFonts w:ascii="標楷體" w:eastAsia="標楷體" w:hAnsi="標楷體"/>
          <w:sz w:val="28"/>
          <w:szCs w:val="28"/>
        </w:rPr>
      </w:pPr>
      <w:r>
        <w:rPr>
          <w:rFonts w:ascii="標楷體" w:eastAsia="標楷體" w:hAnsi="標楷體" w:hint="eastAsia"/>
          <w:sz w:val="28"/>
          <w:szCs w:val="28"/>
        </w:rPr>
        <w:t>上市面</w:t>
      </w:r>
    </w:p>
    <w:p w:rsidR="00F51C70" w:rsidRPr="00F51C70" w:rsidRDefault="002E626C" w:rsidP="00F51C70">
      <w:pPr>
        <w:pStyle w:val="a3"/>
        <w:numPr>
          <w:ilvl w:val="0"/>
          <w:numId w:val="3"/>
        </w:numPr>
        <w:spacing w:line="400" w:lineRule="exact"/>
        <w:ind w:leftChars="0"/>
        <w:rPr>
          <w:rFonts w:ascii="標楷體" w:eastAsia="標楷體" w:hAnsi="標楷體"/>
          <w:sz w:val="28"/>
          <w:szCs w:val="28"/>
        </w:rPr>
      </w:pPr>
      <w:r>
        <w:rPr>
          <w:rFonts w:ascii="標楷體" w:eastAsia="標楷體" w:hAnsi="標楷體" w:hint="eastAsia"/>
          <w:sz w:val="28"/>
          <w:szCs w:val="28"/>
        </w:rPr>
        <w:t>上市幣別：初期僅</w:t>
      </w:r>
      <w:r w:rsidR="00F51C70">
        <w:rPr>
          <w:rFonts w:ascii="標楷體" w:eastAsia="標楷體" w:hAnsi="標楷體" w:hint="eastAsia"/>
          <w:sz w:val="28"/>
          <w:szCs w:val="28"/>
        </w:rPr>
        <w:t>就新臺幣ETF受益憑證加掛人民幣ETF受益憑證。</w:t>
      </w:r>
    </w:p>
    <w:p w:rsidR="000042AE" w:rsidRPr="006D6754" w:rsidRDefault="000042AE" w:rsidP="00C517EE">
      <w:pPr>
        <w:pStyle w:val="a3"/>
        <w:numPr>
          <w:ilvl w:val="0"/>
          <w:numId w:val="3"/>
        </w:numPr>
        <w:spacing w:line="400" w:lineRule="exact"/>
        <w:ind w:leftChars="0"/>
        <w:rPr>
          <w:rFonts w:ascii="標楷體" w:eastAsia="標楷體" w:hAnsi="標楷體"/>
          <w:sz w:val="28"/>
          <w:szCs w:val="28"/>
        </w:rPr>
      </w:pPr>
      <w:r w:rsidRPr="00D75580">
        <w:rPr>
          <w:rFonts w:ascii="標楷體" w:eastAsia="標楷體" w:hAnsi="標楷體" w:hint="eastAsia"/>
          <w:sz w:val="28"/>
          <w:szCs w:val="28"/>
        </w:rPr>
        <w:t>申請核准：</w:t>
      </w:r>
      <w:r w:rsidR="00F51C70">
        <w:rPr>
          <w:rFonts w:ascii="標楷體" w:eastAsia="標楷體" w:hAnsi="標楷體" w:hint="eastAsia"/>
          <w:sz w:val="28"/>
          <w:szCs w:val="28"/>
        </w:rPr>
        <w:t>已</w:t>
      </w:r>
      <w:r w:rsidRPr="00D75580">
        <w:rPr>
          <w:rFonts w:ascii="標楷體" w:eastAsia="標楷體" w:hAnsi="標楷體" w:hint="eastAsia"/>
          <w:sz w:val="28"/>
          <w:szCs w:val="28"/>
        </w:rPr>
        <w:t>上市新臺幣ETF</w:t>
      </w:r>
      <w:r w:rsidR="006D6754">
        <w:rPr>
          <w:rFonts w:ascii="標楷體" w:eastAsia="標楷體" w:hAnsi="標楷體" w:hint="eastAsia"/>
          <w:sz w:val="28"/>
          <w:szCs w:val="28"/>
        </w:rPr>
        <w:t>受益憑證之發行人提出修改之公開說明書及契約，向主管機關申請核准；</w:t>
      </w:r>
      <w:r w:rsidR="006D6754" w:rsidRPr="006D6754">
        <w:rPr>
          <w:rFonts w:ascii="標楷體" w:eastAsia="標楷體" w:hAnsi="標楷體" w:hint="eastAsia"/>
          <w:sz w:val="28"/>
          <w:szCs w:val="28"/>
        </w:rPr>
        <w:t>或</w:t>
      </w:r>
      <w:r w:rsidR="002E626C">
        <w:rPr>
          <w:rFonts w:ascii="標楷體" w:eastAsia="標楷體" w:hAnsi="標楷體" w:hint="eastAsia"/>
          <w:sz w:val="28"/>
          <w:szCs w:val="28"/>
        </w:rPr>
        <w:t>新</w:t>
      </w:r>
      <w:r w:rsidR="006D6754" w:rsidRPr="006D6754">
        <w:rPr>
          <w:rFonts w:ascii="標楷體" w:eastAsia="標楷體" w:hAnsi="標楷體" w:hint="eastAsia"/>
          <w:sz w:val="28"/>
          <w:szCs w:val="28"/>
        </w:rPr>
        <w:t>募集</w:t>
      </w:r>
      <w:r w:rsidR="00CD7AB6">
        <w:rPr>
          <w:rFonts w:ascii="標楷體" w:eastAsia="標楷體" w:hAnsi="標楷體" w:hint="eastAsia"/>
          <w:sz w:val="28"/>
          <w:szCs w:val="28"/>
        </w:rPr>
        <w:t>之指數股票型</w:t>
      </w:r>
      <w:r w:rsidR="00FE3106">
        <w:rPr>
          <w:rFonts w:ascii="標楷體" w:eastAsia="標楷體" w:hAnsi="標楷體" w:hint="eastAsia"/>
          <w:sz w:val="28"/>
          <w:szCs w:val="28"/>
        </w:rPr>
        <w:t>證券投資信託</w:t>
      </w:r>
      <w:r w:rsidR="00CD7AB6">
        <w:rPr>
          <w:rFonts w:ascii="標楷體" w:eastAsia="標楷體" w:hAnsi="標楷體" w:hint="eastAsia"/>
          <w:sz w:val="28"/>
          <w:szCs w:val="28"/>
        </w:rPr>
        <w:t>基金受益憑證</w:t>
      </w:r>
      <w:r w:rsidR="00F51C70" w:rsidRPr="006D6754">
        <w:rPr>
          <w:rFonts w:ascii="標楷體" w:eastAsia="標楷體" w:hAnsi="標楷體" w:hint="eastAsia"/>
          <w:sz w:val="28"/>
          <w:szCs w:val="28"/>
        </w:rPr>
        <w:t>及加掛部位同時申請核准。</w:t>
      </w:r>
    </w:p>
    <w:p w:rsidR="000042AE" w:rsidRPr="00D75580" w:rsidRDefault="000042AE" w:rsidP="00C517EE">
      <w:pPr>
        <w:pStyle w:val="a3"/>
        <w:numPr>
          <w:ilvl w:val="0"/>
          <w:numId w:val="3"/>
        </w:numPr>
        <w:spacing w:line="400" w:lineRule="exact"/>
        <w:ind w:leftChars="0"/>
        <w:rPr>
          <w:rFonts w:ascii="標楷體" w:eastAsia="標楷體" w:hAnsi="標楷體"/>
          <w:sz w:val="28"/>
          <w:szCs w:val="28"/>
        </w:rPr>
      </w:pPr>
      <w:r w:rsidRPr="00D75580">
        <w:rPr>
          <w:rFonts w:ascii="標楷體" w:eastAsia="標楷體" w:hAnsi="標楷體" w:hint="eastAsia"/>
          <w:sz w:val="28"/>
          <w:szCs w:val="28"/>
        </w:rPr>
        <w:t>證券編碼：發行人於取得主管機關核准函後向本公司申請加掛ETF受益憑證證券代號。依現行編碼原則，ETF受益憑證</w:t>
      </w:r>
      <w:r w:rsidR="00F51C70">
        <w:rPr>
          <w:rFonts w:ascii="標楷體" w:eastAsia="標楷體" w:hAnsi="標楷體" w:hint="eastAsia"/>
          <w:sz w:val="28"/>
          <w:szCs w:val="28"/>
        </w:rPr>
        <w:t>，以外幣計價者，</w:t>
      </w:r>
      <w:r w:rsidR="00F91437">
        <w:rPr>
          <w:rFonts w:ascii="標楷體" w:eastAsia="標楷體" w:hAnsi="標楷體" w:hint="eastAsia"/>
          <w:sz w:val="28"/>
          <w:szCs w:val="28"/>
        </w:rPr>
        <w:t>以</w:t>
      </w:r>
      <w:r w:rsidR="00F51C70">
        <w:rPr>
          <w:rFonts w:ascii="標楷體" w:eastAsia="標楷體" w:hAnsi="標楷體" w:hint="eastAsia"/>
          <w:sz w:val="28"/>
          <w:szCs w:val="28"/>
        </w:rPr>
        <w:t>第六碼英文字母識別</w:t>
      </w:r>
      <w:r w:rsidR="00CE7755" w:rsidRPr="00D75580">
        <w:rPr>
          <w:rFonts w:ascii="標楷體" w:eastAsia="標楷體" w:hAnsi="標楷體" w:hint="eastAsia"/>
          <w:sz w:val="28"/>
          <w:szCs w:val="28"/>
        </w:rPr>
        <w:t>。已上市</w:t>
      </w:r>
      <w:r w:rsidRPr="00D75580">
        <w:rPr>
          <w:rFonts w:ascii="標楷體" w:eastAsia="標楷體" w:hAnsi="標楷體" w:hint="eastAsia"/>
          <w:sz w:val="28"/>
          <w:szCs w:val="28"/>
        </w:rPr>
        <w:t>新臺幣ETF</w:t>
      </w:r>
      <w:r w:rsidR="00F51C70">
        <w:rPr>
          <w:rFonts w:ascii="標楷體" w:eastAsia="標楷體" w:hAnsi="標楷體" w:hint="eastAsia"/>
          <w:sz w:val="28"/>
          <w:szCs w:val="28"/>
        </w:rPr>
        <w:t>受益憑證，</w:t>
      </w:r>
      <w:r w:rsidR="00133BC7" w:rsidRPr="00D75580">
        <w:rPr>
          <w:rFonts w:ascii="標楷體" w:eastAsia="標楷體" w:hAnsi="標楷體" w:hint="eastAsia"/>
          <w:sz w:val="28"/>
          <w:szCs w:val="28"/>
        </w:rPr>
        <w:t>例</w:t>
      </w:r>
      <w:r w:rsidR="00CE7755" w:rsidRPr="00D75580">
        <w:rPr>
          <w:rFonts w:ascii="標楷體" w:eastAsia="標楷體" w:hAnsi="標楷體" w:hint="eastAsia"/>
          <w:sz w:val="28"/>
          <w:szCs w:val="28"/>
        </w:rPr>
        <w:t>如：006205</w:t>
      </w:r>
      <w:proofErr w:type="gramStart"/>
      <w:r w:rsidR="00CE7755" w:rsidRPr="00D75580">
        <w:rPr>
          <w:rFonts w:ascii="標楷體" w:eastAsia="標楷體" w:hAnsi="標楷體" w:hint="eastAsia"/>
          <w:sz w:val="28"/>
          <w:szCs w:val="28"/>
        </w:rPr>
        <w:t>（</w:t>
      </w:r>
      <w:proofErr w:type="gramEnd"/>
      <w:r w:rsidR="00CE7755" w:rsidRPr="00D75580">
        <w:rPr>
          <w:rFonts w:ascii="標楷體" w:eastAsia="標楷體" w:hAnsi="標楷體" w:hint="eastAsia"/>
          <w:sz w:val="28"/>
          <w:szCs w:val="28"/>
        </w:rPr>
        <w:t>簡稱：FB上證</w:t>
      </w:r>
      <w:proofErr w:type="gramStart"/>
      <w:r w:rsidR="00CE7755" w:rsidRPr="00D75580">
        <w:rPr>
          <w:rFonts w:ascii="標楷體" w:eastAsia="標楷體" w:hAnsi="標楷體" w:hint="eastAsia"/>
          <w:sz w:val="28"/>
          <w:szCs w:val="28"/>
        </w:rPr>
        <w:t>）</w:t>
      </w:r>
      <w:proofErr w:type="gramEnd"/>
      <w:r w:rsidR="00CE7755" w:rsidRPr="00D75580">
        <w:rPr>
          <w:rFonts w:ascii="標楷體" w:eastAsia="標楷體" w:hAnsi="標楷體" w:hint="eastAsia"/>
          <w:sz w:val="28"/>
          <w:szCs w:val="28"/>
        </w:rPr>
        <w:t>，</w:t>
      </w:r>
      <w:r w:rsidR="00133BC7" w:rsidRPr="00D75580">
        <w:rPr>
          <w:rFonts w:ascii="標楷體" w:eastAsia="標楷體" w:hAnsi="標楷體" w:hint="eastAsia"/>
          <w:sz w:val="28"/>
          <w:szCs w:val="28"/>
        </w:rPr>
        <w:t>新台幣計價ETF維持原證券代號006205不變，</w:t>
      </w:r>
      <w:r w:rsidR="00F91437">
        <w:rPr>
          <w:rFonts w:ascii="標楷體" w:eastAsia="標楷體" w:hAnsi="標楷體" w:hint="eastAsia"/>
          <w:sz w:val="28"/>
          <w:szCs w:val="28"/>
        </w:rPr>
        <w:t>加掛ETF受益憑證</w:t>
      </w:r>
      <w:r w:rsidR="00133BC7" w:rsidRPr="00D75580">
        <w:rPr>
          <w:rFonts w:ascii="標楷體" w:eastAsia="標楷體" w:hAnsi="標楷體" w:hint="eastAsia"/>
          <w:sz w:val="28"/>
          <w:szCs w:val="28"/>
        </w:rPr>
        <w:t>代號為00625K</w:t>
      </w:r>
      <w:r w:rsidR="00EB6241">
        <w:rPr>
          <w:rFonts w:ascii="標楷體" w:eastAsia="標楷體" w:hAnsi="標楷體" w:hint="eastAsia"/>
          <w:sz w:val="28"/>
          <w:szCs w:val="28"/>
        </w:rPr>
        <w:t>，二者間</w:t>
      </w:r>
      <w:r w:rsidR="00133BC7" w:rsidRPr="00D75580">
        <w:rPr>
          <w:rFonts w:ascii="標楷體" w:eastAsia="標楷體" w:hAnsi="標楷體" w:hint="eastAsia"/>
          <w:sz w:val="28"/>
          <w:szCs w:val="28"/>
        </w:rPr>
        <w:t>具有相當連結性及識別性。</w:t>
      </w:r>
    </w:p>
    <w:p w:rsidR="000042AE" w:rsidRPr="00D75580" w:rsidRDefault="000042AE" w:rsidP="00C517EE">
      <w:pPr>
        <w:pStyle w:val="a3"/>
        <w:numPr>
          <w:ilvl w:val="0"/>
          <w:numId w:val="3"/>
        </w:numPr>
        <w:spacing w:line="400" w:lineRule="exact"/>
        <w:ind w:leftChars="0"/>
        <w:rPr>
          <w:rFonts w:ascii="標楷體" w:eastAsia="標楷體" w:hAnsi="標楷體"/>
          <w:sz w:val="28"/>
          <w:szCs w:val="28"/>
        </w:rPr>
      </w:pPr>
      <w:r w:rsidRPr="00D75580">
        <w:rPr>
          <w:rFonts w:ascii="標楷體" w:eastAsia="標楷體" w:hAnsi="標楷體" w:hint="eastAsia"/>
          <w:sz w:val="28"/>
          <w:szCs w:val="28"/>
        </w:rPr>
        <w:t>流動量提供者（LP</w:t>
      </w:r>
      <w:r w:rsidR="00133BC7" w:rsidRPr="00D75580">
        <w:rPr>
          <w:rFonts w:ascii="標楷體" w:eastAsia="標楷體" w:hAnsi="標楷體" w:hint="eastAsia"/>
          <w:sz w:val="28"/>
          <w:szCs w:val="28"/>
        </w:rPr>
        <w:t>）建立部位：取得證券代號後即可建</w:t>
      </w:r>
      <w:r w:rsidR="00133BC7" w:rsidRPr="00D75580">
        <w:rPr>
          <w:rFonts w:ascii="標楷體" w:eastAsia="標楷體" w:hAnsi="標楷體" w:hint="eastAsia"/>
          <w:sz w:val="28"/>
          <w:szCs w:val="28"/>
        </w:rPr>
        <w:lastRenderedPageBreak/>
        <w:t>立加掛人民幣</w:t>
      </w:r>
      <w:r w:rsidRPr="00D75580">
        <w:rPr>
          <w:rFonts w:ascii="標楷體" w:eastAsia="標楷體" w:hAnsi="標楷體" w:hint="eastAsia"/>
          <w:sz w:val="28"/>
          <w:szCs w:val="28"/>
        </w:rPr>
        <w:t>ETF受益憑證部位。</w:t>
      </w:r>
    </w:p>
    <w:p w:rsidR="000042AE" w:rsidRPr="00D75580" w:rsidRDefault="00BA28A2" w:rsidP="00C517EE">
      <w:pPr>
        <w:pStyle w:val="a3"/>
        <w:numPr>
          <w:ilvl w:val="0"/>
          <w:numId w:val="3"/>
        </w:numPr>
        <w:spacing w:line="400" w:lineRule="exact"/>
        <w:ind w:leftChars="0"/>
        <w:rPr>
          <w:rFonts w:ascii="標楷體" w:eastAsia="標楷體" w:hAnsi="標楷體"/>
          <w:sz w:val="28"/>
          <w:szCs w:val="28"/>
        </w:rPr>
      </w:pPr>
      <w:r w:rsidRPr="00D75580">
        <w:rPr>
          <w:rFonts w:ascii="標楷體" w:eastAsia="標楷體" w:hAnsi="標楷體" w:hint="eastAsia"/>
          <w:sz w:val="28"/>
          <w:szCs w:val="28"/>
        </w:rPr>
        <w:t>上市審查：</w:t>
      </w:r>
      <w:r w:rsidR="00F51C70" w:rsidRPr="00D75580">
        <w:rPr>
          <w:rFonts w:ascii="標楷體" w:eastAsia="標楷體" w:hAnsi="標楷體"/>
          <w:sz w:val="28"/>
          <w:szCs w:val="28"/>
        </w:rPr>
        <w:t xml:space="preserve"> </w:t>
      </w:r>
    </w:p>
    <w:p w:rsidR="000042AE" w:rsidRPr="00D75580" w:rsidRDefault="000042AE" w:rsidP="00C517EE">
      <w:pPr>
        <w:pStyle w:val="a3"/>
        <w:numPr>
          <w:ilvl w:val="0"/>
          <w:numId w:val="4"/>
        </w:numPr>
        <w:spacing w:line="400" w:lineRule="exact"/>
        <w:ind w:leftChars="0"/>
        <w:rPr>
          <w:rFonts w:ascii="標楷體" w:eastAsia="標楷體" w:hAnsi="標楷體"/>
          <w:sz w:val="28"/>
          <w:szCs w:val="28"/>
        </w:rPr>
      </w:pPr>
      <w:r w:rsidRPr="00D75580">
        <w:rPr>
          <w:rFonts w:ascii="標楷體" w:eastAsia="標楷體" w:hAnsi="標楷體" w:hint="eastAsia"/>
          <w:sz w:val="28"/>
          <w:szCs w:val="28"/>
        </w:rPr>
        <w:t>最低上市數量限制：</w:t>
      </w:r>
      <w:proofErr w:type="gramStart"/>
      <w:r w:rsidRPr="00D75580">
        <w:rPr>
          <w:rFonts w:ascii="標楷體" w:eastAsia="標楷體" w:hAnsi="標楷體" w:hint="eastAsia"/>
          <w:sz w:val="28"/>
          <w:szCs w:val="28"/>
        </w:rPr>
        <w:t>一個申贖</w:t>
      </w:r>
      <w:proofErr w:type="gramEnd"/>
      <w:r w:rsidRPr="00D75580">
        <w:rPr>
          <w:rFonts w:ascii="標楷體" w:eastAsia="標楷體" w:hAnsi="標楷體" w:hint="eastAsia"/>
          <w:sz w:val="28"/>
          <w:szCs w:val="28"/>
        </w:rPr>
        <w:t>單位。</w:t>
      </w:r>
    </w:p>
    <w:p w:rsidR="000042AE" w:rsidRPr="00D75580" w:rsidRDefault="000042AE" w:rsidP="00C517EE">
      <w:pPr>
        <w:pStyle w:val="a3"/>
        <w:numPr>
          <w:ilvl w:val="0"/>
          <w:numId w:val="4"/>
        </w:numPr>
        <w:spacing w:line="400" w:lineRule="exact"/>
        <w:ind w:leftChars="0"/>
        <w:rPr>
          <w:rFonts w:ascii="標楷體" w:eastAsia="標楷體" w:hAnsi="標楷體"/>
          <w:sz w:val="28"/>
          <w:szCs w:val="28"/>
        </w:rPr>
      </w:pPr>
      <w:r w:rsidRPr="00D75580">
        <w:rPr>
          <w:rFonts w:ascii="標楷體" w:eastAsia="標楷體" w:hAnsi="標楷體"/>
          <w:sz w:val="28"/>
          <w:szCs w:val="28"/>
        </w:rPr>
        <w:t>至少提供一家</w:t>
      </w:r>
      <w:r w:rsidR="00A51C77">
        <w:rPr>
          <w:rFonts w:ascii="標楷體" w:eastAsia="標楷體" w:hAnsi="標楷體"/>
          <w:sz w:val="28"/>
          <w:szCs w:val="28"/>
        </w:rPr>
        <w:t>與被加掛</w:t>
      </w:r>
      <w:r w:rsidR="00A51C77">
        <w:rPr>
          <w:rFonts w:ascii="標楷體" w:eastAsia="標楷體" w:hAnsi="標楷體" w:hint="eastAsia"/>
          <w:sz w:val="28"/>
          <w:szCs w:val="28"/>
        </w:rPr>
        <w:t>ETF相同之</w:t>
      </w:r>
      <w:r w:rsidRPr="00D75580">
        <w:rPr>
          <w:rFonts w:ascii="標楷體" w:eastAsia="標楷體" w:hAnsi="標楷體"/>
          <w:sz w:val="28"/>
          <w:szCs w:val="28"/>
        </w:rPr>
        <w:t>流動量提供者。</w:t>
      </w:r>
    </w:p>
    <w:p w:rsidR="00D97A2C" w:rsidRPr="00D75580" w:rsidRDefault="00D97A2C" w:rsidP="00D97A2C">
      <w:pPr>
        <w:pStyle w:val="a3"/>
        <w:spacing w:line="400" w:lineRule="exact"/>
        <w:ind w:leftChars="0" w:left="1944"/>
        <w:rPr>
          <w:rFonts w:ascii="標楷體" w:eastAsia="標楷體" w:hAnsi="標楷體"/>
          <w:sz w:val="28"/>
          <w:szCs w:val="28"/>
        </w:rPr>
      </w:pPr>
    </w:p>
    <w:p w:rsidR="0087236D" w:rsidRPr="00D75580" w:rsidRDefault="000042AE" w:rsidP="00615764">
      <w:pPr>
        <w:spacing w:line="400" w:lineRule="exact"/>
        <w:rPr>
          <w:rFonts w:ascii="標楷體" w:eastAsia="標楷體" w:hAnsi="標楷體"/>
          <w:sz w:val="28"/>
          <w:szCs w:val="28"/>
        </w:rPr>
      </w:pPr>
      <w:r w:rsidRPr="00D75580">
        <w:rPr>
          <w:rFonts w:ascii="標楷體" w:eastAsia="標楷體" w:hAnsi="標楷體"/>
          <w:sz w:val="28"/>
          <w:szCs w:val="28"/>
        </w:rPr>
        <w:t>二</w:t>
      </w:r>
      <w:r w:rsidR="0087236D" w:rsidRPr="00D75580">
        <w:rPr>
          <w:rFonts w:ascii="標楷體" w:eastAsia="標楷體" w:hAnsi="標楷體"/>
          <w:sz w:val="28"/>
          <w:szCs w:val="28"/>
        </w:rPr>
        <w:t>、交</w:t>
      </w:r>
      <w:r w:rsidR="00C731D4" w:rsidRPr="00D75580">
        <w:rPr>
          <w:rFonts w:ascii="標楷體" w:eastAsia="標楷體" w:hAnsi="標楷體"/>
          <w:sz w:val="28"/>
          <w:szCs w:val="28"/>
        </w:rPr>
        <w:t>易面</w:t>
      </w:r>
    </w:p>
    <w:p w:rsidR="00EB28E6" w:rsidRPr="00D75580" w:rsidRDefault="00605CF0" w:rsidP="00C517EE">
      <w:pPr>
        <w:pStyle w:val="a3"/>
        <w:numPr>
          <w:ilvl w:val="0"/>
          <w:numId w:val="5"/>
        </w:numPr>
        <w:spacing w:line="400" w:lineRule="exact"/>
        <w:ind w:leftChars="0"/>
        <w:rPr>
          <w:rFonts w:ascii="標楷體" w:eastAsia="標楷體" w:hAnsi="標楷體"/>
          <w:sz w:val="28"/>
          <w:szCs w:val="28"/>
        </w:rPr>
      </w:pPr>
      <w:r w:rsidRPr="00D75580">
        <w:rPr>
          <w:rFonts w:ascii="標楷體" w:eastAsia="標楷體" w:hAnsi="標楷體"/>
          <w:sz w:val="28"/>
          <w:szCs w:val="28"/>
        </w:rPr>
        <w:t>升降單位</w:t>
      </w:r>
    </w:p>
    <w:p w:rsidR="0087236D" w:rsidRPr="00D75580" w:rsidRDefault="00C90478" w:rsidP="00EB28E6">
      <w:pPr>
        <w:pStyle w:val="a3"/>
        <w:spacing w:line="400" w:lineRule="exact"/>
        <w:ind w:leftChars="0" w:left="1564"/>
        <w:rPr>
          <w:rFonts w:ascii="標楷體" w:eastAsia="標楷體" w:hAnsi="標楷體"/>
          <w:sz w:val="28"/>
          <w:szCs w:val="28"/>
        </w:rPr>
      </w:pPr>
      <w:r w:rsidRPr="00D75580">
        <w:rPr>
          <w:rFonts w:ascii="標楷體" w:eastAsia="標楷體" w:hAnsi="標楷體" w:hint="eastAsia"/>
          <w:sz w:val="28"/>
          <w:szCs w:val="28"/>
        </w:rPr>
        <w:t>新臺幣</w:t>
      </w:r>
      <w:r w:rsidR="00652FBA" w:rsidRPr="00D75580">
        <w:rPr>
          <w:rFonts w:ascii="標楷體" w:eastAsia="標楷體" w:hAnsi="標楷體" w:hint="eastAsia"/>
          <w:sz w:val="28"/>
          <w:szCs w:val="28"/>
        </w:rPr>
        <w:t>ETF目前升降單位為</w:t>
      </w:r>
      <w:r w:rsidR="00D13397" w:rsidRPr="00D75580">
        <w:rPr>
          <w:rFonts w:ascii="標楷體" w:eastAsia="標楷體" w:hAnsi="標楷體" w:hint="eastAsia"/>
          <w:sz w:val="28"/>
          <w:szCs w:val="28"/>
        </w:rPr>
        <w:t>每受益權單位市價未滿50元者為</w:t>
      </w:r>
      <w:r w:rsidR="00652FBA" w:rsidRPr="00D75580">
        <w:rPr>
          <w:rFonts w:ascii="標楷體" w:eastAsia="標楷體" w:hAnsi="標楷體" w:hint="eastAsia"/>
          <w:sz w:val="28"/>
          <w:szCs w:val="28"/>
        </w:rPr>
        <w:t>0.01</w:t>
      </w:r>
      <w:r w:rsidR="00D13397" w:rsidRPr="00D75580">
        <w:rPr>
          <w:rFonts w:ascii="標楷體" w:eastAsia="標楷體" w:hAnsi="標楷體" w:hint="eastAsia"/>
          <w:sz w:val="28"/>
          <w:szCs w:val="28"/>
        </w:rPr>
        <w:t>、每受益權單位市價達50元以上者為</w:t>
      </w:r>
      <w:r w:rsidR="00652FBA" w:rsidRPr="00D75580">
        <w:rPr>
          <w:rFonts w:ascii="標楷體" w:eastAsia="標楷體" w:hAnsi="標楷體" w:hint="eastAsia"/>
          <w:sz w:val="28"/>
          <w:szCs w:val="28"/>
        </w:rPr>
        <w:t>0.05，</w:t>
      </w:r>
      <w:r w:rsidR="00133BC7" w:rsidRPr="00D75580">
        <w:rPr>
          <w:rFonts w:ascii="標楷體" w:eastAsia="標楷體" w:hAnsi="標楷體"/>
          <w:sz w:val="28"/>
          <w:szCs w:val="28"/>
        </w:rPr>
        <w:t>加掛</w:t>
      </w:r>
      <w:r w:rsidRPr="00D75580">
        <w:rPr>
          <w:rFonts w:ascii="標楷體" w:eastAsia="標楷體" w:hAnsi="標楷體"/>
          <w:sz w:val="28"/>
          <w:szCs w:val="28"/>
        </w:rPr>
        <w:t>人民幣</w:t>
      </w:r>
      <w:r w:rsidR="00652FBA" w:rsidRPr="00D75580">
        <w:rPr>
          <w:rFonts w:ascii="標楷體" w:eastAsia="標楷體" w:hAnsi="標楷體" w:hint="eastAsia"/>
          <w:sz w:val="28"/>
          <w:szCs w:val="28"/>
        </w:rPr>
        <w:t>ETF</w:t>
      </w:r>
      <w:r w:rsidR="00652FBA" w:rsidRPr="00D75580">
        <w:rPr>
          <w:rFonts w:ascii="標楷體" w:eastAsia="標楷體" w:hAnsi="標楷體"/>
          <w:sz w:val="28"/>
          <w:szCs w:val="28"/>
        </w:rPr>
        <w:t>升降單位依循目前</w:t>
      </w:r>
      <w:r w:rsidR="00605CF0" w:rsidRPr="00D75580">
        <w:rPr>
          <w:rFonts w:ascii="標楷體" w:eastAsia="標楷體" w:hAnsi="標楷體"/>
          <w:sz w:val="28"/>
          <w:szCs w:val="28"/>
        </w:rPr>
        <w:t>升降單位</w:t>
      </w:r>
      <w:r w:rsidR="00652FBA" w:rsidRPr="00D75580">
        <w:rPr>
          <w:rFonts w:ascii="標楷體" w:eastAsia="標楷體" w:hAnsi="標楷體"/>
          <w:sz w:val="28"/>
          <w:szCs w:val="28"/>
        </w:rPr>
        <w:t xml:space="preserve">。 </w:t>
      </w:r>
    </w:p>
    <w:p w:rsidR="00A028C1" w:rsidRPr="00D75580" w:rsidRDefault="00605CF0" w:rsidP="00C517EE">
      <w:pPr>
        <w:pStyle w:val="a3"/>
        <w:numPr>
          <w:ilvl w:val="0"/>
          <w:numId w:val="5"/>
        </w:numPr>
        <w:spacing w:line="400" w:lineRule="exact"/>
        <w:ind w:leftChars="0"/>
        <w:rPr>
          <w:rFonts w:ascii="標楷體" w:eastAsia="標楷體" w:hAnsi="標楷體"/>
          <w:sz w:val="28"/>
          <w:szCs w:val="28"/>
        </w:rPr>
      </w:pPr>
      <w:r w:rsidRPr="00D75580">
        <w:rPr>
          <w:rFonts w:ascii="標楷體" w:eastAsia="標楷體" w:hAnsi="標楷體"/>
          <w:sz w:val="28"/>
          <w:szCs w:val="28"/>
        </w:rPr>
        <w:t>交易單位</w:t>
      </w:r>
    </w:p>
    <w:p w:rsidR="00605CF0" w:rsidRPr="00D75580" w:rsidRDefault="00133BC7" w:rsidP="00A028C1">
      <w:pPr>
        <w:pStyle w:val="a3"/>
        <w:spacing w:line="400" w:lineRule="exact"/>
        <w:ind w:leftChars="0" w:left="1564"/>
        <w:rPr>
          <w:rFonts w:ascii="標楷體" w:eastAsia="標楷體" w:hAnsi="標楷體"/>
          <w:sz w:val="28"/>
          <w:szCs w:val="28"/>
        </w:rPr>
      </w:pPr>
      <w:r w:rsidRPr="00D75580">
        <w:rPr>
          <w:rFonts w:ascii="標楷體" w:eastAsia="標楷體" w:hAnsi="標楷體"/>
          <w:sz w:val="28"/>
          <w:szCs w:val="28"/>
        </w:rPr>
        <w:t>加掛</w:t>
      </w:r>
      <w:r w:rsidR="00C90478" w:rsidRPr="00D75580">
        <w:rPr>
          <w:rFonts w:ascii="標楷體" w:eastAsia="標楷體" w:hAnsi="標楷體"/>
          <w:sz w:val="28"/>
          <w:szCs w:val="28"/>
        </w:rPr>
        <w:t>人民幣</w:t>
      </w:r>
      <w:r w:rsidR="00652FBA" w:rsidRPr="00D75580">
        <w:rPr>
          <w:rFonts w:ascii="標楷體" w:eastAsia="標楷體" w:hAnsi="標楷體" w:hint="eastAsia"/>
          <w:sz w:val="28"/>
          <w:szCs w:val="28"/>
        </w:rPr>
        <w:t>ETF受益憑證</w:t>
      </w:r>
      <w:r w:rsidR="00652FBA" w:rsidRPr="00D75580">
        <w:rPr>
          <w:rFonts w:ascii="標楷體" w:eastAsia="標楷體" w:hAnsi="標楷體"/>
          <w:sz w:val="28"/>
          <w:szCs w:val="28"/>
        </w:rPr>
        <w:t>之</w:t>
      </w:r>
      <w:r w:rsidR="00605CF0" w:rsidRPr="00D75580">
        <w:rPr>
          <w:rFonts w:ascii="標楷體" w:eastAsia="標楷體" w:hAnsi="標楷體"/>
          <w:sz w:val="28"/>
          <w:szCs w:val="28"/>
        </w:rPr>
        <w:t>交易單位</w:t>
      </w:r>
      <w:r w:rsidR="00C90478" w:rsidRPr="00D75580">
        <w:rPr>
          <w:rFonts w:ascii="標楷體" w:eastAsia="標楷體" w:hAnsi="標楷體"/>
          <w:sz w:val="28"/>
          <w:szCs w:val="28"/>
        </w:rPr>
        <w:t>比照新臺幣</w:t>
      </w:r>
      <w:r w:rsidR="00652FBA" w:rsidRPr="00D75580">
        <w:rPr>
          <w:rFonts w:ascii="標楷體" w:eastAsia="標楷體" w:hAnsi="標楷體" w:hint="eastAsia"/>
          <w:sz w:val="28"/>
          <w:szCs w:val="28"/>
        </w:rPr>
        <w:t>ETF受益憑證</w:t>
      </w:r>
      <w:r w:rsidR="00605CF0" w:rsidRPr="00D75580">
        <w:rPr>
          <w:rFonts w:ascii="標楷體" w:eastAsia="標楷體" w:hAnsi="標楷體"/>
          <w:sz w:val="28"/>
          <w:szCs w:val="28"/>
        </w:rPr>
        <w:t>。</w:t>
      </w:r>
    </w:p>
    <w:p w:rsidR="00133BC7" w:rsidRPr="00D75580" w:rsidRDefault="00605CF0" w:rsidP="00C517EE">
      <w:pPr>
        <w:pStyle w:val="a3"/>
        <w:numPr>
          <w:ilvl w:val="0"/>
          <w:numId w:val="5"/>
        </w:numPr>
        <w:spacing w:line="400" w:lineRule="exact"/>
        <w:ind w:leftChars="0"/>
        <w:rPr>
          <w:rFonts w:ascii="標楷體" w:eastAsia="標楷體" w:hAnsi="標楷體"/>
          <w:sz w:val="28"/>
          <w:szCs w:val="28"/>
        </w:rPr>
      </w:pPr>
      <w:r w:rsidRPr="00D75580">
        <w:rPr>
          <w:rFonts w:ascii="標楷體" w:eastAsia="標楷體" w:hAnsi="標楷體"/>
          <w:sz w:val="28"/>
          <w:szCs w:val="28"/>
        </w:rPr>
        <w:t>漲跌幅度及盤中瞬間價格穩定措施</w:t>
      </w:r>
    </w:p>
    <w:p w:rsidR="00605CF0" w:rsidRPr="00D75580" w:rsidRDefault="00133BC7" w:rsidP="00133BC7">
      <w:pPr>
        <w:pStyle w:val="a3"/>
        <w:spacing w:line="400" w:lineRule="exact"/>
        <w:ind w:leftChars="0" w:left="1564"/>
        <w:rPr>
          <w:rFonts w:ascii="標楷體" w:eastAsia="標楷體" w:hAnsi="標楷體"/>
          <w:sz w:val="28"/>
          <w:szCs w:val="28"/>
        </w:rPr>
      </w:pPr>
      <w:r w:rsidRPr="00D75580">
        <w:rPr>
          <w:rFonts w:ascii="標楷體" w:eastAsia="標楷體" w:hAnsi="標楷體" w:hint="eastAsia"/>
          <w:sz w:val="28"/>
          <w:szCs w:val="28"/>
        </w:rPr>
        <w:t>加掛</w:t>
      </w:r>
      <w:r w:rsidR="00C90478" w:rsidRPr="00D75580">
        <w:rPr>
          <w:rFonts w:ascii="標楷體" w:eastAsia="標楷體" w:hAnsi="標楷體"/>
          <w:sz w:val="28"/>
          <w:szCs w:val="28"/>
        </w:rPr>
        <w:t>人民幣</w:t>
      </w:r>
      <w:r w:rsidR="00002B82" w:rsidRPr="00D75580">
        <w:rPr>
          <w:rFonts w:ascii="標楷體" w:eastAsia="標楷體" w:hAnsi="標楷體" w:hint="eastAsia"/>
          <w:sz w:val="28"/>
          <w:szCs w:val="28"/>
        </w:rPr>
        <w:t>ETF</w:t>
      </w:r>
      <w:r w:rsidR="00D97A2C" w:rsidRPr="00D75580">
        <w:rPr>
          <w:rFonts w:ascii="標楷體" w:eastAsia="標楷體" w:hAnsi="標楷體" w:hint="eastAsia"/>
          <w:sz w:val="28"/>
          <w:szCs w:val="28"/>
        </w:rPr>
        <w:t>受益憑證之漲跌幅限制比照</w:t>
      </w:r>
      <w:r w:rsidR="00C90478" w:rsidRPr="00D75580">
        <w:rPr>
          <w:rFonts w:ascii="標楷體" w:eastAsia="標楷體" w:hAnsi="標楷體" w:hint="eastAsia"/>
          <w:sz w:val="28"/>
          <w:szCs w:val="28"/>
        </w:rPr>
        <w:t>新臺幣</w:t>
      </w:r>
      <w:r w:rsidR="00002B82" w:rsidRPr="00D75580">
        <w:rPr>
          <w:rFonts w:ascii="標楷體" w:eastAsia="標楷體" w:hAnsi="標楷體" w:hint="eastAsia"/>
          <w:sz w:val="28"/>
          <w:szCs w:val="28"/>
        </w:rPr>
        <w:t>ETF受益憑證</w:t>
      </w:r>
      <w:r w:rsidR="00C90478" w:rsidRPr="00D75580">
        <w:rPr>
          <w:rFonts w:ascii="標楷體" w:eastAsia="標楷體" w:hAnsi="標楷體" w:hint="eastAsia"/>
          <w:sz w:val="28"/>
          <w:szCs w:val="28"/>
        </w:rPr>
        <w:t>，</w:t>
      </w:r>
      <w:r w:rsidR="00002B82" w:rsidRPr="00D75580">
        <w:rPr>
          <w:rFonts w:ascii="標楷體" w:eastAsia="標楷體" w:hAnsi="標楷體"/>
          <w:sz w:val="28"/>
          <w:szCs w:val="28"/>
        </w:rPr>
        <w:t>且</w:t>
      </w:r>
      <w:r w:rsidR="00605CF0" w:rsidRPr="00D75580">
        <w:rPr>
          <w:rFonts w:ascii="標楷體" w:eastAsia="標楷體" w:hAnsi="標楷體"/>
          <w:sz w:val="28"/>
          <w:szCs w:val="28"/>
        </w:rPr>
        <w:t>適用盤中瞬間價格穩定措施。</w:t>
      </w:r>
    </w:p>
    <w:p w:rsidR="00F51C70" w:rsidRDefault="00002B82" w:rsidP="00F51C70">
      <w:pPr>
        <w:pStyle w:val="a3"/>
        <w:numPr>
          <w:ilvl w:val="0"/>
          <w:numId w:val="5"/>
        </w:numPr>
        <w:spacing w:line="400" w:lineRule="exact"/>
        <w:ind w:leftChars="0"/>
        <w:rPr>
          <w:rFonts w:ascii="標楷體" w:eastAsia="標楷體" w:hAnsi="標楷體"/>
          <w:sz w:val="28"/>
          <w:szCs w:val="28"/>
        </w:rPr>
      </w:pPr>
      <w:r w:rsidRPr="00D75580">
        <w:rPr>
          <w:rFonts w:ascii="標楷體" w:eastAsia="標楷體" w:hAnsi="標楷體"/>
          <w:sz w:val="28"/>
          <w:szCs w:val="28"/>
        </w:rPr>
        <w:t>當日沖銷交易、有價證券借貸、</w:t>
      </w:r>
      <w:r w:rsidR="00605CF0" w:rsidRPr="00D75580">
        <w:rPr>
          <w:rFonts w:ascii="標楷體" w:eastAsia="標楷體" w:hAnsi="標楷體"/>
          <w:sz w:val="28"/>
          <w:szCs w:val="28"/>
        </w:rPr>
        <w:t>信用交易</w:t>
      </w:r>
      <w:r w:rsidR="002E626C">
        <w:rPr>
          <w:rFonts w:ascii="標楷體" w:eastAsia="標楷體" w:hAnsi="標楷體"/>
          <w:sz w:val="28"/>
          <w:szCs w:val="28"/>
        </w:rPr>
        <w:t>、借貸款項</w:t>
      </w:r>
    </w:p>
    <w:p w:rsidR="0070258C" w:rsidRPr="00F51C70" w:rsidRDefault="00133BC7" w:rsidP="00F51C70">
      <w:pPr>
        <w:pStyle w:val="a3"/>
        <w:spacing w:line="400" w:lineRule="exact"/>
        <w:ind w:leftChars="0" w:left="1564"/>
        <w:rPr>
          <w:rFonts w:ascii="標楷體" w:eastAsia="標楷體" w:hAnsi="標楷體"/>
          <w:sz w:val="28"/>
          <w:szCs w:val="28"/>
        </w:rPr>
      </w:pPr>
      <w:r w:rsidRPr="00F51C70">
        <w:rPr>
          <w:rFonts w:ascii="標楷體" w:eastAsia="標楷體" w:hAnsi="標楷體"/>
          <w:sz w:val="28"/>
          <w:szCs w:val="28"/>
        </w:rPr>
        <w:t>加掛</w:t>
      </w:r>
      <w:r w:rsidR="0070258C" w:rsidRPr="00F51C70">
        <w:rPr>
          <w:rFonts w:ascii="標楷體" w:eastAsia="標楷體" w:hAnsi="標楷體"/>
          <w:sz w:val="28"/>
          <w:szCs w:val="28"/>
        </w:rPr>
        <w:t>人民幣</w:t>
      </w:r>
      <w:r w:rsidR="0070258C" w:rsidRPr="00F51C70">
        <w:rPr>
          <w:rFonts w:ascii="標楷體" w:eastAsia="標楷體" w:hAnsi="標楷體" w:hint="eastAsia"/>
          <w:sz w:val="28"/>
          <w:szCs w:val="28"/>
        </w:rPr>
        <w:t>ETF受益憑證</w:t>
      </w:r>
      <w:r w:rsidR="0070258C" w:rsidRPr="00F51C70">
        <w:rPr>
          <w:rFonts w:ascii="標楷體" w:eastAsia="標楷體" w:hAnsi="標楷體"/>
          <w:sz w:val="28"/>
          <w:szCs w:val="28"/>
        </w:rPr>
        <w:t>不得為當日沖銷交易、有價證券借</w:t>
      </w:r>
      <w:r w:rsidRPr="00F51C70">
        <w:rPr>
          <w:rFonts w:ascii="標楷體" w:eastAsia="標楷體" w:hAnsi="標楷體"/>
          <w:sz w:val="28"/>
          <w:szCs w:val="28"/>
        </w:rPr>
        <w:t>貸</w:t>
      </w:r>
      <w:r w:rsidR="0070258C" w:rsidRPr="00F51C70">
        <w:rPr>
          <w:rFonts w:ascii="標楷體" w:eastAsia="標楷體" w:hAnsi="標楷體"/>
          <w:sz w:val="28"/>
          <w:szCs w:val="28"/>
        </w:rPr>
        <w:t>、信用交易</w:t>
      </w:r>
      <w:r w:rsidR="002E626C">
        <w:rPr>
          <w:rFonts w:ascii="標楷體" w:eastAsia="標楷體" w:hAnsi="標楷體"/>
          <w:sz w:val="28"/>
          <w:szCs w:val="28"/>
        </w:rPr>
        <w:t>、借貸款項</w:t>
      </w:r>
      <w:r w:rsidR="00930F82">
        <w:rPr>
          <w:rFonts w:ascii="標楷體" w:eastAsia="標楷體" w:hAnsi="標楷體"/>
          <w:sz w:val="28"/>
          <w:szCs w:val="28"/>
        </w:rPr>
        <w:t>，亦不得作為擔保品（含借</w:t>
      </w:r>
      <w:proofErr w:type="gramStart"/>
      <w:r w:rsidR="00930F82">
        <w:rPr>
          <w:rFonts w:ascii="標楷體" w:eastAsia="標楷體" w:hAnsi="標楷體"/>
          <w:sz w:val="28"/>
          <w:szCs w:val="28"/>
        </w:rPr>
        <w:t>券</w:t>
      </w:r>
      <w:proofErr w:type="gramEnd"/>
      <w:r w:rsidR="00930F82">
        <w:rPr>
          <w:rFonts w:ascii="標楷體" w:eastAsia="標楷體" w:hAnsi="標楷體"/>
          <w:sz w:val="28"/>
          <w:szCs w:val="28"/>
        </w:rPr>
        <w:t>、信用交易及</w:t>
      </w:r>
      <w:r w:rsidR="0070258C" w:rsidRPr="00F51C70">
        <w:rPr>
          <w:rFonts w:ascii="標楷體" w:eastAsia="標楷體" w:hAnsi="標楷體"/>
          <w:sz w:val="28"/>
          <w:szCs w:val="28"/>
        </w:rPr>
        <w:t>借貸</w:t>
      </w:r>
      <w:r w:rsidR="00930F82">
        <w:rPr>
          <w:rFonts w:ascii="標楷體" w:eastAsia="標楷體" w:hAnsi="標楷體"/>
          <w:sz w:val="28"/>
          <w:szCs w:val="28"/>
        </w:rPr>
        <w:t>款項</w:t>
      </w:r>
      <w:r w:rsidR="0070258C" w:rsidRPr="00F51C70">
        <w:rPr>
          <w:rFonts w:ascii="標楷體" w:eastAsia="標楷體" w:hAnsi="標楷體"/>
          <w:sz w:val="28"/>
          <w:szCs w:val="28"/>
        </w:rPr>
        <w:t>）及權證標的。</w:t>
      </w:r>
    </w:p>
    <w:p w:rsidR="00E163B4" w:rsidRDefault="00E163B4" w:rsidP="00E163B4">
      <w:pPr>
        <w:pStyle w:val="a3"/>
        <w:numPr>
          <w:ilvl w:val="0"/>
          <w:numId w:val="5"/>
        </w:numPr>
        <w:spacing w:line="400" w:lineRule="exact"/>
        <w:ind w:leftChars="0"/>
        <w:rPr>
          <w:rFonts w:ascii="標楷體" w:eastAsia="標楷體" w:hAnsi="標楷體"/>
          <w:sz w:val="28"/>
          <w:szCs w:val="28"/>
        </w:rPr>
      </w:pPr>
      <w:r w:rsidRPr="00D75580">
        <w:rPr>
          <w:rFonts w:ascii="標楷體" w:eastAsia="標楷體" w:hAnsi="標楷體" w:hint="eastAsia"/>
          <w:sz w:val="28"/>
          <w:szCs w:val="28"/>
        </w:rPr>
        <w:t>轉換申請</w:t>
      </w:r>
    </w:p>
    <w:p w:rsidR="00F51C70" w:rsidRDefault="002E626C" w:rsidP="00F51C70">
      <w:pPr>
        <w:pStyle w:val="a3"/>
        <w:numPr>
          <w:ilvl w:val="0"/>
          <w:numId w:val="42"/>
        </w:numPr>
        <w:spacing w:line="400" w:lineRule="exact"/>
        <w:ind w:leftChars="0"/>
        <w:rPr>
          <w:rFonts w:ascii="標楷體" w:eastAsia="標楷體" w:hAnsi="標楷體"/>
          <w:sz w:val="28"/>
          <w:szCs w:val="28"/>
        </w:rPr>
      </w:pPr>
      <w:r>
        <w:rPr>
          <w:rFonts w:ascii="標楷體" w:eastAsia="標楷體" w:hAnsi="標楷體" w:hint="eastAsia"/>
          <w:sz w:val="28"/>
          <w:szCs w:val="28"/>
        </w:rPr>
        <w:t>加掛人民幣ETF受益憑證</w:t>
      </w:r>
      <w:r w:rsidR="00F51C70">
        <w:rPr>
          <w:rFonts w:ascii="標楷體" w:eastAsia="標楷體" w:hAnsi="標楷體" w:hint="eastAsia"/>
          <w:sz w:val="28"/>
          <w:szCs w:val="28"/>
        </w:rPr>
        <w:t>上市前L</w:t>
      </w:r>
      <w:r w:rsidR="00525111">
        <w:rPr>
          <w:rFonts w:ascii="標楷體" w:eastAsia="標楷體" w:hAnsi="標楷體" w:hint="eastAsia"/>
          <w:sz w:val="28"/>
          <w:szCs w:val="28"/>
        </w:rPr>
        <w:t>P</w:t>
      </w:r>
      <w:r w:rsidR="00F51C70">
        <w:rPr>
          <w:rFonts w:ascii="標楷體" w:eastAsia="標楷體" w:hAnsi="標楷體" w:hint="eastAsia"/>
          <w:sz w:val="28"/>
          <w:szCs w:val="28"/>
        </w:rPr>
        <w:t>可申請轉換建立部位。</w:t>
      </w:r>
    </w:p>
    <w:p w:rsidR="00E163B4" w:rsidRDefault="00FD684A" w:rsidP="00F51C70">
      <w:pPr>
        <w:pStyle w:val="a3"/>
        <w:numPr>
          <w:ilvl w:val="0"/>
          <w:numId w:val="42"/>
        </w:numPr>
        <w:spacing w:line="400" w:lineRule="exact"/>
        <w:ind w:leftChars="0"/>
        <w:rPr>
          <w:rFonts w:ascii="標楷體" w:eastAsia="標楷體" w:hAnsi="標楷體"/>
          <w:sz w:val="28"/>
          <w:szCs w:val="28"/>
        </w:rPr>
      </w:pPr>
      <w:r w:rsidRPr="00F51C70">
        <w:rPr>
          <w:rFonts w:ascii="標楷體" w:eastAsia="標楷體" w:hAnsi="標楷體" w:hint="eastAsia"/>
          <w:sz w:val="28"/>
          <w:szCs w:val="28"/>
        </w:rPr>
        <w:t>加掛</w:t>
      </w:r>
      <w:r w:rsidR="00E163B4" w:rsidRPr="00F51C70">
        <w:rPr>
          <w:rFonts w:ascii="標楷體" w:eastAsia="標楷體" w:hAnsi="標楷體" w:hint="eastAsia"/>
          <w:sz w:val="28"/>
          <w:szCs w:val="28"/>
        </w:rPr>
        <w:t>人民幣ETF</w:t>
      </w:r>
      <w:r w:rsidR="00E163B4" w:rsidRPr="00F51C70">
        <w:rPr>
          <w:rFonts w:ascii="標楷體" w:eastAsia="標楷體" w:hAnsi="標楷體"/>
          <w:sz w:val="28"/>
          <w:szCs w:val="28"/>
        </w:rPr>
        <w:t>受益憑證上市後，和新臺幣</w:t>
      </w:r>
      <w:r w:rsidR="00E163B4" w:rsidRPr="00F51C70">
        <w:rPr>
          <w:rFonts w:ascii="標楷體" w:eastAsia="標楷體" w:hAnsi="標楷體" w:hint="eastAsia"/>
          <w:sz w:val="28"/>
          <w:szCs w:val="28"/>
        </w:rPr>
        <w:t>ETF受益憑證</w:t>
      </w:r>
      <w:proofErr w:type="gramStart"/>
      <w:r w:rsidR="00E163B4" w:rsidRPr="00F51C70">
        <w:rPr>
          <w:rFonts w:ascii="標楷體" w:eastAsia="標楷體" w:hAnsi="標楷體" w:hint="eastAsia"/>
          <w:sz w:val="28"/>
          <w:szCs w:val="28"/>
        </w:rPr>
        <w:t>兩者間</w:t>
      </w:r>
      <w:r w:rsidR="00E163B4" w:rsidRPr="00F51C70">
        <w:rPr>
          <w:rFonts w:ascii="標楷體" w:eastAsia="標楷體" w:hAnsi="標楷體"/>
          <w:sz w:val="28"/>
          <w:szCs w:val="28"/>
        </w:rPr>
        <w:t>可互相</w:t>
      </w:r>
      <w:proofErr w:type="gramEnd"/>
      <w:r w:rsidR="00EB6241">
        <w:rPr>
          <w:rFonts w:ascii="標楷體" w:eastAsia="標楷體" w:hAnsi="標楷體"/>
          <w:sz w:val="28"/>
          <w:szCs w:val="28"/>
        </w:rPr>
        <w:t>轉換，轉換數量須確定不超過其保管劃撥帳戶之可動用餘額，始得轉換</w:t>
      </w:r>
      <w:r w:rsidR="00E163B4" w:rsidRPr="00F51C70">
        <w:rPr>
          <w:rFonts w:ascii="標楷體" w:eastAsia="標楷體" w:hAnsi="標楷體"/>
          <w:sz w:val="28"/>
          <w:szCs w:val="28"/>
        </w:rPr>
        <w:t>，轉換成功後可立即於集中市場賣出；</w:t>
      </w:r>
      <w:r w:rsidR="00E163B4" w:rsidRPr="00F51C70">
        <w:rPr>
          <w:rFonts w:ascii="標楷體" w:eastAsia="標楷體" w:hAnsi="標楷體" w:hint="eastAsia"/>
          <w:sz w:val="28"/>
          <w:szCs w:val="28"/>
        </w:rPr>
        <w:t>轉換時間為本公司營業日上午8時30分至下午5時。</w:t>
      </w:r>
    </w:p>
    <w:p w:rsidR="00C5030C" w:rsidRPr="00F51C70" w:rsidRDefault="008A6CE8" w:rsidP="00F51C70">
      <w:pPr>
        <w:pStyle w:val="a3"/>
        <w:numPr>
          <w:ilvl w:val="0"/>
          <w:numId w:val="42"/>
        </w:numPr>
        <w:spacing w:line="400" w:lineRule="exact"/>
        <w:ind w:leftChars="0"/>
        <w:rPr>
          <w:rFonts w:ascii="標楷體" w:eastAsia="標楷體" w:hAnsi="標楷體"/>
          <w:sz w:val="28"/>
          <w:szCs w:val="28"/>
        </w:rPr>
      </w:pPr>
      <w:r w:rsidRPr="00D75580">
        <w:rPr>
          <w:rFonts w:ascii="標楷體" w:eastAsia="標楷體" w:hAnsi="標楷體" w:hint="eastAsia"/>
          <w:sz w:val="28"/>
          <w:szCs w:val="28"/>
        </w:rPr>
        <w:t>新臺幣ETF受益憑證之借入及融資買進部位不得申請轉換為加掛人民幣ETF受益憑證。</w:t>
      </w:r>
    </w:p>
    <w:p w:rsidR="00E163B4" w:rsidRPr="00D75580" w:rsidRDefault="00E163B4" w:rsidP="00E163B4">
      <w:pPr>
        <w:pStyle w:val="a3"/>
        <w:numPr>
          <w:ilvl w:val="0"/>
          <w:numId w:val="5"/>
        </w:numPr>
        <w:spacing w:line="400" w:lineRule="exact"/>
        <w:ind w:leftChars="0"/>
        <w:rPr>
          <w:rFonts w:ascii="標楷體" w:eastAsia="標楷體" w:hAnsi="標楷體"/>
          <w:sz w:val="28"/>
          <w:szCs w:val="28"/>
        </w:rPr>
      </w:pPr>
      <w:r w:rsidRPr="00D75580">
        <w:rPr>
          <w:rFonts w:ascii="標楷體" w:eastAsia="標楷體" w:hAnsi="標楷體"/>
          <w:sz w:val="28"/>
          <w:szCs w:val="28"/>
        </w:rPr>
        <w:t>預收款項</w:t>
      </w:r>
    </w:p>
    <w:p w:rsidR="00E163B4" w:rsidRPr="00D75580" w:rsidRDefault="002E626C" w:rsidP="00E163B4">
      <w:pPr>
        <w:pStyle w:val="a3"/>
        <w:spacing w:line="400" w:lineRule="exact"/>
        <w:ind w:leftChars="0" w:left="1564"/>
        <w:rPr>
          <w:rFonts w:ascii="標楷體" w:eastAsia="標楷體" w:hAnsi="標楷體"/>
          <w:sz w:val="28"/>
          <w:szCs w:val="28"/>
        </w:rPr>
      </w:pPr>
      <w:r>
        <w:rPr>
          <w:rFonts w:ascii="標楷體" w:eastAsia="標楷體" w:hAnsi="標楷體" w:hint="eastAsia"/>
          <w:sz w:val="28"/>
          <w:szCs w:val="28"/>
        </w:rPr>
        <w:t>目</w:t>
      </w:r>
      <w:r w:rsidR="00E163B4" w:rsidRPr="00D75580">
        <w:rPr>
          <w:rFonts w:ascii="標楷體" w:eastAsia="標楷體" w:hAnsi="標楷體" w:hint="eastAsia"/>
          <w:sz w:val="28"/>
          <w:szCs w:val="28"/>
        </w:rPr>
        <w:t>前自然人每日人民幣換</w:t>
      </w:r>
      <w:proofErr w:type="gramStart"/>
      <w:r w:rsidR="00E163B4" w:rsidRPr="00D75580">
        <w:rPr>
          <w:rFonts w:ascii="標楷體" w:eastAsia="標楷體" w:hAnsi="標楷體" w:hint="eastAsia"/>
          <w:sz w:val="28"/>
          <w:szCs w:val="28"/>
        </w:rPr>
        <w:t>匯</w:t>
      </w:r>
      <w:proofErr w:type="gramEnd"/>
      <w:r w:rsidR="00E163B4" w:rsidRPr="00D75580">
        <w:rPr>
          <w:rFonts w:ascii="標楷體" w:eastAsia="標楷體" w:hAnsi="標楷體" w:hint="eastAsia"/>
          <w:sz w:val="28"/>
          <w:szCs w:val="28"/>
        </w:rPr>
        <w:t>限額2萬元，為避免屆時無法及時完成交割，除委由保管機構代辦交割事務者外，概</w:t>
      </w:r>
      <w:proofErr w:type="gramStart"/>
      <w:r w:rsidR="00E163B4" w:rsidRPr="00D75580">
        <w:rPr>
          <w:rFonts w:ascii="標楷體" w:eastAsia="標楷體" w:hAnsi="標楷體" w:hint="eastAsia"/>
          <w:sz w:val="28"/>
          <w:szCs w:val="28"/>
        </w:rPr>
        <w:t>採</w:t>
      </w:r>
      <w:proofErr w:type="gramEnd"/>
      <w:r w:rsidR="00E163B4" w:rsidRPr="00D75580">
        <w:rPr>
          <w:rFonts w:ascii="標楷體" w:eastAsia="標楷體" w:hAnsi="標楷體" w:hint="eastAsia"/>
          <w:sz w:val="28"/>
          <w:szCs w:val="28"/>
        </w:rPr>
        <w:t>預收款項。</w:t>
      </w:r>
    </w:p>
    <w:p w:rsidR="00F51C70" w:rsidRDefault="00025954" w:rsidP="00F51C70">
      <w:pPr>
        <w:pStyle w:val="a3"/>
        <w:numPr>
          <w:ilvl w:val="0"/>
          <w:numId w:val="5"/>
        </w:numPr>
        <w:spacing w:line="400" w:lineRule="exact"/>
        <w:ind w:leftChars="0"/>
        <w:rPr>
          <w:rFonts w:ascii="標楷體" w:eastAsia="標楷體" w:hAnsi="標楷體"/>
          <w:sz w:val="28"/>
          <w:szCs w:val="28"/>
        </w:rPr>
      </w:pPr>
      <w:r w:rsidRPr="00D75580">
        <w:rPr>
          <w:rFonts w:ascii="標楷體" w:eastAsia="標楷體" w:hAnsi="標楷體" w:hint="eastAsia"/>
          <w:sz w:val="28"/>
          <w:szCs w:val="28"/>
        </w:rPr>
        <w:lastRenderedPageBreak/>
        <w:t>上市首日開盤競價基準</w:t>
      </w:r>
    </w:p>
    <w:p w:rsidR="008F4639" w:rsidRPr="00F51C70" w:rsidRDefault="00A62A7D" w:rsidP="00F51C70">
      <w:pPr>
        <w:pStyle w:val="a3"/>
        <w:spacing w:line="400" w:lineRule="exact"/>
        <w:ind w:leftChars="0" w:left="1564"/>
        <w:rPr>
          <w:rFonts w:ascii="標楷體" w:eastAsia="標楷體" w:hAnsi="標楷體"/>
          <w:sz w:val="28"/>
          <w:szCs w:val="28"/>
        </w:rPr>
      </w:pPr>
      <w:r w:rsidRPr="00F51C70">
        <w:rPr>
          <w:rFonts w:ascii="標楷體" w:eastAsia="標楷體" w:hAnsi="標楷體" w:hint="eastAsia"/>
          <w:sz w:val="28"/>
          <w:szCs w:val="28"/>
        </w:rPr>
        <w:t>上市前一日由發行公司以</w:t>
      </w:r>
      <w:r w:rsidR="00025954" w:rsidRPr="00F51C70">
        <w:rPr>
          <w:rFonts w:ascii="標楷體" w:eastAsia="標楷體" w:hAnsi="標楷體" w:hint="eastAsia"/>
          <w:sz w:val="28"/>
          <w:szCs w:val="28"/>
        </w:rPr>
        <w:t>新臺幣ETF受益憑證每受益權單位</w:t>
      </w:r>
      <w:r w:rsidRPr="00F51C70">
        <w:rPr>
          <w:rFonts w:ascii="標楷體" w:eastAsia="標楷體" w:hAnsi="標楷體" w:hint="eastAsia"/>
          <w:sz w:val="28"/>
          <w:szCs w:val="28"/>
        </w:rPr>
        <w:t>淨值乘以匯率換算</w:t>
      </w:r>
      <w:r w:rsidR="00535E26" w:rsidRPr="00F51C70">
        <w:rPr>
          <w:rFonts w:ascii="標楷體" w:eastAsia="標楷體" w:hAnsi="標楷體" w:hint="eastAsia"/>
          <w:sz w:val="28"/>
          <w:szCs w:val="28"/>
        </w:rPr>
        <w:t>後，提供本公司做</w:t>
      </w:r>
      <w:r w:rsidRPr="00F51C70">
        <w:rPr>
          <w:rFonts w:ascii="標楷體" w:eastAsia="標楷體" w:hAnsi="標楷體" w:hint="eastAsia"/>
          <w:sz w:val="28"/>
          <w:szCs w:val="28"/>
        </w:rPr>
        <w:t>為加掛</w:t>
      </w:r>
      <w:r w:rsidR="00FD684A" w:rsidRPr="00F51C70">
        <w:rPr>
          <w:rFonts w:ascii="標楷體" w:eastAsia="標楷體" w:hAnsi="標楷體" w:hint="eastAsia"/>
          <w:sz w:val="28"/>
          <w:szCs w:val="28"/>
        </w:rPr>
        <w:t>人民幣</w:t>
      </w:r>
      <w:r w:rsidRPr="00F51C70">
        <w:rPr>
          <w:rFonts w:ascii="標楷體" w:eastAsia="標楷體" w:hAnsi="標楷體" w:hint="eastAsia"/>
          <w:sz w:val="28"/>
          <w:szCs w:val="28"/>
        </w:rPr>
        <w:t>ETF受益憑證上市首日升降幅度及開盤競價基準</w:t>
      </w:r>
      <w:r w:rsidR="00C517EE" w:rsidRPr="00F51C70">
        <w:rPr>
          <w:rFonts w:ascii="標楷體" w:eastAsia="標楷體" w:hAnsi="標楷體" w:hint="eastAsia"/>
          <w:sz w:val="28"/>
          <w:szCs w:val="28"/>
        </w:rPr>
        <w:t>之計算</w:t>
      </w:r>
      <w:r w:rsidR="00A373FD" w:rsidRPr="00F51C70">
        <w:rPr>
          <w:rFonts w:ascii="標楷體" w:eastAsia="標楷體" w:hAnsi="標楷體" w:hint="eastAsia"/>
          <w:sz w:val="28"/>
          <w:szCs w:val="28"/>
        </w:rPr>
        <w:t>基準</w:t>
      </w:r>
      <w:r w:rsidRPr="00F51C70">
        <w:rPr>
          <w:rFonts w:ascii="標楷體" w:eastAsia="標楷體" w:hAnsi="標楷體" w:hint="eastAsia"/>
          <w:sz w:val="28"/>
          <w:szCs w:val="28"/>
        </w:rPr>
        <w:t>。</w:t>
      </w:r>
    </w:p>
    <w:p w:rsidR="00F51C70" w:rsidRDefault="00025954" w:rsidP="00F51C70">
      <w:pPr>
        <w:pStyle w:val="a3"/>
        <w:numPr>
          <w:ilvl w:val="0"/>
          <w:numId w:val="5"/>
        </w:numPr>
        <w:spacing w:line="400" w:lineRule="exact"/>
        <w:ind w:leftChars="0"/>
        <w:rPr>
          <w:rFonts w:ascii="標楷體" w:eastAsia="標楷體" w:hAnsi="標楷體"/>
          <w:sz w:val="28"/>
          <w:szCs w:val="28"/>
        </w:rPr>
      </w:pPr>
      <w:r w:rsidRPr="00D75580">
        <w:rPr>
          <w:rFonts w:ascii="標楷體" w:eastAsia="標楷體" w:hAnsi="標楷體"/>
          <w:sz w:val="28"/>
          <w:szCs w:val="28"/>
        </w:rPr>
        <w:t>分配收益（除息）</w:t>
      </w:r>
      <w:r w:rsidR="00605CF0" w:rsidRPr="00D75580">
        <w:rPr>
          <w:rFonts w:ascii="標楷體" w:eastAsia="標楷體" w:hAnsi="標楷體"/>
          <w:sz w:val="28"/>
          <w:szCs w:val="28"/>
        </w:rPr>
        <w:t>相關計算作業</w:t>
      </w:r>
    </w:p>
    <w:p w:rsidR="00BD2961" w:rsidRPr="00F51C70" w:rsidRDefault="00972921" w:rsidP="00F51C70">
      <w:pPr>
        <w:pStyle w:val="a3"/>
        <w:spacing w:line="400" w:lineRule="exact"/>
        <w:ind w:leftChars="0" w:left="1564"/>
        <w:rPr>
          <w:rFonts w:ascii="標楷體" w:eastAsia="標楷體" w:hAnsi="標楷體"/>
          <w:sz w:val="28"/>
          <w:szCs w:val="28"/>
        </w:rPr>
      </w:pPr>
      <w:r w:rsidRPr="00F51C70">
        <w:rPr>
          <w:rFonts w:ascii="標楷體" w:eastAsia="標楷體" w:hAnsi="標楷體"/>
          <w:sz w:val="28"/>
          <w:szCs w:val="28"/>
        </w:rPr>
        <w:t>加掛人民幣</w:t>
      </w:r>
      <w:r w:rsidRPr="00F51C70">
        <w:rPr>
          <w:rFonts w:ascii="標楷體" w:eastAsia="標楷體" w:hAnsi="標楷體" w:hint="eastAsia"/>
          <w:sz w:val="28"/>
          <w:szCs w:val="28"/>
        </w:rPr>
        <w:t>ETF受益憑證，</w:t>
      </w:r>
      <w:r w:rsidRPr="00F51C70">
        <w:rPr>
          <w:rFonts w:ascii="標楷體" w:eastAsia="標楷體" w:hAnsi="標楷體"/>
          <w:sz w:val="28"/>
          <w:szCs w:val="28"/>
        </w:rPr>
        <w:t>由發行公司將收益分配金額依匯率</w:t>
      </w:r>
      <w:r w:rsidR="00CD7AB6">
        <w:rPr>
          <w:rFonts w:ascii="標楷體" w:eastAsia="標楷體" w:hAnsi="標楷體"/>
          <w:sz w:val="28"/>
          <w:szCs w:val="28"/>
        </w:rPr>
        <w:t>換</w:t>
      </w:r>
      <w:r w:rsidRPr="00F51C70">
        <w:rPr>
          <w:rFonts w:ascii="標楷體" w:eastAsia="標楷體" w:hAnsi="標楷體"/>
          <w:sz w:val="28"/>
          <w:szCs w:val="28"/>
        </w:rPr>
        <w:t>算成人民幣，提供本公司做為除息交易開</w:t>
      </w:r>
      <w:r w:rsidR="00F51C70" w:rsidRPr="00F51C70">
        <w:rPr>
          <w:rFonts w:ascii="標楷體" w:eastAsia="標楷體" w:hAnsi="標楷體"/>
          <w:sz w:val="28"/>
          <w:szCs w:val="28"/>
        </w:rPr>
        <w:t>始日升降幅度及開盤競價基準之計算基準</w:t>
      </w:r>
      <w:r w:rsidR="00BD2961" w:rsidRPr="00F51C70">
        <w:rPr>
          <w:rFonts w:ascii="標楷體" w:eastAsia="標楷體" w:hAnsi="標楷體"/>
          <w:sz w:val="28"/>
          <w:szCs w:val="28"/>
        </w:rPr>
        <w:t>。</w:t>
      </w:r>
    </w:p>
    <w:p w:rsidR="00F51C70" w:rsidRDefault="00972921" w:rsidP="00F51C70">
      <w:pPr>
        <w:pStyle w:val="a3"/>
        <w:numPr>
          <w:ilvl w:val="0"/>
          <w:numId w:val="5"/>
        </w:numPr>
        <w:spacing w:line="400" w:lineRule="exact"/>
        <w:ind w:leftChars="0"/>
        <w:rPr>
          <w:rFonts w:ascii="標楷體" w:eastAsia="標楷體" w:hAnsi="標楷體"/>
          <w:sz w:val="28"/>
          <w:szCs w:val="28"/>
        </w:rPr>
      </w:pPr>
      <w:r w:rsidRPr="00D75580">
        <w:rPr>
          <w:rFonts w:ascii="標楷體" w:eastAsia="標楷體" w:hAnsi="標楷體" w:hint="eastAsia"/>
          <w:sz w:val="28"/>
          <w:szCs w:val="28"/>
        </w:rPr>
        <w:t>加掛ETF</w:t>
      </w:r>
      <w:r w:rsidR="00ED2DC3" w:rsidRPr="00D75580">
        <w:rPr>
          <w:rFonts w:ascii="標楷體" w:eastAsia="標楷體" w:hAnsi="標楷體" w:hint="eastAsia"/>
          <w:sz w:val="28"/>
          <w:szCs w:val="28"/>
        </w:rPr>
        <w:t>受益憑證不得辦理申購或買回</w:t>
      </w:r>
    </w:p>
    <w:p w:rsidR="00972921" w:rsidRPr="00F51C70" w:rsidRDefault="00ED2DC3" w:rsidP="00F51C70">
      <w:pPr>
        <w:pStyle w:val="a3"/>
        <w:spacing w:line="400" w:lineRule="exact"/>
        <w:ind w:leftChars="0" w:left="1564"/>
        <w:rPr>
          <w:rFonts w:ascii="標楷體" w:eastAsia="標楷體" w:hAnsi="標楷體"/>
          <w:sz w:val="28"/>
          <w:szCs w:val="28"/>
        </w:rPr>
      </w:pPr>
      <w:r w:rsidRPr="00F51C70">
        <w:rPr>
          <w:rFonts w:ascii="標楷體" w:eastAsia="標楷體" w:hAnsi="標楷體" w:hint="eastAsia"/>
          <w:sz w:val="28"/>
          <w:szCs w:val="28"/>
        </w:rPr>
        <w:t>證券商不得受託或自行辦理加掛ETF受益憑證之申購、買回作業。</w:t>
      </w:r>
    </w:p>
    <w:p w:rsidR="00E163B4" w:rsidRPr="00D75580" w:rsidRDefault="00605CF0" w:rsidP="00E163B4">
      <w:pPr>
        <w:pStyle w:val="a3"/>
        <w:numPr>
          <w:ilvl w:val="0"/>
          <w:numId w:val="5"/>
        </w:numPr>
        <w:spacing w:line="400" w:lineRule="exact"/>
        <w:ind w:leftChars="0"/>
        <w:rPr>
          <w:rFonts w:ascii="標楷體" w:eastAsia="標楷體" w:hAnsi="標楷體"/>
          <w:sz w:val="28"/>
          <w:szCs w:val="28"/>
        </w:rPr>
      </w:pPr>
      <w:r w:rsidRPr="00D75580">
        <w:rPr>
          <w:rFonts w:ascii="標楷體" w:eastAsia="標楷體" w:hAnsi="標楷體"/>
          <w:sz w:val="28"/>
          <w:szCs w:val="28"/>
        </w:rPr>
        <w:t>其他交易管控措施</w:t>
      </w:r>
    </w:p>
    <w:p w:rsidR="00E163B4" w:rsidRPr="008A6CE8" w:rsidRDefault="00BD5D17" w:rsidP="008A6CE8">
      <w:pPr>
        <w:pStyle w:val="a3"/>
        <w:numPr>
          <w:ilvl w:val="0"/>
          <w:numId w:val="22"/>
        </w:numPr>
        <w:spacing w:line="400" w:lineRule="exact"/>
        <w:ind w:leftChars="0"/>
        <w:rPr>
          <w:rFonts w:ascii="標楷體" w:eastAsia="標楷體" w:hAnsi="標楷體"/>
          <w:sz w:val="28"/>
          <w:szCs w:val="28"/>
        </w:rPr>
      </w:pPr>
      <w:r w:rsidRPr="00D75580">
        <w:rPr>
          <w:rFonts w:ascii="標楷體" w:eastAsia="標楷體" w:hAnsi="標楷體"/>
          <w:sz w:val="28"/>
          <w:szCs w:val="28"/>
        </w:rPr>
        <w:t>依</w:t>
      </w:r>
      <w:r w:rsidR="00133BC7" w:rsidRPr="00D75580">
        <w:rPr>
          <w:rFonts w:ascii="標楷體" w:eastAsia="標楷體" w:hAnsi="標楷體"/>
          <w:sz w:val="28"/>
          <w:szCs w:val="28"/>
        </w:rPr>
        <w:t>前日公告之匯率換算</w:t>
      </w:r>
      <w:r w:rsidRPr="00D75580">
        <w:rPr>
          <w:rFonts w:ascii="標楷體" w:eastAsia="標楷體" w:hAnsi="標楷體"/>
          <w:sz w:val="28"/>
          <w:szCs w:val="28"/>
        </w:rPr>
        <w:t>，將證券商外幣受託買賣金額換算為新臺幣，</w:t>
      </w:r>
      <w:r w:rsidR="002E626C">
        <w:rPr>
          <w:rFonts w:ascii="標楷體" w:eastAsia="標楷體" w:hAnsi="標楷體"/>
          <w:sz w:val="28"/>
          <w:szCs w:val="28"/>
        </w:rPr>
        <w:t>納入證券商受託買賣額度計算。</w:t>
      </w:r>
    </w:p>
    <w:p w:rsidR="002E626C" w:rsidRPr="002E626C" w:rsidRDefault="002E626C" w:rsidP="009B483E">
      <w:pPr>
        <w:pStyle w:val="a3"/>
        <w:numPr>
          <w:ilvl w:val="0"/>
          <w:numId w:val="22"/>
        </w:numPr>
        <w:spacing w:line="400" w:lineRule="exact"/>
        <w:ind w:leftChars="0"/>
        <w:rPr>
          <w:rFonts w:ascii="標楷體" w:eastAsia="標楷體" w:hAnsi="標楷體"/>
          <w:sz w:val="28"/>
          <w:szCs w:val="28"/>
        </w:rPr>
      </w:pPr>
      <w:r w:rsidRPr="002E626C">
        <w:rPr>
          <w:rFonts w:ascii="標楷體" w:eastAsia="標楷體" w:hAnsi="標楷體" w:hint="eastAsia"/>
          <w:snapToGrid w:val="0"/>
          <w:sz w:val="28"/>
          <w:szCs w:val="28"/>
        </w:rPr>
        <w:t>申報單一證券或股票組合鉅額買賣</w:t>
      </w:r>
      <w:r w:rsidR="00930F82">
        <w:rPr>
          <w:rFonts w:ascii="標楷體" w:eastAsia="標楷體" w:hAnsi="標楷體" w:hint="eastAsia"/>
          <w:snapToGrid w:val="0"/>
          <w:sz w:val="28"/>
          <w:szCs w:val="28"/>
        </w:rPr>
        <w:t>，若有</w:t>
      </w:r>
      <w:r>
        <w:rPr>
          <w:rFonts w:ascii="標楷體" w:eastAsia="標楷體" w:hAnsi="標楷體" w:hint="eastAsia"/>
          <w:snapToGrid w:val="0"/>
          <w:sz w:val="28"/>
          <w:szCs w:val="28"/>
        </w:rPr>
        <w:t>人民幣加掛ETF，依前</w:t>
      </w:r>
      <w:r w:rsidRPr="002E626C">
        <w:rPr>
          <w:rFonts w:ascii="標楷體" w:eastAsia="標楷體" w:hAnsi="標楷體" w:hint="eastAsia"/>
          <w:snapToGrid w:val="0"/>
          <w:sz w:val="28"/>
          <w:szCs w:val="28"/>
        </w:rPr>
        <w:t>日公告匯率計算申報總金額，</w:t>
      </w:r>
    </w:p>
    <w:p w:rsidR="002E626C" w:rsidRPr="002E626C" w:rsidRDefault="00F51C70" w:rsidP="002E626C">
      <w:pPr>
        <w:pStyle w:val="a3"/>
        <w:numPr>
          <w:ilvl w:val="0"/>
          <w:numId w:val="5"/>
        </w:numPr>
        <w:spacing w:line="400" w:lineRule="exact"/>
        <w:ind w:leftChars="0"/>
        <w:rPr>
          <w:rFonts w:ascii="標楷體" w:eastAsia="標楷體" w:hAnsi="標楷體"/>
          <w:sz w:val="28"/>
          <w:szCs w:val="28"/>
        </w:rPr>
      </w:pPr>
      <w:r>
        <w:rPr>
          <w:rFonts w:ascii="標楷體" w:eastAsia="標楷體" w:hAnsi="標楷體"/>
          <w:sz w:val="28"/>
          <w:szCs w:val="28"/>
        </w:rPr>
        <w:t>其他相關制度</w:t>
      </w:r>
    </w:p>
    <w:p w:rsidR="00537A6B" w:rsidRPr="00D75580" w:rsidRDefault="00BF2274" w:rsidP="00DD30A9">
      <w:pPr>
        <w:pStyle w:val="a3"/>
        <w:numPr>
          <w:ilvl w:val="0"/>
          <w:numId w:val="23"/>
        </w:numPr>
        <w:spacing w:line="400" w:lineRule="exact"/>
        <w:ind w:leftChars="0"/>
        <w:rPr>
          <w:rFonts w:ascii="標楷體" w:eastAsia="標楷體" w:hAnsi="標楷體"/>
          <w:sz w:val="28"/>
          <w:szCs w:val="28"/>
        </w:rPr>
      </w:pPr>
      <w:r w:rsidRPr="00D75580">
        <w:rPr>
          <w:rFonts w:ascii="標楷體" w:eastAsia="標楷體" w:hAnsi="標楷體"/>
          <w:sz w:val="28"/>
          <w:szCs w:val="28"/>
        </w:rPr>
        <w:t>新臺幣</w:t>
      </w:r>
      <w:r w:rsidR="00D13397" w:rsidRPr="00D75580">
        <w:rPr>
          <w:rFonts w:ascii="標楷體" w:eastAsia="標楷體" w:hAnsi="標楷體" w:hint="eastAsia"/>
          <w:sz w:val="28"/>
          <w:szCs w:val="28"/>
        </w:rPr>
        <w:t>ETF和</w:t>
      </w:r>
      <w:r w:rsidRPr="00D75580">
        <w:rPr>
          <w:rFonts w:ascii="標楷體" w:eastAsia="標楷體" w:hAnsi="標楷體" w:hint="eastAsia"/>
          <w:sz w:val="28"/>
          <w:szCs w:val="28"/>
        </w:rPr>
        <w:t>人民幣</w:t>
      </w:r>
      <w:r w:rsidR="00930F82">
        <w:rPr>
          <w:rFonts w:ascii="標楷體" w:eastAsia="標楷體" w:hAnsi="標楷體" w:hint="eastAsia"/>
          <w:sz w:val="28"/>
          <w:szCs w:val="28"/>
        </w:rPr>
        <w:t>加掛</w:t>
      </w:r>
      <w:r w:rsidRPr="00D75580">
        <w:rPr>
          <w:rFonts w:ascii="標楷體" w:eastAsia="標楷體" w:hAnsi="標楷體" w:hint="eastAsia"/>
          <w:sz w:val="28"/>
          <w:szCs w:val="28"/>
        </w:rPr>
        <w:t>ETF於</w:t>
      </w:r>
      <w:r w:rsidR="00F51C70">
        <w:rPr>
          <w:rFonts w:ascii="標楷體" w:eastAsia="標楷體" w:hAnsi="標楷體"/>
          <w:sz w:val="28"/>
          <w:szCs w:val="28"/>
        </w:rPr>
        <w:t>資訊揭露及統計</w:t>
      </w:r>
      <w:r w:rsidR="002E626C">
        <w:rPr>
          <w:rFonts w:ascii="標楷體" w:eastAsia="標楷體" w:hAnsi="標楷體"/>
          <w:sz w:val="28"/>
          <w:szCs w:val="28"/>
        </w:rPr>
        <w:t>資料</w:t>
      </w:r>
      <w:r w:rsidRPr="00D75580">
        <w:rPr>
          <w:rFonts w:ascii="標楷體" w:eastAsia="標楷體" w:hAnsi="標楷體"/>
          <w:sz w:val="28"/>
          <w:szCs w:val="28"/>
        </w:rPr>
        <w:t>分開揭示。</w:t>
      </w:r>
    </w:p>
    <w:p w:rsidR="00537A6B" w:rsidRPr="00D75580" w:rsidRDefault="00537A6B" w:rsidP="001949CB">
      <w:pPr>
        <w:pStyle w:val="a3"/>
        <w:numPr>
          <w:ilvl w:val="0"/>
          <w:numId w:val="23"/>
        </w:numPr>
        <w:spacing w:line="400" w:lineRule="exact"/>
        <w:ind w:leftChars="0"/>
        <w:rPr>
          <w:rFonts w:ascii="標楷體" w:eastAsia="標楷體" w:hAnsi="標楷體"/>
          <w:sz w:val="28"/>
          <w:szCs w:val="28"/>
        </w:rPr>
      </w:pPr>
      <w:r w:rsidRPr="00D75580">
        <w:rPr>
          <w:rFonts w:ascii="標楷體" w:eastAsia="標楷體" w:hAnsi="標楷體"/>
          <w:sz w:val="28"/>
          <w:szCs w:val="28"/>
        </w:rPr>
        <w:t>發行公司盤中提供以即時匯率換算之預估淨值，以供投資人交易之參考。</w:t>
      </w:r>
    </w:p>
    <w:p w:rsidR="00BC458E" w:rsidRPr="00D75580" w:rsidRDefault="000A6828" w:rsidP="00BC458E">
      <w:pPr>
        <w:pStyle w:val="a3"/>
        <w:numPr>
          <w:ilvl w:val="0"/>
          <w:numId w:val="5"/>
        </w:numPr>
        <w:spacing w:line="400" w:lineRule="exact"/>
        <w:ind w:leftChars="0"/>
        <w:rPr>
          <w:rFonts w:ascii="標楷體" w:eastAsia="標楷體" w:hAnsi="標楷體"/>
          <w:sz w:val="28"/>
          <w:szCs w:val="28"/>
        </w:rPr>
      </w:pPr>
      <w:r w:rsidRPr="00D75580">
        <w:rPr>
          <w:rFonts w:ascii="標楷體" w:eastAsia="標楷體" w:hAnsi="標楷體" w:hint="eastAsia"/>
          <w:sz w:val="28"/>
          <w:szCs w:val="28"/>
        </w:rPr>
        <w:t>相關作業匯率時點：</w:t>
      </w:r>
    </w:p>
    <w:tbl>
      <w:tblPr>
        <w:tblpPr w:leftFromText="180" w:rightFromText="180" w:vertAnchor="text" w:horzAnchor="margin" w:tblpXSpec="center" w:tblpY="219"/>
        <w:tblW w:w="9071" w:type="dxa"/>
        <w:tblCellMar>
          <w:left w:w="28" w:type="dxa"/>
          <w:right w:w="28" w:type="dxa"/>
        </w:tblCellMar>
        <w:tblLook w:val="04A0"/>
      </w:tblPr>
      <w:tblGrid>
        <w:gridCol w:w="2691"/>
        <w:gridCol w:w="6380"/>
      </w:tblGrid>
      <w:tr w:rsidR="00594F38" w:rsidRPr="00D75580" w:rsidTr="0010308D">
        <w:trPr>
          <w:trHeight w:val="345"/>
        </w:trPr>
        <w:tc>
          <w:tcPr>
            <w:tcW w:w="2691" w:type="dxa"/>
            <w:tcBorders>
              <w:top w:val="single" w:sz="8" w:space="0" w:color="auto"/>
              <w:left w:val="single" w:sz="8" w:space="0" w:color="auto"/>
              <w:bottom w:val="single" w:sz="8" w:space="0" w:color="auto"/>
              <w:right w:val="single" w:sz="8" w:space="0" w:color="auto"/>
            </w:tcBorders>
            <w:shd w:val="clear" w:color="auto" w:fill="auto"/>
            <w:hideMark/>
          </w:tcPr>
          <w:p w:rsidR="00594F38" w:rsidRPr="00D75580" w:rsidRDefault="00594F38" w:rsidP="0010308D">
            <w:pPr>
              <w:spacing w:line="400" w:lineRule="exact"/>
              <w:rPr>
                <w:rFonts w:ascii="標楷體" w:eastAsia="標楷體" w:hAnsi="標楷體"/>
                <w:sz w:val="28"/>
                <w:szCs w:val="28"/>
              </w:rPr>
            </w:pPr>
            <w:r w:rsidRPr="00D75580">
              <w:rPr>
                <w:rFonts w:ascii="標楷體" w:eastAsia="標楷體" w:hAnsi="標楷體" w:hint="eastAsia"/>
                <w:sz w:val="28"/>
                <w:szCs w:val="28"/>
              </w:rPr>
              <w:t>內容</w:t>
            </w:r>
          </w:p>
        </w:tc>
        <w:tc>
          <w:tcPr>
            <w:tcW w:w="6380" w:type="dxa"/>
            <w:tcBorders>
              <w:top w:val="single" w:sz="8" w:space="0" w:color="auto"/>
              <w:left w:val="nil"/>
              <w:bottom w:val="single" w:sz="8" w:space="0" w:color="auto"/>
              <w:right w:val="single" w:sz="8" w:space="0" w:color="auto"/>
            </w:tcBorders>
            <w:shd w:val="clear" w:color="auto" w:fill="auto"/>
            <w:hideMark/>
          </w:tcPr>
          <w:p w:rsidR="00594F38" w:rsidRPr="00D75580" w:rsidRDefault="00594F38" w:rsidP="00862F78">
            <w:pPr>
              <w:spacing w:line="400" w:lineRule="exact"/>
              <w:rPr>
                <w:rFonts w:ascii="標楷體" w:eastAsia="標楷體" w:hAnsi="標楷體"/>
                <w:sz w:val="28"/>
                <w:szCs w:val="28"/>
              </w:rPr>
            </w:pPr>
            <w:r w:rsidRPr="00D75580">
              <w:rPr>
                <w:rFonts w:ascii="標楷體" w:eastAsia="標楷體" w:hAnsi="標楷體" w:hint="eastAsia"/>
                <w:sz w:val="28"/>
                <w:szCs w:val="28"/>
              </w:rPr>
              <w:t>匯率時點</w:t>
            </w:r>
            <w:r w:rsidR="0054493F">
              <w:rPr>
                <w:rFonts w:ascii="標楷體" w:eastAsia="標楷體" w:hAnsi="標楷體"/>
                <w:sz w:val="28"/>
                <w:szCs w:val="28"/>
              </w:rPr>
              <w:br/>
            </w:r>
            <w:r w:rsidR="008F3330" w:rsidRPr="00D75580">
              <w:rPr>
                <w:rFonts w:ascii="標楷體" w:eastAsia="標楷體" w:hAnsi="標楷體" w:hint="eastAsia"/>
                <w:sz w:val="28"/>
                <w:szCs w:val="28"/>
              </w:rPr>
              <w:t>（公告匯率</w:t>
            </w:r>
            <w:r w:rsidR="00C6000E" w:rsidRPr="00D75580">
              <w:rPr>
                <w:rFonts w:ascii="標楷體" w:eastAsia="標楷體" w:hAnsi="標楷體" w:hint="eastAsia"/>
                <w:sz w:val="28"/>
                <w:szCs w:val="28"/>
              </w:rPr>
              <w:t>係指國泰</w:t>
            </w:r>
            <w:proofErr w:type="gramStart"/>
            <w:r w:rsidR="00C6000E" w:rsidRPr="00D75580">
              <w:rPr>
                <w:rFonts w:ascii="標楷體" w:eastAsia="標楷體" w:hAnsi="標楷體" w:hint="eastAsia"/>
                <w:sz w:val="28"/>
                <w:szCs w:val="28"/>
              </w:rPr>
              <w:t>世</w:t>
            </w:r>
            <w:proofErr w:type="gramEnd"/>
            <w:r w:rsidR="00C6000E" w:rsidRPr="00D75580">
              <w:rPr>
                <w:rFonts w:ascii="標楷體" w:eastAsia="標楷體" w:hAnsi="標楷體" w:hint="eastAsia"/>
                <w:sz w:val="28"/>
                <w:szCs w:val="28"/>
              </w:rPr>
              <w:t>華提供下午三時三十分匯率</w:t>
            </w:r>
            <w:r w:rsidR="008F3330" w:rsidRPr="00D75580">
              <w:rPr>
                <w:rFonts w:ascii="標楷體" w:eastAsia="標楷體" w:hAnsi="標楷體" w:hint="eastAsia"/>
                <w:sz w:val="28"/>
                <w:szCs w:val="28"/>
              </w:rPr>
              <w:t>）</w:t>
            </w:r>
          </w:p>
        </w:tc>
      </w:tr>
      <w:tr w:rsidR="00594F38" w:rsidRPr="00D75580" w:rsidTr="0054493F">
        <w:trPr>
          <w:trHeight w:val="345"/>
        </w:trPr>
        <w:tc>
          <w:tcPr>
            <w:tcW w:w="2691" w:type="dxa"/>
            <w:tcBorders>
              <w:top w:val="nil"/>
              <w:left w:val="single" w:sz="8" w:space="0" w:color="auto"/>
              <w:bottom w:val="single" w:sz="8" w:space="0" w:color="auto"/>
              <w:right w:val="single" w:sz="8" w:space="0" w:color="auto"/>
            </w:tcBorders>
            <w:shd w:val="clear" w:color="auto" w:fill="auto"/>
            <w:hideMark/>
          </w:tcPr>
          <w:p w:rsidR="00594F38" w:rsidRPr="00D75580" w:rsidRDefault="00594F38" w:rsidP="0010308D">
            <w:pPr>
              <w:spacing w:line="400" w:lineRule="exact"/>
              <w:rPr>
                <w:rFonts w:ascii="標楷體" w:eastAsia="標楷體" w:hAnsi="標楷體"/>
                <w:sz w:val="28"/>
                <w:szCs w:val="28"/>
              </w:rPr>
            </w:pPr>
            <w:r w:rsidRPr="00D75580">
              <w:rPr>
                <w:rFonts w:ascii="標楷體" w:eastAsia="標楷體" w:hAnsi="標楷體" w:hint="eastAsia"/>
                <w:sz w:val="28"/>
                <w:szCs w:val="28"/>
              </w:rPr>
              <w:t>證券商受託買賣申報總金額</w:t>
            </w:r>
          </w:p>
        </w:tc>
        <w:tc>
          <w:tcPr>
            <w:tcW w:w="6380" w:type="dxa"/>
            <w:tcBorders>
              <w:top w:val="nil"/>
              <w:left w:val="nil"/>
              <w:bottom w:val="single" w:sz="8" w:space="0" w:color="auto"/>
              <w:right w:val="single" w:sz="8" w:space="0" w:color="auto"/>
            </w:tcBorders>
            <w:shd w:val="clear" w:color="auto" w:fill="auto"/>
            <w:vAlign w:val="center"/>
            <w:hideMark/>
          </w:tcPr>
          <w:p w:rsidR="00594F38" w:rsidRPr="00D75580" w:rsidRDefault="00594F38" w:rsidP="0054493F">
            <w:pPr>
              <w:spacing w:line="400" w:lineRule="exact"/>
              <w:jc w:val="both"/>
              <w:rPr>
                <w:rFonts w:ascii="標楷體" w:eastAsia="標楷體" w:hAnsi="標楷體"/>
                <w:sz w:val="28"/>
                <w:szCs w:val="28"/>
              </w:rPr>
            </w:pPr>
            <w:r w:rsidRPr="00D75580">
              <w:rPr>
                <w:rFonts w:ascii="標楷體" w:eastAsia="標楷體" w:hAnsi="標楷體" w:hint="eastAsia"/>
                <w:sz w:val="28"/>
                <w:szCs w:val="28"/>
              </w:rPr>
              <w:t>依本公司前一日公告匯率換算</w:t>
            </w:r>
          </w:p>
        </w:tc>
      </w:tr>
      <w:tr w:rsidR="00594F38" w:rsidRPr="00D75580" w:rsidTr="0010308D">
        <w:trPr>
          <w:trHeight w:val="345"/>
        </w:trPr>
        <w:tc>
          <w:tcPr>
            <w:tcW w:w="2691" w:type="dxa"/>
            <w:tcBorders>
              <w:top w:val="nil"/>
              <w:left w:val="single" w:sz="8" w:space="0" w:color="auto"/>
              <w:bottom w:val="single" w:sz="8" w:space="0" w:color="auto"/>
              <w:right w:val="single" w:sz="8" w:space="0" w:color="auto"/>
            </w:tcBorders>
            <w:shd w:val="clear" w:color="auto" w:fill="auto"/>
            <w:hideMark/>
          </w:tcPr>
          <w:p w:rsidR="00594F38" w:rsidRPr="00D75580" w:rsidRDefault="00F06E7C" w:rsidP="0010308D">
            <w:pPr>
              <w:spacing w:line="400" w:lineRule="exact"/>
              <w:rPr>
                <w:rFonts w:ascii="標楷體" w:eastAsia="標楷體" w:hAnsi="標楷體"/>
                <w:sz w:val="28"/>
                <w:szCs w:val="28"/>
              </w:rPr>
            </w:pPr>
            <w:r w:rsidRPr="00D75580">
              <w:rPr>
                <w:rFonts w:ascii="標楷體" w:eastAsia="標楷體" w:hAnsi="標楷體"/>
                <w:sz w:val="28"/>
                <w:szCs w:val="28"/>
              </w:rPr>
              <w:t>當日買賣處置證券累計金額申報標準</w:t>
            </w:r>
          </w:p>
        </w:tc>
        <w:tc>
          <w:tcPr>
            <w:tcW w:w="6380" w:type="dxa"/>
            <w:tcBorders>
              <w:top w:val="nil"/>
              <w:left w:val="nil"/>
              <w:bottom w:val="single" w:sz="8" w:space="0" w:color="auto"/>
              <w:right w:val="single" w:sz="8" w:space="0" w:color="auto"/>
            </w:tcBorders>
            <w:shd w:val="clear" w:color="auto" w:fill="auto"/>
            <w:hideMark/>
          </w:tcPr>
          <w:p w:rsidR="00F65D4B" w:rsidRPr="00D75580" w:rsidRDefault="00F51C70" w:rsidP="00C6000E">
            <w:pPr>
              <w:spacing w:line="400" w:lineRule="exact"/>
              <w:rPr>
                <w:rFonts w:ascii="標楷體" w:eastAsia="標楷體" w:hAnsi="標楷體"/>
                <w:sz w:val="28"/>
                <w:szCs w:val="28"/>
              </w:rPr>
            </w:pPr>
            <w:r>
              <w:rPr>
                <w:rFonts w:ascii="標楷體" w:eastAsia="標楷體" w:hAnsi="標楷體" w:hint="eastAsia"/>
                <w:sz w:val="28"/>
                <w:szCs w:val="28"/>
              </w:rPr>
              <w:t>依本公司前一日公告</w:t>
            </w:r>
            <w:r w:rsidR="00C6000E" w:rsidRPr="00D75580">
              <w:rPr>
                <w:rFonts w:ascii="標楷體" w:eastAsia="標楷體" w:hAnsi="標楷體" w:hint="eastAsia"/>
                <w:sz w:val="28"/>
                <w:szCs w:val="28"/>
              </w:rPr>
              <w:t>匯率換算</w:t>
            </w:r>
            <w:r w:rsidR="00DB755A" w:rsidRPr="00D75580">
              <w:rPr>
                <w:rFonts w:ascii="標楷體" w:eastAsia="標楷體" w:hAnsi="標楷體" w:hint="eastAsia"/>
                <w:sz w:val="28"/>
                <w:szCs w:val="28"/>
              </w:rPr>
              <w:t>「公布或通知注意交易資訊暨處置作業要點」第六條</w:t>
            </w:r>
            <w:r w:rsidR="00C6334D" w:rsidRPr="00D75580">
              <w:rPr>
                <w:rFonts w:ascii="標楷體" w:eastAsia="標楷體" w:hAnsi="標楷體" w:hint="eastAsia"/>
                <w:sz w:val="28"/>
                <w:szCs w:val="28"/>
              </w:rPr>
              <w:t>「各證券商每日買進或賣出</w:t>
            </w:r>
            <w:r w:rsidR="003F785D" w:rsidRPr="00D75580">
              <w:rPr>
                <w:rFonts w:ascii="標楷體" w:eastAsia="標楷體" w:hAnsi="標楷體" w:hint="eastAsia"/>
                <w:sz w:val="28"/>
                <w:szCs w:val="28"/>
              </w:rPr>
              <w:t>該有價證券之申報金額</w:t>
            </w:r>
            <w:r w:rsidR="003F785D" w:rsidRPr="00D75580">
              <w:rPr>
                <w:rFonts w:ascii="標楷體" w:eastAsia="標楷體" w:hAnsi="標楷體"/>
                <w:sz w:val="28"/>
                <w:szCs w:val="28"/>
              </w:rPr>
              <w:t>…</w:t>
            </w:r>
            <w:r w:rsidR="003F785D" w:rsidRPr="00D75580">
              <w:rPr>
                <w:rFonts w:ascii="標楷體" w:eastAsia="標楷體" w:hAnsi="標楷體" w:hint="eastAsia"/>
                <w:sz w:val="28"/>
                <w:szCs w:val="28"/>
              </w:rPr>
              <w:t>」</w:t>
            </w:r>
          </w:p>
        </w:tc>
      </w:tr>
      <w:tr w:rsidR="00594F38" w:rsidRPr="00D75580" w:rsidTr="00F65D4B">
        <w:trPr>
          <w:trHeight w:val="406"/>
        </w:trPr>
        <w:tc>
          <w:tcPr>
            <w:tcW w:w="2691" w:type="dxa"/>
            <w:tcBorders>
              <w:top w:val="nil"/>
              <w:left w:val="single" w:sz="8" w:space="0" w:color="auto"/>
              <w:bottom w:val="single" w:sz="8" w:space="0" w:color="auto"/>
              <w:right w:val="single" w:sz="8" w:space="0" w:color="auto"/>
            </w:tcBorders>
            <w:shd w:val="clear" w:color="auto" w:fill="auto"/>
            <w:hideMark/>
          </w:tcPr>
          <w:p w:rsidR="00594F38" w:rsidRPr="00D75580" w:rsidRDefault="00594F38" w:rsidP="0010308D">
            <w:pPr>
              <w:spacing w:line="400" w:lineRule="exact"/>
              <w:rPr>
                <w:rFonts w:ascii="標楷體" w:eastAsia="標楷體" w:hAnsi="標楷體"/>
                <w:sz w:val="28"/>
                <w:szCs w:val="28"/>
              </w:rPr>
            </w:pPr>
            <w:r w:rsidRPr="00D75580">
              <w:rPr>
                <w:rFonts w:ascii="標楷體" w:eastAsia="標楷體" w:hAnsi="標楷體" w:hint="eastAsia"/>
                <w:sz w:val="28"/>
                <w:szCs w:val="28"/>
              </w:rPr>
              <w:t>上市參考價</w:t>
            </w:r>
          </w:p>
        </w:tc>
        <w:tc>
          <w:tcPr>
            <w:tcW w:w="6380" w:type="dxa"/>
            <w:tcBorders>
              <w:top w:val="nil"/>
              <w:left w:val="nil"/>
              <w:bottom w:val="single" w:sz="8" w:space="0" w:color="auto"/>
              <w:right w:val="single" w:sz="8" w:space="0" w:color="auto"/>
            </w:tcBorders>
            <w:shd w:val="clear" w:color="auto" w:fill="auto"/>
            <w:hideMark/>
          </w:tcPr>
          <w:p w:rsidR="003A6093" w:rsidRPr="00D75580" w:rsidRDefault="003A6093" w:rsidP="003A6093">
            <w:pPr>
              <w:spacing w:line="400" w:lineRule="exact"/>
              <w:rPr>
                <w:rFonts w:ascii="標楷體" w:eastAsia="標楷體" w:hAnsi="標楷體"/>
                <w:sz w:val="28"/>
                <w:szCs w:val="28"/>
              </w:rPr>
            </w:pPr>
            <w:r w:rsidRPr="00D75580">
              <w:rPr>
                <w:rFonts w:ascii="標楷體" w:eastAsia="標楷體" w:hAnsi="標楷體" w:hint="eastAsia"/>
                <w:sz w:val="28"/>
                <w:szCs w:val="28"/>
              </w:rPr>
              <w:t>上市前一日由發行公司以新臺幣ETF受益憑證每受益權單位淨值乘以匯率換算後，提供本公司做為加掛</w:t>
            </w:r>
          </w:p>
          <w:p w:rsidR="00594F38" w:rsidRPr="00D75580" w:rsidRDefault="003A6093" w:rsidP="003A6093">
            <w:pPr>
              <w:spacing w:line="400" w:lineRule="exact"/>
              <w:rPr>
                <w:rFonts w:ascii="標楷體" w:eastAsia="標楷體" w:hAnsi="標楷體"/>
                <w:sz w:val="28"/>
                <w:szCs w:val="28"/>
              </w:rPr>
            </w:pPr>
            <w:r w:rsidRPr="00D75580">
              <w:rPr>
                <w:rFonts w:ascii="標楷體" w:eastAsia="標楷體" w:hAnsi="標楷體" w:hint="eastAsia"/>
                <w:sz w:val="28"/>
                <w:szCs w:val="28"/>
              </w:rPr>
              <w:lastRenderedPageBreak/>
              <w:t>人民幣ETF受益憑證上市參考價</w:t>
            </w:r>
          </w:p>
        </w:tc>
      </w:tr>
      <w:tr w:rsidR="00594F38" w:rsidRPr="00D75580" w:rsidTr="00BC458E">
        <w:trPr>
          <w:trHeight w:val="406"/>
        </w:trPr>
        <w:tc>
          <w:tcPr>
            <w:tcW w:w="2691" w:type="dxa"/>
            <w:tcBorders>
              <w:top w:val="nil"/>
              <w:left w:val="single" w:sz="8" w:space="0" w:color="auto"/>
              <w:bottom w:val="single" w:sz="8" w:space="0" w:color="auto"/>
              <w:right w:val="single" w:sz="8" w:space="0" w:color="auto"/>
            </w:tcBorders>
            <w:shd w:val="clear" w:color="auto" w:fill="auto"/>
            <w:hideMark/>
          </w:tcPr>
          <w:p w:rsidR="00594F38" w:rsidRPr="00D75580" w:rsidRDefault="00594F38" w:rsidP="0010308D">
            <w:pPr>
              <w:spacing w:line="400" w:lineRule="exact"/>
              <w:rPr>
                <w:rFonts w:ascii="標楷體" w:eastAsia="標楷體" w:hAnsi="標楷體"/>
                <w:sz w:val="28"/>
                <w:szCs w:val="28"/>
              </w:rPr>
            </w:pPr>
            <w:r w:rsidRPr="00D75580">
              <w:rPr>
                <w:rFonts w:ascii="標楷體" w:eastAsia="標楷體" w:hAnsi="標楷體" w:hint="eastAsia"/>
                <w:sz w:val="28"/>
                <w:szCs w:val="28"/>
              </w:rPr>
              <w:lastRenderedPageBreak/>
              <w:t>除息參考價</w:t>
            </w:r>
          </w:p>
        </w:tc>
        <w:tc>
          <w:tcPr>
            <w:tcW w:w="6380" w:type="dxa"/>
            <w:tcBorders>
              <w:top w:val="nil"/>
              <w:left w:val="nil"/>
              <w:bottom w:val="single" w:sz="8" w:space="0" w:color="auto"/>
              <w:right w:val="single" w:sz="8" w:space="0" w:color="auto"/>
            </w:tcBorders>
            <w:shd w:val="clear" w:color="auto" w:fill="auto"/>
            <w:hideMark/>
          </w:tcPr>
          <w:p w:rsidR="00594F38" w:rsidRPr="00D75580" w:rsidRDefault="00BD2961" w:rsidP="003A6093">
            <w:pPr>
              <w:spacing w:line="400" w:lineRule="exact"/>
              <w:rPr>
                <w:rFonts w:ascii="標楷體" w:eastAsia="標楷體" w:hAnsi="標楷體"/>
                <w:sz w:val="28"/>
                <w:szCs w:val="28"/>
              </w:rPr>
            </w:pPr>
            <w:r w:rsidRPr="00D75580">
              <w:rPr>
                <w:rFonts w:ascii="標楷體" w:eastAsia="標楷體" w:hAnsi="標楷體" w:hint="eastAsia"/>
                <w:sz w:val="28"/>
                <w:szCs w:val="28"/>
              </w:rPr>
              <w:t>除息前</w:t>
            </w:r>
            <w:r w:rsidR="003A6093" w:rsidRPr="00D75580">
              <w:rPr>
                <w:rFonts w:ascii="標楷體" w:eastAsia="標楷體" w:hAnsi="標楷體"/>
                <w:sz w:val="28"/>
                <w:szCs w:val="28"/>
              </w:rPr>
              <w:t>由發行公司將收益分配金額依匯率算成</w:t>
            </w:r>
            <w:proofErr w:type="gramStart"/>
            <w:r w:rsidR="003A6093" w:rsidRPr="00D75580">
              <w:rPr>
                <w:rFonts w:ascii="標楷體" w:eastAsia="標楷體" w:hAnsi="標楷體"/>
                <w:sz w:val="28"/>
                <w:szCs w:val="28"/>
              </w:rPr>
              <w:t>人民幣息值</w:t>
            </w:r>
            <w:proofErr w:type="gramEnd"/>
            <w:r w:rsidR="003A6093" w:rsidRPr="00D75580">
              <w:rPr>
                <w:rFonts w:ascii="標楷體" w:eastAsia="標楷體" w:hAnsi="標楷體"/>
                <w:sz w:val="28"/>
                <w:szCs w:val="28"/>
              </w:rPr>
              <w:t>，提供本公司做為除息交易開始日升降幅度及開盤競價基準之計算基準</w:t>
            </w:r>
          </w:p>
        </w:tc>
      </w:tr>
      <w:tr w:rsidR="000D0101" w:rsidRPr="00D75580" w:rsidTr="0010308D">
        <w:trPr>
          <w:trHeight w:val="345"/>
        </w:trPr>
        <w:tc>
          <w:tcPr>
            <w:tcW w:w="2691" w:type="dxa"/>
            <w:tcBorders>
              <w:top w:val="nil"/>
              <w:left w:val="single" w:sz="8" w:space="0" w:color="auto"/>
              <w:bottom w:val="single" w:sz="8" w:space="0" w:color="auto"/>
              <w:right w:val="single" w:sz="8" w:space="0" w:color="auto"/>
            </w:tcBorders>
            <w:shd w:val="clear" w:color="auto" w:fill="auto"/>
            <w:hideMark/>
          </w:tcPr>
          <w:p w:rsidR="000D0101" w:rsidRPr="00D75580" w:rsidRDefault="000D0101" w:rsidP="000D0101">
            <w:pPr>
              <w:spacing w:line="400" w:lineRule="exact"/>
              <w:rPr>
                <w:rFonts w:ascii="標楷體" w:eastAsia="標楷體" w:hAnsi="標楷體"/>
                <w:sz w:val="28"/>
                <w:szCs w:val="28"/>
              </w:rPr>
            </w:pPr>
            <w:r w:rsidRPr="00D75580">
              <w:rPr>
                <w:rFonts w:ascii="標楷體" w:eastAsia="標楷體" w:hAnsi="標楷體" w:hint="eastAsia"/>
                <w:sz w:val="28"/>
                <w:szCs w:val="28"/>
              </w:rPr>
              <w:t>鉅額</w:t>
            </w:r>
            <w:r w:rsidR="00F51C70">
              <w:rPr>
                <w:rFonts w:ascii="標楷體" w:eastAsia="標楷體" w:hAnsi="標楷體" w:hint="eastAsia"/>
                <w:sz w:val="28"/>
                <w:szCs w:val="28"/>
              </w:rPr>
              <w:t>交易金額標準</w:t>
            </w:r>
          </w:p>
        </w:tc>
        <w:tc>
          <w:tcPr>
            <w:tcW w:w="6380" w:type="dxa"/>
            <w:tcBorders>
              <w:top w:val="nil"/>
              <w:left w:val="nil"/>
              <w:bottom w:val="single" w:sz="8" w:space="0" w:color="auto"/>
              <w:right w:val="single" w:sz="8" w:space="0" w:color="auto"/>
            </w:tcBorders>
            <w:shd w:val="clear" w:color="auto" w:fill="auto"/>
            <w:hideMark/>
          </w:tcPr>
          <w:p w:rsidR="000D0101" w:rsidRPr="00D75580" w:rsidRDefault="000D0101" w:rsidP="000D0101">
            <w:pPr>
              <w:spacing w:line="400" w:lineRule="exact"/>
              <w:rPr>
                <w:rFonts w:ascii="標楷體" w:eastAsia="標楷體" w:hAnsi="標楷體"/>
                <w:sz w:val="28"/>
                <w:szCs w:val="28"/>
              </w:rPr>
            </w:pPr>
            <w:r w:rsidRPr="00D75580">
              <w:rPr>
                <w:rFonts w:ascii="標楷體" w:eastAsia="標楷體" w:hAnsi="標楷體" w:hint="eastAsia"/>
                <w:sz w:val="28"/>
                <w:szCs w:val="28"/>
              </w:rPr>
              <w:t>依本公司前一日公告匯率換算</w:t>
            </w:r>
          </w:p>
        </w:tc>
      </w:tr>
      <w:tr w:rsidR="000D0101" w:rsidRPr="00D75580" w:rsidTr="00E45107">
        <w:trPr>
          <w:trHeight w:val="345"/>
        </w:trPr>
        <w:tc>
          <w:tcPr>
            <w:tcW w:w="2691" w:type="dxa"/>
            <w:tcBorders>
              <w:top w:val="nil"/>
              <w:left w:val="single" w:sz="8" w:space="0" w:color="auto"/>
              <w:bottom w:val="single" w:sz="8" w:space="0" w:color="auto"/>
              <w:right w:val="single" w:sz="8" w:space="0" w:color="auto"/>
            </w:tcBorders>
            <w:shd w:val="clear" w:color="auto" w:fill="auto"/>
            <w:hideMark/>
          </w:tcPr>
          <w:p w:rsidR="000D0101" w:rsidRPr="00D75580" w:rsidRDefault="000D0101" w:rsidP="000D0101">
            <w:pPr>
              <w:spacing w:line="400" w:lineRule="exact"/>
              <w:rPr>
                <w:rFonts w:ascii="標楷體" w:eastAsia="標楷體" w:hAnsi="標楷體"/>
                <w:sz w:val="28"/>
                <w:szCs w:val="28"/>
              </w:rPr>
            </w:pPr>
            <w:r w:rsidRPr="00D75580">
              <w:rPr>
                <w:rFonts w:ascii="標楷體" w:eastAsia="標楷體" w:hAnsi="標楷體" w:hint="eastAsia"/>
                <w:sz w:val="28"/>
                <w:szCs w:val="28"/>
              </w:rPr>
              <w:t>盤中預估淨值</w:t>
            </w:r>
          </w:p>
        </w:tc>
        <w:tc>
          <w:tcPr>
            <w:tcW w:w="6380" w:type="dxa"/>
            <w:tcBorders>
              <w:top w:val="nil"/>
              <w:left w:val="nil"/>
              <w:bottom w:val="single" w:sz="8" w:space="0" w:color="auto"/>
              <w:right w:val="single" w:sz="8" w:space="0" w:color="auto"/>
            </w:tcBorders>
            <w:shd w:val="clear" w:color="auto" w:fill="auto"/>
            <w:hideMark/>
          </w:tcPr>
          <w:p w:rsidR="000D0101" w:rsidRPr="00D75580" w:rsidRDefault="00B52630" w:rsidP="000D0101">
            <w:pPr>
              <w:spacing w:line="400" w:lineRule="exact"/>
              <w:rPr>
                <w:rFonts w:ascii="標楷體" w:eastAsia="標楷體" w:hAnsi="標楷體"/>
                <w:sz w:val="28"/>
                <w:szCs w:val="28"/>
              </w:rPr>
            </w:pPr>
            <w:r>
              <w:rPr>
                <w:rFonts w:ascii="標楷體" w:eastAsia="標楷體" w:hAnsi="標楷體" w:hint="eastAsia"/>
                <w:sz w:val="28"/>
                <w:szCs w:val="28"/>
              </w:rPr>
              <w:t>發行</w:t>
            </w:r>
            <w:r w:rsidR="000D0101" w:rsidRPr="00D75580">
              <w:rPr>
                <w:rFonts w:ascii="標楷體" w:eastAsia="標楷體" w:hAnsi="標楷體" w:hint="eastAsia"/>
                <w:sz w:val="28"/>
                <w:szCs w:val="28"/>
              </w:rPr>
              <w:t>公司依即時匯率計算</w:t>
            </w:r>
          </w:p>
        </w:tc>
      </w:tr>
      <w:tr w:rsidR="00F65D4B" w:rsidRPr="00D75580" w:rsidTr="00E45107">
        <w:trPr>
          <w:trHeight w:val="345"/>
        </w:trPr>
        <w:tc>
          <w:tcPr>
            <w:tcW w:w="2691" w:type="dxa"/>
            <w:tcBorders>
              <w:top w:val="single" w:sz="8" w:space="0" w:color="auto"/>
              <w:left w:val="single" w:sz="8" w:space="0" w:color="auto"/>
              <w:bottom w:val="single" w:sz="8" w:space="0" w:color="auto"/>
              <w:right w:val="single" w:sz="8" w:space="0" w:color="auto"/>
            </w:tcBorders>
            <w:shd w:val="clear" w:color="auto" w:fill="auto"/>
            <w:hideMark/>
          </w:tcPr>
          <w:p w:rsidR="00F65D4B" w:rsidRPr="00D75580" w:rsidRDefault="00F65D4B" w:rsidP="00F65D4B">
            <w:pPr>
              <w:spacing w:line="400" w:lineRule="exact"/>
              <w:rPr>
                <w:rFonts w:ascii="標楷體" w:eastAsia="標楷體" w:hAnsi="標楷體"/>
                <w:sz w:val="28"/>
                <w:szCs w:val="28"/>
              </w:rPr>
            </w:pPr>
            <w:r w:rsidRPr="00D75580">
              <w:rPr>
                <w:rFonts w:ascii="標楷體" w:eastAsia="標楷體" w:hAnsi="標楷體" w:hint="eastAsia"/>
                <w:sz w:val="28"/>
                <w:szCs w:val="28"/>
              </w:rPr>
              <w:t>收盤參考淨值</w:t>
            </w:r>
          </w:p>
        </w:tc>
        <w:tc>
          <w:tcPr>
            <w:tcW w:w="6380" w:type="dxa"/>
            <w:tcBorders>
              <w:top w:val="single" w:sz="8" w:space="0" w:color="auto"/>
              <w:left w:val="nil"/>
              <w:bottom w:val="single" w:sz="8" w:space="0" w:color="auto"/>
              <w:right w:val="single" w:sz="8" w:space="0" w:color="auto"/>
            </w:tcBorders>
            <w:shd w:val="clear" w:color="auto" w:fill="auto"/>
            <w:hideMark/>
          </w:tcPr>
          <w:p w:rsidR="00F65D4B" w:rsidRPr="00D75580" w:rsidRDefault="00B52630" w:rsidP="00F65D4B">
            <w:pPr>
              <w:spacing w:line="400" w:lineRule="exact"/>
              <w:rPr>
                <w:rFonts w:ascii="標楷體" w:eastAsia="標楷體" w:hAnsi="標楷體"/>
                <w:sz w:val="28"/>
                <w:szCs w:val="28"/>
              </w:rPr>
            </w:pPr>
            <w:r>
              <w:rPr>
                <w:rFonts w:ascii="標楷體" w:eastAsia="標楷體" w:hAnsi="標楷體" w:hint="eastAsia"/>
                <w:sz w:val="28"/>
                <w:szCs w:val="28"/>
              </w:rPr>
              <w:t>發</w:t>
            </w:r>
            <w:r w:rsidR="00A65A91" w:rsidRPr="00A65A91">
              <w:rPr>
                <w:rFonts w:ascii="標楷體" w:eastAsia="標楷體" w:hAnsi="標楷體" w:cs="新細明體" w:hint="eastAsia"/>
                <w:sz w:val="28"/>
                <w:szCs w:val="28"/>
              </w:rPr>
              <w:t>行</w:t>
            </w:r>
            <w:r w:rsidR="00F65D4B" w:rsidRPr="00D75580">
              <w:rPr>
                <w:rFonts w:ascii="標楷體" w:eastAsia="標楷體" w:hAnsi="標楷體" w:hint="eastAsia"/>
                <w:sz w:val="28"/>
                <w:szCs w:val="28"/>
              </w:rPr>
              <w:t>公司依當天收盤匯率換算</w:t>
            </w:r>
          </w:p>
        </w:tc>
      </w:tr>
      <w:tr w:rsidR="0092386B" w:rsidRPr="00D75580" w:rsidTr="007A369F">
        <w:trPr>
          <w:trHeight w:val="345"/>
        </w:trPr>
        <w:tc>
          <w:tcPr>
            <w:tcW w:w="2691" w:type="dxa"/>
            <w:tcBorders>
              <w:top w:val="nil"/>
              <w:left w:val="single" w:sz="8" w:space="0" w:color="auto"/>
              <w:bottom w:val="single" w:sz="8" w:space="0" w:color="auto"/>
              <w:right w:val="single" w:sz="8" w:space="0" w:color="auto"/>
            </w:tcBorders>
            <w:shd w:val="clear" w:color="auto" w:fill="auto"/>
            <w:hideMark/>
          </w:tcPr>
          <w:p w:rsidR="0092386B" w:rsidRPr="00D75580" w:rsidRDefault="0092386B" w:rsidP="007A369F">
            <w:pPr>
              <w:spacing w:line="400" w:lineRule="exact"/>
              <w:rPr>
                <w:rFonts w:ascii="標楷體" w:eastAsia="標楷體" w:hAnsi="標楷體"/>
                <w:sz w:val="28"/>
                <w:szCs w:val="28"/>
              </w:rPr>
            </w:pPr>
            <w:r w:rsidRPr="00D75580">
              <w:rPr>
                <w:rFonts w:ascii="標楷體" w:eastAsia="標楷體" w:hAnsi="標楷體" w:hint="eastAsia"/>
                <w:sz w:val="28"/>
                <w:szCs w:val="28"/>
              </w:rPr>
              <w:t>借</w:t>
            </w:r>
            <w:proofErr w:type="gramStart"/>
            <w:r w:rsidRPr="00D75580">
              <w:rPr>
                <w:rFonts w:ascii="標楷體" w:eastAsia="標楷體" w:hAnsi="標楷體" w:hint="eastAsia"/>
                <w:sz w:val="28"/>
                <w:szCs w:val="28"/>
              </w:rPr>
              <w:t>券</w:t>
            </w:r>
            <w:proofErr w:type="gramEnd"/>
            <w:r w:rsidRPr="00D75580">
              <w:rPr>
                <w:rFonts w:ascii="標楷體" w:eastAsia="標楷體" w:hAnsi="標楷體" w:hint="eastAsia"/>
                <w:sz w:val="28"/>
                <w:szCs w:val="28"/>
              </w:rPr>
              <w:t>擔保金</w:t>
            </w:r>
          </w:p>
        </w:tc>
        <w:tc>
          <w:tcPr>
            <w:tcW w:w="6380" w:type="dxa"/>
            <w:tcBorders>
              <w:top w:val="nil"/>
              <w:left w:val="nil"/>
              <w:bottom w:val="single" w:sz="8" w:space="0" w:color="auto"/>
              <w:right w:val="single" w:sz="8" w:space="0" w:color="auto"/>
            </w:tcBorders>
            <w:shd w:val="clear" w:color="auto" w:fill="auto"/>
            <w:hideMark/>
          </w:tcPr>
          <w:p w:rsidR="0092386B" w:rsidRPr="00D75580" w:rsidRDefault="0092386B" w:rsidP="007A369F">
            <w:pPr>
              <w:spacing w:line="400" w:lineRule="exact"/>
              <w:rPr>
                <w:rFonts w:ascii="標楷體" w:eastAsia="標楷體" w:hAnsi="標楷體"/>
                <w:sz w:val="28"/>
                <w:szCs w:val="28"/>
              </w:rPr>
            </w:pPr>
            <w:r>
              <w:rPr>
                <w:rFonts w:ascii="標楷體" w:eastAsia="標楷體" w:hAnsi="標楷體" w:hint="eastAsia"/>
                <w:sz w:val="28"/>
                <w:szCs w:val="28"/>
              </w:rPr>
              <w:t>借</w:t>
            </w:r>
            <w:proofErr w:type="gramStart"/>
            <w:r>
              <w:rPr>
                <w:rFonts w:ascii="標楷體" w:eastAsia="標楷體" w:hAnsi="標楷體" w:hint="eastAsia"/>
                <w:sz w:val="28"/>
                <w:szCs w:val="28"/>
              </w:rPr>
              <w:t>券</w:t>
            </w:r>
            <w:proofErr w:type="gramEnd"/>
            <w:r>
              <w:rPr>
                <w:rFonts w:ascii="標楷體" w:eastAsia="標楷體" w:hAnsi="標楷體" w:hint="eastAsia"/>
                <w:sz w:val="28"/>
                <w:szCs w:val="28"/>
              </w:rPr>
              <w:t>日依本公司前一日公告</w:t>
            </w:r>
            <w:r w:rsidRPr="00D75580">
              <w:rPr>
                <w:rFonts w:ascii="標楷體" w:eastAsia="標楷體" w:hAnsi="標楷體" w:hint="eastAsia"/>
                <w:sz w:val="28"/>
                <w:szCs w:val="28"/>
              </w:rPr>
              <w:t>匯率換算</w:t>
            </w:r>
          </w:p>
        </w:tc>
      </w:tr>
      <w:tr w:rsidR="0092386B" w:rsidRPr="00D75580" w:rsidTr="007A369F">
        <w:trPr>
          <w:trHeight w:val="345"/>
        </w:trPr>
        <w:tc>
          <w:tcPr>
            <w:tcW w:w="2691" w:type="dxa"/>
            <w:tcBorders>
              <w:top w:val="nil"/>
              <w:left w:val="single" w:sz="8" w:space="0" w:color="auto"/>
              <w:bottom w:val="single" w:sz="8" w:space="0" w:color="auto"/>
              <w:right w:val="single" w:sz="8" w:space="0" w:color="auto"/>
            </w:tcBorders>
            <w:shd w:val="clear" w:color="auto" w:fill="auto"/>
            <w:hideMark/>
          </w:tcPr>
          <w:p w:rsidR="0092386B" w:rsidRPr="00D75580" w:rsidRDefault="0092386B" w:rsidP="007A369F">
            <w:pPr>
              <w:spacing w:line="400" w:lineRule="exact"/>
              <w:rPr>
                <w:rFonts w:ascii="標楷體" w:eastAsia="標楷體" w:hAnsi="標楷體"/>
                <w:sz w:val="28"/>
                <w:szCs w:val="28"/>
              </w:rPr>
            </w:pPr>
            <w:r w:rsidRPr="00D75580">
              <w:rPr>
                <w:rFonts w:ascii="標楷體" w:eastAsia="標楷體" w:hAnsi="標楷體" w:hint="eastAsia"/>
                <w:sz w:val="28"/>
                <w:szCs w:val="28"/>
              </w:rPr>
              <w:t>違約金額</w:t>
            </w:r>
          </w:p>
        </w:tc>
        <w:tc>
          <w:tcPr>
            <w:tcW w:w="6380" w:type="dxa"/>
            <w:tcBorders>
              <w:top w:val="nil"/>
              <w:left w:val="nil"/>
              <w:bottom w:val="single" w:sz="8" w:space="0" w:color="auto"/>
              <w:right w:val="single" w:sz="8" w:space="0" w:color="auto"/>
            </w:tcBorders>
            <w:shd w:val="clear" w:color="auto" w:fill="auto"/>
            <w:hideMark/>
          </w:tcPr>
          <w:p w:rsidR="0092386B" w:rsidRPr="00D75580" w:rsidRDefault="0092386B" w:rsidP="007A369F">
            <w:pPr>
              <w:spacing w:line="400" w:lineRule="exact"/>
              <w:rPr>
                <w:rFonts w:ascii="標楷體" w:eastAsia="標楷體" w:hAnsi="標楷體"/>
                <w:sz w:val="28"/>
                <w:szCs w:val="28"/>
              </w:rPr>
            </w:pPr>
            <w:r w:rsidRPr="00D75580">
              <w:rPr>
                <w:rFonts w:ascii="標楷體" w:eastAsia="標楷體" w:hAnsi="標楷體" w:hint="eastAsia"/>
                <w:sz w:val="28"/>
                <w:szCs w:val="28"/>
              </w:rPr>
              <w:t>同一申報日依本公司當日公告匯率換算</w:t>
            </w:r>
          </w:p>
        </w:tc>
      </w:tr>
      <w:tr w:rsidR="0092386B" w:rsidRPr="00D75580" w:rsidTr="007A369F">
        <w:trPr>
          <w:trHeight w:val="345"/>
        </w:trPr>
        <w:tc>
          <w:tcPr>
            <w:tcW w:w="2691" w:type="dxa"/>
            <w:tcBorders>
              <w:top w:val="nil"/>
              <w:left w:val="single" w:sz="8" w:space="0" w:color="auto"/>
              <w:bottom w:val="single" w:sz="8" w:space="0" w:color="auto"/>
              <w:right w:val="single" w:sz="8" w:space="0" w:color="auto"/>
            </w:tcBorders>
            <w:shd w:val="clear" w:color="auto" w:fill="auto"/>
            <w:hideMark/>
          </w:tcPr>
          <w:p w:rsidR="0092386B" w:rsidRPr="00D75580" w:rsidRDefault="0092386B" w:rsidP="007A369F">
            <w:pPr>
              <w:spacing w:line="400" w:lineRule="exact"/>
              <w:rPr>
                <w:rFonts w:ascii="標楷體" w:eastAsia="標楷體" w:hAnsi="標楷體"/>
                <w:sz w:val="28"/>
                <w:szCs w:val="28"/>
              </w:rPr>
            </w:pPr>
            <w:r w:rsidRPr="00D75580">
              <w:rPr>
                <w:rFonts w:ascii="標楷體" w:eastAsia="標楷體" w:hAnsi="標楷體" w:hint="eastAsia"/>
                <w:sz w:val="28"/>
                <w:szCs w:val="28"/>
              </w:rPr>
              <w:t>錯帳金額</w:t>
            </w:r>
          </w:p>
        </w:tc>
        <w:tc>
          <w:tcPr>
            <w:tcW w:w="6380" w:type="dxa"/>
            <w:tcBorders>
              <w:top w:val="nil"/>
              <w:left w:val="nil"/>
              <w:bottom w:val="single" w:sz="8" w:space="0" w:color="auto"/>
              <w:right w:val="single" w:sz="8" w:space="0" w:color="auto"/>
            </w:tcBorders>
            <w:shd w:val="clear" w:color="auto" w:fill="auto"/>
            <w:hideMark/>
          </w:tcPr>
          <w:p w:rsidR="0092386B" w:rsidRPr="004C0ED5" w:rsidRDefault="004C0ED5" w:rsidP="007A369F">
            <w:pPr>
              <w:spacing w:line="400" w:lineRule="exact"/>
              <w:rPr>
                <w:rFonts w:ascii="標楷體" w:eastAsia="標楷體" w:hAnsi="標楷體"/>
                <w:sz w:val="28"/>
                <w:szCs w:val="28"/>
              </w:rPr>
            </w:pPr>
            <w:r w:rsidRPr="004C0ED5">
              <w:rPr>
                <w:rFonts w:ascii="標楷體" w:eastAsia="標楷體" w:hAnsi="標楷體" w:hint="eastAsia"/>
                <w:sz w:val="28"/>
                <w:szCs w:val="28"/>
              </w:rPr>
              <w:t>成交日依本公司前一日</w:t>
            </w:r>
            <w:r w:rsidR="0092386B" w:rsidRPr="004C0ED5">
              <w:rPr>
                <w:rFonts w:ascii="標楷體" w:eastAsia="標楷體" w:hAnsi="標楷體" w:hint="eastAsia"/>
                <w:sz w:val="28"/>
                <w:szCs w:val="28"/>
              </w:rPr>
              <w:t>公告匯率換算</w:t>
            </w:r>
          </w:p>
        </w:tc>
      </w:tr>
    </w:tbl>
    <w:p w:rsidR="00F65D4B" w:rsidRPr="0092386B" w:rsidRDefault="00F65D4B" w:rsidP="00615764">
      <w:pPr>
        <w:spacing w:line="400" w:lineRule="exact"/>
        <w:rPr>
          <w:rFonts w:ascii="標楷體" w:eastAsia="標楷體" w:hAnsi="標楷體"/>
          <w:sz w:val="28"/>
          <w:szCs w:val="28"/>
        </w:rPr>
      </w:pPr>
    </w:p>
    <w:p w:rsidR="00004D07" w:rsidRPr="00141E9C" w:rsidRDefault="00594F38" w:rsidP="00615764">
      <w:pPr>
        <w:spacing w:line="400" w:lineRule="exact"/>
        <w:rPr>
          <w:rFonts w:ascii="標楷體" w:eastAsia="標楷體" w:hAnsi="標楷體"/>
          <w:sz w:val="28"/>
          <w:szCs w:val="28"/>
        </w:rPr>
      </w:pPr>
      <w:r w:rsidRPr="00141E9C">
        <w:rPr>
          <w:rFonts w:ascii="標楷體" w:eastAsia="標楷體" w:hAnsi="標楷體" w:hint="eastAsia"/>
          <w:sz w:val="28"/>
          <w:szCs w:val="28"/>
        </w:rPr>
        <w:t>三、</w:t>
      </w:r>
      <w:r w:rsidR="00004D07" w:rsidRPr="00141E9C">
        <w:rPr>
          <w:rFonts w:ascii="標楷體" w:eastAsia="標楷體" w:hAnsi="標楷體"/>
          <w:sz w:val="28"/>
          <w:szCs w:val="28"/>
        </w:rPr>
        <w:t>結算</w:t>
      </w:r>
      <w:r w:rsidR="00AA53BF" w:rsidRPr="00141E9C">
        <w:rPr>
          <w:rFonts w:ascii="標楷體" w:eastAsia="標楷體" w:hAnsi="標楷體"/>
          <w:sz w:val="28"/>
          <w:szCs w:val="28"/>
        </w:rPr>
        <w:t>交割</w:t>
      </w:r>
    </w:p>
    <w:p w:rsidR="00DC6A6A" w:rsidRPr="00141E9C" w:rsidRDefault="00DC6A6A" w:rsidP="00DC6A6A">
      <w:pPr>
        <w:pStyle w:val="a3"/>
        <w:numPr>
          <w:ilvl w:val="0"/>
          <w:numId w:val="44"/>
        </w:numPr>
        <w:spacing w:line="400" w:lineRule="exact"/>
        <w:ind w:leftChars="0"/>
        <w:rPr>
          <w:rFonts w:ascii="標楷體" w:eastAsia="標楷體" w:hAnsi="標楷體"/>
          <w:sz w:val="28"/>
          <w:szCs w:val="28"/>
        </w:rPr>
      </w:pPr>
      <w:r w:rsidRPr="00141E9C">
        <w:rPr>
          <w:rFonts w:ascii="標楷體" w:eastAsia="標楷體" w:hAnsi="標楷體" w:hint="eastAsia"/>
          <w:sz w:val="28"/>
          <w:szCs w:val="28"/>
        </w:rPr>
        <w:t>結算作業</w:t>
      </w:r>
    </w:p>
    <w:p w:rsidR="00DC6A6A" w:rsidRPr="00141E9C" w:rsidRDefault="00DC6A6A" w:rsidP="00DC6A6A">
      <w:pPr>
        <w:pStyle w:val="a3"/>
        <w:spacing w:line="400" w:lineRule="exact"/>
        <w:ind w:leftChars="0" w:left="1559"/>
        <w:rPr>
          <w:rFonts w:ascii="標楷體" w:eastAsia="標楷體" w:hAnsi="標楷體"/>
          <w:sz w:val="28"/>
          <w:szCs w:val="28"/>
        </w:rPr>
      </w:pPr>
      <w:proofErr w:type="gramStart"/>
      <w:r w:rsidRPr="00141E9C">
        <w:rPr>
          <w:rFonts w:ascii="標楷體" w:eastAsia="標楷體" w:hAnsi="標楷體" w:hint="eastAsia"/>
          <w:sz w:val="28"/>
          <w:szCs w:val="28"/>
        </w:rPr>
        <w:t>採</w:t>
      </w:r>
      <w:proofErr w:type="gramEnd"/>
      <w:r w:rsidRPr="00141E9C">
        <w:rPr>
          <w:rFonts w:ascii="標楷體" w:eastAsia="標楷體" w:hAnsi="標楷體" w:hint="eastAsia"/>
          <w:sz w:val="28"/>
          <w:szCs w:val="28"/>
        </w:rPr>
        <w:t>淨</w:t>
      </w:r>
      <w:proofErr w:type="gramStart"/>
      <w:r w:rsidRPr="00141E9C">
        <w:rPr>
          <w:rFonts w:ascii="標楷體" w:eastAsia="標楷體" w:hAnsi="標楷體" w:hint="eastAsia"/>
          <w:sz w:val="28"/>
          <w:szCs w:val="28"/>
        </w:rPr>
        <w:t>收淨付</w:t>
      </w:r>
      <w:proofErr w:type="gramEnd"/>
      <w:r w:rsidRPr="00141E9C">
        <w:rPr>
          <w:rFonts w:ascii="標楷體" w:eastAsia="標楷體" w:hAnsi="標楷體" w:hint="eastAsia"/>
          <w:sz w:val="28"/>
          <w:szCs w:val="28"/>
        </w:rPr>
        <w:t>原則，單獨編製「加掛人民幣ETF受益憑證交割清單」供證券商辦理交割。</w:t>
      </w:r>
    </w:p>
    <w:p w:rsidR="00DC6A6A" w:rsidRPr="00141E9C" w:rsidRDefault="00DC6A6A" w:rsidP="00DC6A6A">
      <w:pPr>
        <w:pStyle w:val="a3"/>
        <w:numPr>
          <w:ilvl w:val="0"/>
          <w:numId w:val="44"/>
        </w:numPr>
        <w:spacing w:line="400" w:lineRule="exact"/>
        <w:ind w:leftChars="0"/>
        <w:rPr>
          <w:rFonts w:ascii="標楷體" w:eastAsia="標楷體" w:hAnsi="標楷體"/>
          <w:sz w:val="28"/>
          <w:szCs w:val="28"/>
        </w:rPr>
      </w:pPr>
      <w:r w:rsidRPr="00141E9C">
        <w:rPr>
          <w:rFonts w:ascii="標楷體" w:eastAsia="標楷體" w:hAnsi="標楷體" w:hint="eastAsia"/>
          <w:sz w:val="28"/>
          <w:szCs w:val="28"/>
        </w:rPr>
        <w:t>交割作業</w:t>
      </w:r>
    </w:p>
    <w:p w:rsidR="00DC6A6A" w:rsidRPr="00141E9C" w:rsidRDefault="00DC6A6A" w:rsidP="00DC6A6A">
      <w:pPr>
        <w:pStyle w:val="a3"/>
        <w:spacing w:line="400" w:lineRule="exact"/>
        <w:ind w:leftChars="0" w:left="1559"/>
        <w:rPr>
          <w:rFonts w:ascii="標楷體" w:eastAsia="標楷體" w:hAnsi="標楷體"/>
          <w:sz w:val="28"/>
          <w:szCs w:val="28"/>
        </w:rPr>
      </w:pPr>
      <w:r w:rsidRPr="00141E9C">
        <w:rPr>
          <w:rFonts w:ascii="標楷體" w:eastAsia="標楷體" w:hAnsi="標楷體"/>
          <w:sz w:val="28"/>
          <w:szCs w:val="28"/>
        </w:rPr>
        <w:t>款</w:t>
      </w:r>
      <w:proofErr w:type="gramStart"/>
      <w:r w:rsidRPr="00141E9C">
        <w:rPr>
          <w:rFonts w:ascii="標楷體" w:eastAsia="標楷體" w:hAnsi="標楷體"/>
          <w:sz w:val="28"/>
          <w:szCs w:val="28"/>
        </w:rPr>
        <w:t>券</w:t>
      </w:r>
      <w:proofErr w:type="gramEnd"/>
      <w:r w:rsidRPr="00141E9C">
        <w:rPr>
          <w:rFonts w:ascii="標楷體" w:eastAsia="標楷體" w:hAnsi="標楷體"/>
          <w:sz w:val="28"/>
          <w:szCs w:val="28"/>
        </w:rPr>
        <w:t>交割</w:t>
      </w:r>
      <w:proofErr w:type="gramStart"/>
      <w:r w:rsidRPr="00141E9C">
        <w:rPr>
          <w:rFonts w:ascii="標楷體" w:eastAsia="標楷體" w:hAnsi="標楷體" w:hint="eastAsia"/>
          <w:sz w:val="28"/>
          <w:szCs w:val="28"/>
        </w:rPr>
        <w:t>時點同現行</w:t>
      </w:r>
      <w:proofErr w:type="gramEnd"/>
      <w:r w:rsidRPr="00141E9C">
        <w:rPr>
          <w:rFonts w:ascii="標楷體" w:eastAsia="標楷體" w:hAnsi="標楷體" w:hint="eastAsia"/>
          <w:sz w:val="28"/>
          <w:szCs w:val="28"/>
        </w:rPr>
        <w:t>作業，</w:t>
      </w:r>
      <w:r w:rsidRPr="00141E9C">
        <w:rPr>
          <w:rFonts w:ascii="標楷體" w:eastAsia="標楷體" w:hAnsi="標楷體"/>
          <w:sz w:val="28"/>
          <w:szCs w:val="28"/>
        </w:rPr>
        <w:t>投資人</w:t>
      </w:r>
      <w:r w:rsidRPr="00141E9C">
        <w:rPr>
          <w:rFonts w:ascii="標楷體" w:eastAsia="標楷體" w:hAnsi="標楷體" w:hint="eastAsia"/>
          <w:sz w:val="28"/>
          <w:szCs w:val="28"/>
        </w:rPr>
        <w:t>須</w:t>
      </w:r>
      <w:r w:rsidRPr="00141E9C">
        <w:rPr>
          <w:rFonts w:ascii="標楷體" w:eastAsia="標楷體" w:hAnsi="標楷體"/>
          <w:sz w:val="28"/>
          <w:szCs w:val="28"/>
        </w:rPr>
        <w:t>在T+2日上午10時前對證券商完成款</w:t>
      </w:r>
      <w:proofErr w:type="gramStart"/>
      <w:r w:rsidRPr="00141E9C">
        <w:rPr>
          <w:rFonts w:ascii="標楷體" w:eastAsia="標楷體" w:hAnsi="標楷體"/>
          <w:sz w:val="28"/>
          <w:szCs w:val="28"/>
        </w:rPr>
        <w:t>券</w:t>
      </w:r>
      <w:proofErr w:type="gramEnd"/>
      <w:r w:rsidRPr="00141E9C">
        <w:rPr>
          <w:rFonts w:ascii="標楷體" w:eastAsia="標楷體" w:hAnsi="標楷體"/>
          <w:sz w:val="28"/>
          <w:szCs w:val="28"/>
        </w:rPr>
        <w:t>交割</w:t>
      </w:r>
      <w:r w:rsidRPr="00141E9C">
        <w:rPr>
          <w:rFonts w:ascii="標楷體" w:eastAsia="標楷體" w:hAnsi="標楷體" w:hint="eastAsia"/>
          <w:sz w:val="28"/>
          <w:szCs w:val="28"/>
        </w:rPr>
        <w:t>，</w:t>
      </w:r>
      <w:r w:rsidRPr="00141E9C">
        <w:rPr>
          <w:rFonts w:ascii="標楷體" w:eastAsia="標楷體" w:hAnsi="標楷體"/>
          <w:sz w:val="28"/>
          <w:szCs w:val="28"/>
        </w:rPr>
        <w:t>證券商</w:t>
      </w:r>
      <w:r w:rsidRPr="00141E9C">
        <w:rPr>
          <w:rFonts w:ascii="標楷體" w:eastAsia="標楷體" w:hAnsi="標楷體" w:hint="eastAsia"/>
          <w:sz w:val="28"/>
          <w:szCs w:val="28"/>
        </w:rPr>
        <w:t>則須</w:t>
      </w:r>
      <w:r w:rsidRPr="00141E9C">
        <w:rPr>
          <w:rFonts w:ascii="標楷體" w:eastAsia="標楷體" w:hAnsi="標楷體"/>
          <w:sz w:val="28"/>
          <w:szCs w:val="28"/>
        </w:rPr>
        <w:t>在T+2日上午10時前對本公司完成</w:t>
      </w:r>
      <w:proofErr w:type="gramStart"/>
      <w:r w:rsidRPr="00141E9C">
        <w:rPr>
          <w:rFonts w:ascii="標楷體" w:eastAsia="標楷體" w:hAnsi="標楷體"/>
          <w:sz w:val="28"/>
          <w:szCs w:val="28"/>
        </w:rPr>
        <w:t>券</w:t>
      </w:r>
      <w:proofErr w:type="gramEnd"/>
      <w:r w:rsidRPr="00141E9C">
        <w:rPr>
          <w:rFonts w:ascii="標楷體" w:eastAsia="標楷體" w:hAnsi="標楷體"/>
          <w:sz w:val="28"/>
          <w:szCs w:val="28"/>
        </w:rPr>
        <w:t>項交割</w:t>
      </w:r>
      <w:r w:rsidRPr="00141E9C">
        <w:rPr>
          <w:rFonts w:ascii="標楷體" w:eastAsia="標楷體" w:hAnsi="標楷體" w:hint="eastAsia"/>
          <w:sz w:val="28"/>
          <w:szCs w:val="28"/>
        </w:rPr>
        <w:t>及</w:t>
      </w:r>
      <w:r w:rsidRPr="00141E9C">
        <w:rPr>
          <w:rFonts w:ascii="標楷體" w:eastAsia="標楷體" w:hAnsi="標楷體"/>
          <w:sz w:val="28"/>
          <w:szCs w:val="28"/>
        </w:rPr>
        <w:t>上午11時前對本公司完成款項交割。</w:t>
      </w:r>
    </w:p>
    <w:p w:rsidR="00DC6A6A" w:rsidRPr="00141E9C" w:rsidRDefault="00DC6A6A" w:rsidP="00DC6A6A">
      <w:pPr>
        <w:pStyle w:val="a3"/>
        <w:numPr>
          <w:ilvl w:val="0"/>
          <w:numId w:val="44"/>
        </w:numPr>
        <w:spacing w:line="400" w:lineRule="exact"/>
        <w:ind w:leftChars="0"/>
        <w:rPr>
          <w:rFonts w:ascii="標楷體" w:eastAsia="標楷體" w:hAnsi="標楷體"/>
          <w:sz w:val="28"/>
          <w:szCs w:val="28"/>
        </w:rPr>
      </w:pPr>
      <w:r w:rsidRPr="00141E9C">
        <w:rPr>
          <w:rFonts w:ascii="標楷體" w:eastAsia="標楷體" w:hAnsi="標楷體" w:hint="eastAsia"/>
          <w:sz w:val="28"/>
          <w:szCs w:val="28"/>
        </w:rPr>
        <w:t>交割帳戶</w:t>
      </w:r>
    </w:p>
    <w:p w:rsidR="00DC6A6A" w:rsidRPr="00141E9C" w:rsidRDefault="00DC6A6A" w:rsidP="00DC6A6A">
      <w:pPr>
        <w:pStyle w:val="a3"/>
        <w:spacing w:line="400" w:lineRule="exact"/>
        <w:ind w:leftChars="0" w:left="1559"/>
        <w:rPr>
          <w:rFonts w:ascii="標楷體" w:eastAsia="標楷體" w:hAnsi="標楷體"/>
          <w:sz w:val="28"/>
          <w:szCs w:val="28"/>
        </w:rPr>
      </w:pPr>
      <w:r w:rsidRPr="00141E9C">
        <w:rPr>
          <w:rFonts w:ascii="標楷體" w:eastAsia="標楷體" w:hAnsi="標楷體" w:hint="eastAsia"/>
          <w:sz w:val="28"/>
          <w:szCs w:val="28"/>
        </w:rPr>
        <w:t>證券商及</w:t>
      </w:r>
      <w:proofErr w:type="gramStart"/>
      <w:r w:rsidRPr="00141E9C">
        <w:rPr>
          <w:rFonts w:ascii="標楷體" w:eastAsia="標楷體" w:hAnsi="標楷體" w:hint="eastAsia"/>
          <w:sz w:val="28"/>
          <w:szCs w:val="28"/>
        </w:rPr>
        <w:t>投資人均須開</w:t>
      </w:r>
      <w:proofErr w:type="gramEnd"/>
      <w:r w:rsidRPr="00141E9C">
        <w:rPr>
          <w:rFonts w:ascii="標楷體" w:eastAsia="標楷體" w:hAnsi="標楷體" w:hint="eastAsia"/>
          <w:sz w:val="28"/>
          <w:szCs w:val="28"/>
        </w:rPr>
        <w:t>立外幣帳戶。</w:t>
      </w:r>
    </w:p>
    <w:p w:rsidR="00DC6A6A" w:rsidRPr="00141E9C" w:rsidRDefault="00DC6A6A" w:rsidP="00DC6A6A">
      <w:pPr>
        <w:pStyle w:val="a3"/>
        <w:numPr>
          <w:ilvl w:val="0"/>
          <w:numId w:val="44"/>
        </w:numPr>
        <w:spacing w:line="400" w:lineRule="exact"/>
        <w:ind w:leftChars="0"/>
        <w:rPr>
          <w:rFonts w:ascii="標楷體" w:eastAsia="標楷體" w:hAnsi="標楷體"/>
          <w:sz w:val="28"/>
          <w:szCs w:val="28"/>
        </w:rPr>
      </w:pPr>
      <w:r w:rsidRPr="00141E9C">
        <w:rPr>
          <w:rFonts w:ascii="標楷體" w:eastAsia="標楷體" w:hAnsi="標楷體" w:hint="eastAsia"/>
          <w:sz w:val="28"/>
          <w:szCs w:val="28"/>
        </w:rPr>
        <w:t>交割方式</w:t>
      </w:r>
    </w:p>
    <w:p w:rsidR="00DC6A6A" w:rsidRPr="00141E9C" w:rsidRDefault="00DC6A6A" w:rsidP="00DC6A6A">
      <w:pPr>
        <w:pStyle w:val="a3"/>
        <w:spacing w:line="400" w:lineRule="exact"/>
        <w:ind w:leftChars="0" w:left="1564"/>
        <w:rPr>
          <w:rFonts w:ascii="標楷體" w:eastAsia="標楷體" w:hAnsi="標楷體"/>
          <w:sz w:val="28"/>
          <w:szCs w:val="28"/>
        </w:rPr>
      </w:pPr>
      <w:r w:rsidRPr="00141E9C">
        <w:rPr>
          <w:rFonts w:ascii="標楷體" w:eastAsia="標楷體" w:hAnsi="標楷體" w:hint="eastAsia"/>
          <w:sz w:val="28"/>
          <w:szCs w:val="28"/>
        </w:rPr>
        <w:t>款項部分，目前擇定「國泰</w:t>
      </w:r>
      <w:proofErr w:type="gramStart"/>
      <w:r w:rsidRPr="00141E9C">
        <w:rPr>
          <w:rFonts w:ascii="標楷體" w:eastAsia="標楷體" w:hAnsi="標楷體" w:hint="eastAsia"/>
          <w:sz w:val="28"/>
          <w:szCs w:val="28"/>
        </w:rPr>
        <w:t>世</w:t>
      </w:r>
      <w:proofErr w:type="gramEnd"/>
      <w:r w:rsidRPr="00141E9C">
        <w:rPr>
          <w:rFonts w:ascii="標楷體" w:eastAsia="標楷體" w:hAnsi="標楷體" w:hint="eastAsia"/>
          <w:sz w:val="28"/>
          <w:szCs w:val="28"/>
        </w:rPr>
        <w:t>華商業銀行」擔任本公司人民幣加掛ETF受益憑證交易之交割銀行，有關證券商之人民幣交割帳戶，不指定是否開立於國泰</w:t>
      </w:r>
      <w:proofErr w:type="gramStart"/>
      <w:r w:rsidRPr="00141E9C">
        <w:rPr>
          <w:rFonts w:ascii="標楷體" w:eastAsia="標楷體" w:hAnsi="標楷體" w:hint="eastAsia"/>
          <w:sz w:val="28"/>
          <w:szCs w:val="28"/>
        </w:rPr>
        <w:t>世</w:t>
      </w:r>
      <w:proofErr w:type="gramEnd"/>
      <w:r w:rsidRPr="00141E9C">
        <w:rPr>
          <w:rFonts w:ascii="標楷體" w:eastAsia="標楷體" w:hAnsi="標楷體" w:hint="eastAsia"/>
          <w:sz w:val="28"/>
          <w:szCs w:val="28"/>
        </w:rPr>
        <w:t>華商業銀行；劵項部分則委由</w:t>
      </w:r>
      <w:r w:rsidRPr="00141E9C">
        <w:rPr>
          <w:rFonts w:ascii="標楷體" w:eastAsia="標楷體" w:hAnsi="標楷體"/>
          <w:sz w:val="28"/>
          <w:szCs w:val="28"/>
        </w:rPr>
        <w:t>集保結算所</w:t>
      </w:r>
      <w:r w:rsidRPr="00141E9C">
        <w:rPr>
          <w:rFonts w:ascii="標楷體" w:eastAsia="標楷體" w:hAnsi="標楷體" w:hint="eastAsia"/>
          <w:sz w:val="28"/>
          <w:szCs w:val="28"/>
        </w:rPr>
        <w:t>採帳簿劃撥方式辦理。</w:t>
      </w:r>
    </w:p>
    <w:p w:rsidR="00DC6A6A" w:rsidRPr="00141E9C" w:rsidRDefault="00DC6A6A" w:rsidP="00DC6A6A">
      <w:pPr>
        <w:pStyle w:val="a3"/>
        <w:numPr>
          <w:ilvl w:val="0"/>
          <w:numId w:val="44"/>
        </w:numPr>
        <w:spacing w:line="400" w:lineRule="exact"/>
        <w:ind w:leftChars="0"/>
        <w:rPr>
          <w:rFonts w:ascii="標楷體" w:eastAsia="標楷體" w:hAnsi="標楷體"/>
          <w:sz w:val="28"/>
          <w:szCs w:val="28"/>
        </w:rPr>
      </w:pPr>
      <w:r w:rsidRPr="00141E9C">
        <w:rPr>
          <w:rFonts w:ascii="標楷體" w:eastAsia="標楷體" w:hAnsi="標楷體" w:hint="eastAsia"/>
          <w:sz w:val="28"/>
          <w:szCs w:val="28"/>
        </w:rPr>
        <w:t>其他</w:t>
      </w:r>
    </w:p>
    <w:p w:rsidR="00DC6A6A" w:rsidRPr="00141E9C" w:rsidRDefault="00DC6A6A" w:rsidP="00DC6A6A">
      <w:pPr>
        <w:pStyle w:val="a3"/>
        <w:spacing w:line="400" w:lineRule="exact"/>
        <w:ind w:leftChars="0" w:left="1559"/>
        <w:rPr>
          <w:rFonts w:ascii="標楷體" w:eastAsia="標楷體" w:hAnsi="標楷體"/>
          <w:sz w:val="28"/>
          <w:szCs w:val="28"/>
        </w:rPr>
      </w:pPr>
      <w:r w:rsidRPr="00141E9C">
        <w:rPr>
          <w:rFonts w:ascii="標楷體" w:eastAsia="標楷體" w:hAnsi="標楷體"/>
          <w:sz w:val="28"/>
          <w:szCs w:val="28"/>
        </w:rPr>
        <w:t>結算交割邏輯與新臺幣相同，相關制度規範同現行作業，無須調整。</w:t>
      </w:r>
    </w:p>
    <w:p w:rsidR="0068385E" w:rsidRPr="00D75580" w:rsidRDefault="0068385E" w:rsidP="00DC6A6A">
      <w:pPr>
        <w:pStyle w:val="a3"/>
        <w:spacing w:line="400" w:lineRule="exact"/>
        <w:ind w:leftChars="0" w:left="1445"/>
        <w:rPr>
          <w:rFonts w:ascii="標楷體" w:eastAsia="標楷體" w:hAnsi="標楷體"/>
          <w:sz w:val="28"/>
          <w:szCs w:val="28"/>
        </w:rPr>
      </w:pPr>
    </w:p>
    <w:sectPr w:rsidR="0068385E" w:rsidRPr="00D75580" w:rsidSect="0050293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1E0" w:rsidRDefault="009C01E0" w:rsidP="009E3372">
      <w:r>
        <w:separator/>
      </w:r>
    </w:p>
  </w:endnote>
  <w:endnote w:type="continuationSeparator" w:id="0">
    <w:p w:rsidR="009C01E0" w:rsidRDefault="009C01E0" w:rsidP="009E3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4272"/>
      <w:docPartObj>
        <w:docPartGallery w:val="Page Numbers (Bottom of Page)"/>
        <w:docPartUnique/>
      </w:docPartObj>
    </w:sdtPr>
    <w:sdtContent>
      <w:p w:rsidR="0023603A" w:rsidRDefault="001A2CF7">
        <w:pPr>
          <w:pStyle w:val="a6"/>
          <w:jc w:val="center"/>
        </w:pPr>
        <w:fldSimple w:instr=" PAGE   \* MERGEFORMAT ">
          <w:r w:rsidR="004C0ED5" w:rsidRPr="004C0ED5">
            <w:rPr>
              <w:noProof/>
              <w:lang w:val="zh-TW"/>
            </w:rPr>
            <w:t>4</w:t>
          </w:r>
        </w:fldSimple>
      </w:p>
    </w:sdtContent>
  </w:sdt>
  <w:p w:rsidR="0023603A" w:rsidRDefault="0023603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1E0" w:rsidRDefault="009C01E0" w:rsidP="009E3372">
      <w:r>
        <w:separator/>
      </w:r>
    </w:p>
  </w:footnote>
  <w:footnote w:type="continuationSeparator" w:id="0">
    <w:p w:rsidR="009C01E0" w:rsidRDefault="009C01E0" w:rsidP="009E3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138"/>
    <w:multiLevelType w:val="hybridMultilevel"/>
    <w:tmpl w:val="4028A8A4"/>
    <w:lvl w:ilvl="0" w:tplc="82B8579A">
      <w:start w:val="1"/>
      <w:numFmt w:val="decimal"/>
      <w:lvlText w:val="（%1）"/>
      <w:lvlJc w:val="left"/>
      <w:pPr>
        <w:ind w:left="2100" w:hanging="735"/>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1">
    <w:nsid w:val="04CE11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4DB0136"/>
    <w:multiLevelType w:val="hybridMultilevel"/>
    <w:tmpl w:val="FDA07E52"/>
    <w:lvl w:ilvl="0" w:tplc="0FC8AB16">
      <w:start w:val="1"/>
      <w:numFmt w:val="decimal"/>
      <w:lvlText w:val="（%1）"/>
      <w:lvlJc w:val="left"/>
      <w:pPr>
        <w:ind w:left="2085" w:hanging="72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3">
    <w:nsid w:val="0864095E"/>
    <w:multiLevelType w:val="hybridMultilevel"/>
    <w:tmpl w:val="37725E22"/>
    <w:lvl w:ilvl="0" w:tplc="BEDC76AC">
      <w:start w:val="1"/>
      <w:numFmt w:val="decimal"/>
      <w:lvlText w:val="%1."/>
      <w:lvlJc w:val="left"/>
      <w:pPr>
        <w:ind w:left="2329" w:hanging="360"/>
      </w:pPr>
      <w:rPr>
        <w:rFonts w:hint="default"/>
      </w:rPr>
    </w:lvl>
    <w:lvl w:ilvl="1" w:tplc="04090019" w:tentative="1">
      <w:start w:val="1"/>
      <w:numFmt w:val="ideographTraditional"/>
      <w:lvlText w:val="%2、"/>
      <w:lvlJc w:val="left"/>
      <w:pPr>
        <w:ind w:left="2929" w:hanging="480"/>
      </w:pPr>
    </w:lvl>
    <w:lvl w:ilvl="2" w:tplc="0409001B" w:tentative="1">
      <w:start w:val="1"/>
      <w:numFmt w:val="lowerRoman"/>
      <w:lvlText w:val="%3."/>
      <w:lvlJc w:val="right"/>
      <w:pPr>
        <w:ind w:left="3409" w:hanging="480"/>
      </w:pPr>
    </w:lvl>
    <w:lvl w:ilvl="3" w:tplc="0409000F" w:tentative="1">
      <w:start w:val="1"/>
      <w:numFmt w:val="decimal"/>
      <w:lvlText w:val="%4."/>
      <w:lvlJc w:val="left"/>
      <w:pPr>
        <w:ind w:left="3889" w:hanging="480"/>
      </w:pPr>
    </w:lvl>
    <w:lvl w:ilvl="4" w:tplc="04090019" w:tentative="1">
      <w:start w:val="1"/>
      <w:numFmt w:val="ideographTraditional"/>
      <w:lvlText w:val="%5、"/>
      <w:lvlJc w:val="left"/>
      <w:pPr>
        <w:ind w:left="4369" w:hanging="480"/>
      </w:pPr>
    </w:lvl>
    <w:lvl w:ilvl="5" w:tplc="0409001B" w:tentative="1">
      <w:start w:val="1"/>
      <w:numFmt w:val="lowerRoman"/>
      <w:lvlText w:val="%6."/>
      <w:lvlJc w:val="right"/>
      <w:pPr>
        <w:ind w:left="4849" w:hanging="480"/>
      </w:pPr>
    </w:lvl>
    <w:lvl w:ilvl="6" w:tplc="0409000F" w:tentative="1">
      <w:start w:val="1"/>
      <w:numFmt w:val="decimal"/>
      <w:lvlText w:val="%7."/>
      <w:lvlJc w:val="left"/>
      <w:pPr>
        <w:ind w:left="5329" w:hanging="480"/>
      </w:pPr>
    </w:lvl>
    <w:lvl w:ilvl="7" w:tplc="04090019" w:tentative="1">
      <w:start w:val="1"/>
      <w:numFmt w:val="ideographTraditional"/>
      <w:lvlText w:val="%8、"/>
      <w:lvlJc w:val="left"/>
      <w:pPr>
        <w:ind w:left="5809" w:hanging="480"/>
      </w:pPr>
    </w:lvl>
    <w:lvl w:ilvl="8" w:tplc="0409001B" w:tentative="1">
      <w:start w:val="1"/>
      <w:numFmt w:val="lowerRoman"/>
      <w:lvlText w:val="%9."/>
      <w:lvlJc w:val="right"/>
      <w:pPr>
        <w:ind w:left="6289" w:hanging="480"/>
      </w:pPr>
    </w:lvl>
  </w:abstractNum>
  <w:abstractNum w:abstractNumId="4">
    <w:nsid w:val="0C607579"/>
    <w:multiLevelType w:val="hybridMultilevel"/>
    <w:tmpl w:val="4CD63AF0"/>
    <w:lvl w:ilvl="0" w:tplc="3A2AB70A">
      <w:start w:val="1"/>
      <w:numFmt w:val="taiwaneseCountingThousand"/>
      <w:lvlText w:val="（%1）"/>
      <w:lvlJc w:val="left"/>
      <w:pPr>
        <w:ind w:left="1445" w:hanging="88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0CFD7E1C"/>
    <w:multiLevelType w:val="hybridMultilevel"/>
    <w:tmpl w:val="866AF166"/>
    <w:lvl w:ilvl="0" w:tplc="8DDE178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452245"/>
    <w:multiLevelType w:val="hybridMultilevel"/>
    <w:tmpl w:val="EA566FE6"/>
    <w:lvl w:ilvl="0" w:tplc="0409000F">
      <w:start w:val="1"/>
      <w:numFmt w:val="decimal"/>
      <w:lvlText w:val="%1."/>
      <w:lvlJc w:val="left"/>
      <w:pPr>
        <w:ind w:left="2805" w:hanging="480"/>
      </w:pPr>
    </w:lvl>
    <w:lvl w:ilvl="1" w:tplc="04090019" w:tentative="1">
      <w:start w:val="1"/>
      <w:numFmt w:val="ideographTraditional"/>
      <w:lvlText w:val="%2、"/>
      <w:lvlJc w:val="left"/>
      <w:pPr>
        <w:ind w:left="3285" w:hanging="480"/>
      </w:pPr>
    </w:lvl>
    <w:lvl w:ilvl="2" w:tplc="0409001B" w:tentative="1">
      <w:start w:val="1"/>
      <w:numFmt w:val="lowerRoman"/>
      <w:lvlText w:val="%3."/>
      <w:lvlJc w:val="right"/>
      <w:pPr>
        <w:ind w:left="3765" w:hanging="480"/>
      </w:pPr>
    </w:lvl>
    <w:lvl w:ilvl="3" w:tplc="0409000F" w:tentative="1">
      <w:start w:val="1"/>
      <w:numFmt w:val="decimal"/>
      <w:lvlText w:val="%4."/>
      <w:lvlJc w:val="left"/>
      <w:pPr>
        <w:ind w:left="4245" w:hanging="480"/>
      </w:pPr>
    </w:lvl>
    <w:lvl w:ilvl="4" w:tplc="04090019" w:tentative="1">
      <w:start w:val="1"/>
      <w:numFmt w:val="ideographTraditional"/>
      <w:lvlText w:val="%5、"/>
      <w:lvlJc w:val="left"/>
      <w:pPr>
        <w:ind w:left="4725" w:hanging="480"/>
      </w:pPr>
    </w:lvl>
    <w:lvl w:ilvl="5" w:tplc="0409001B" w:tentative="1">
      <w:start w:val="1"/>
      <w:numFmt w:val="lowerRoman"/>
      <w:lvlText w:val="%6."/>
      <w:lvlJc w:val="right"/>
      <w:pPr>
        <w:ind w:left="5205" w:hanging="480"/>
      </w:pPr>
    </w:lvl>
    <w:lvl w:ilvl="6" w:tplc="0409000F" w:tentative="1">
      <w:start w:val="1"/>
      <w:numFmt w:val="decimal"/>
      <w:lvlText w:val="%7."/>
      <w:lvlJc w:val="left"/>
      <w:pPr>
        <w:ind w:left="5685" w:hanging="480"/>
      </w:pPr>
    </w:lvl>
    <w:lvl w:ilvl="7" w:tplc="04090019" w:tentative="1">
      <w:start w:val="1"/>
      <w:numFmt w:val="ideographTraditional"/>
      <w:lvlText w:val="%8、"/>
      <w:lvlJc w:val="left"/>
      <w:pPr>
        <w:ind w:left="6165" w:hanging="480"/>
      </w:pPr>
    </w:lvl>
    <w:lvl w:ilvl="8" w:tplc="0409001B" w:tentative="1">
      <w:start w:val="1"/>
      <w:numFmt w:val="lowerRoman"/>
      <w:lvlText w:val="%9."/>
      <w:lvlJc w:val="right"/>
      <w:pPr>
        <w:ind w:left="6645" w:hanging="480"/>
      </w:pPr>
    </w:lvl>
  </w:abstractNum>
  <w:abstractNum w:abstractNumId="7">
    <w:nsid w:val="101E7C3E"/>
    <w:multiLevelType w:val="hybridMultilevel"/>
    <w:tmpl w:val="D348E6E2"/>
    <w:lvl w:ilvl="0" w:tplc="2FAA1B6A">
      <w:start w:val="1"/>
      <w:numFmt w:val="taiwaneseCountingThousand"/>
      <w:lvlText w:val="（%1）"/>
      <w:lvlJc w:val="left"/>
      <w:pPr>
        <w:ind w:left="4704" w:hanging="864"/>
      </w:pPr>
      <w:rPr>
        <w:rFonts w:hint="default"/>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2FAA1B6A">
      <w:start w:val="1"/>
      <w:numFmt w:val="taiwaneseCountingThousand"/>
      <w:lvlText w:val="（%7）"/>
      <w:lvlJc w:val="left"/>
      <w:pPr>
        <w:ind w:left="6480" w:hanging="480"/>
      </w:pPr>
      <w:rPr>
        <w:rFonts w:hint="default"/>
      </w:r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8">
    <w:nsid w:val="131D622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13A30100"/>
    <w:multiLevelType w:val="hybridMultilevel"/>
    <w:tmpl w:val="D7AA0ED4"/>
    <w:lvl w:ilvl="0" w:tplc="D896A3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FD4D9B"/>
    <w:multiLevelType w:val="hybridMultilevel"/>
    <w:tmpl w:val="4744804A"/>
    <w:lvl w:ilvl="0" w:tplc="D82236B6">
      <w:start w:val="1"/>
      <w:numFmt w:val="decimal"/>
      <w:lvlText w:val="%1."/>
      <w:lvlJc w:val="left"/>
      <w:pPr>
        <w:ind w:left="1924" w:hanging="360"/>
      </w:pPr>
      <w:rPr>
        <w:rFonts w:hint="default"/>
      </w:rPr>
    </w:lvl>
    <w:lvl w:ilvl="1" w:tplc="04090019" w:tentative="1">
      <w:start w:val="1"/>
      <w:numFmt w:val="ideographTraditional"/>
      <w:lvlText w:val="%2、"/>
      <w:lvlJc w:val="left"/>
      <w:pPr>
        <w:ind w:left="2524" w:hanging="480"/>
      </w:pPr>
    </w:lvl>
    <w:lvl w:ilvl="2" w:tplc="0409001B" w:tentative="1">
      <w:start w:val="1"/>
      <w:numFmt w:val="lowerRoman"/>
      <w:lvlText w:val="%3."/>
      <w:lvlJc w:val="right"/>
      <w:pPr>
        <w:ind w:left="3004" w:hanging="480"/>
      </w:pPr>
    </w:lvl>
    <w:lvl w:ilvl="3" w:tplc="0409000F" w:tentative="1">
      <w:start w:val="1"/>
      <w:numFmt w:val="decimal"/>
      <w:lvlText w:val="%4."/>
      <w:lvlJc w:val="left"/>
      <w:pPr>
        <w:ind w:left="3484" w:hanging="480"/>
      </w:pPr>
    </w:lvl>
    <w:lvl w:ilvl="4" w:tplc="04090019" w:tentative="1">
      <w:start w:val="1"/>
      <w:numFmt w:val="ideographTraditional"/>
      <w:lvlText w:val="%5、"/>
      <w:lvlJc w:val="left"/>
      <w:pPr>
        <w:ind w:left="3964" w:hanging="480"/>
      </w:pPr>
    </w:lvl>
    <w:lvl w:ilvl="5" w:tplc="0409001B" w:tentative="1">
      <w:start w:val="1"/>
      <w:numFmt w:val="lowerRoman"/>
      <w:lvlText w:val="%6."/>
      <w:lvlJc w:val="right"/>
      <w:pPr>
        <w:ind w:left="4444" w:hanging="480"/>
      </w:pPr>
    </w:lvl>
    <w:lvl w:ilvl="6" w:tplc="0409000F" w:tentative="1">
      <w:start w:val="1"/>
      <w:numFmt w:val="decimal"/>
      <w:lvlText w:val="%7."/>
      <w:lvlJc w:val="left"/>
      <w:pPr>
        <w:ind w:left="4924" w:hanging="480"/>
      </w:pPr>
    </w:lvl>
    <w:lvl w:ilvl="7" w:tplc="04090019" w:tentative="1">
      <w:start w:val="1"/>
      <w:numFmt w:val="ideographTraditional"/>
      <w:lvlText w:val="%8、"/>
      <w:lvlJc w:val="left"/>
      <w:pPr>
        <w:ind w:left="5404" w:hanging="480"/>
      </w:pPr>
    </w:lvl>
    <w:lvl w:ilvl="8" w:tplc="0409001B" w:tentative="1">
      <w:start w:val="1"/>
      <w:numFmt w:val="lowerRoman"/>
      <w:lvlText w:val="%9."/>
      <w:lvlJc w:val="right"/>
      <w:pPr>
        <w:ind w:left="5884" w:hanging="480"/>
      </w:pPr>
    </w:lvl>
  </w:abstractNum>
  <w:abstractNum w:abstractNumId="11">
    <w:nsid w:val="199112E9"/>
    <w:multiLevelType w:val="hybridMultilevel"/>
    <w:tmpl w:val="96B40D60"/>
    <w:lvl w:ilvl="0" w:tplc="BCF6D0EC">
      <w:start w:val="1"/>
      <w:numFmt w:val="decimal"/>
      <w:lvlText w:val="%1."/>
      <w:lvlJc w:val="left"/>
      <w:pPr>
        <w:ind w:left="2329" w:hanging="360"/>
      </w:pPr>
      <w:rPr>
        <w:rFonts w:hint="default"/>
      </w:rPr>
    </w:lvl>
    <w:lvl w:ilvl="1" w:tplc="04090019" w:tentative="1">
      <w:start w:val="1"/>
      <w:numFmt w:val="ideographTraditional"/>
      <w:lvlText w:val="%2、"/>
      <w:lvlJc w:val="left"/>
      <w:pPr>
        <w:ind w:left="2929" w:hanging="480"/>
      </w:pPr>
    </w:lvl>
    <w:lvl w:ilvl="2" w:tplc="0409001B" w:tentative="1">
      <w:start w:val="1"/>
      <w:numFmt w:val="lowerRoman"/>
      <w:lvlText w:val="%3."/>
      <w:lvlJc w:val="right"/>
      <w:pPr>
        <w:ind w:left="3409" w:hanging="480"/>
      </w:pPr>
    </w:lvl>
    <w:lvl w:ilvl="3" w:tplc="0409000F" w:tentative="1">
      <w:start w:val="1"/>
      <w:numFmt w:val="decimal"/>
      <w:lvlText w:val="%4."/>
      <w:lvlJc w:val="left"/>
      <w:pPr>
        <w:ind w:left="3889" w:hanging="480"/>
      </w:pPr>
    </w:lvl>
    <w:lvl w:ilvl="4" w:tplc="04090019" w:tentative="1">
      <w:start w:val="1"/>
      <w:numFmt w:val="ideographTraditional"/>
      <w:lvlText w:val="%5、"/>
      <w:lvlJc w:val="left"/>
      <w:pPr>
        <w:ind w:left="4369" w:hanging="480"/>
      </w:pPr>
    </w:lvl>
    <w:lvl w:ilvl="5" w:tplc="0409001B" w:tentative="1">
      <w:start w:val="1"/>
      <w:numFmt w:val="lowerRoman"/>
      <w:lvlText w:val="%6."/>
      <w:lvlJc w:val="right"/>
      <w:pPr>
        <w:ind w:left="4849" w:hanging="480"/>
      </w:pPr>
    </w:lvl>
    <w:lvl w:ilvl="6" w:tplc="0409000F" w:tentative="1">
      <w:start w:val="1"/>
      <w:numFmt w:val="decimal"/>
      <w:lvlText w:val="%7."/>
      <w:lvlJc w:val="left"/>
      <w:pPr>
        <w:ind w:left="5329" w:hanging="480"/>
      </w:pPr>
    </w:lvl>
    <w:lvl w:ilvl="7" w:tplc="04090019" w:tentative="1">
      <w:start w:val="1"/>
      <w:numFmt w:val="ideographTraditional"/>
      <w:lvlText w:val="%8、"/>
      <w:lvlJc w:val="left"/>
      <w:pPr>
        <w:ind w:left="5809" w:hanging="480"/>
      </w:pPr>
    </w:lvl>
    <w:lvl w:ilvl="8" w:tplc="0409001B" w:tentative="1">
      <w:start w:val="1"/>
      <w:numFmt w:val="lowerRoman"/>
      <w:lvlText w:val="%9."/>
      <w:lvlJc w:val="right"/>
      <w:pPr>
        <w:ind w:left="6289" w:hanging="480"/>
      </w:pPr>
    </w:lvl>
  </w:abstractNum>
  <w:abstractNum w:abstractNumId="12">
    <w:nsid w:val="1BE1486C"/>
    <w:multiLevelType w:val="hybridMultilevel"/>
    <w:tmpl w:val="1BD075D0"/>
    <w:lvl w:ilvl="0" w:tplc="60146AEE">
      <w:start w:val="1"/>
      <w:numFmt w:val="decimal"/>
      <w:lvlText w:val="%1."/>
      <w:lvlJc w:val="left"/>
      <w:pPr>
        <w:ind w:left="180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CC152F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1E0E363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25043C56"/>
    <w:multiLevelType w:val="hybridMultilevel"/>
    <w:tmpl w:val="3154C784"/>
    <w:lvl w:ilvl="0" w:tplc="AE325B2C">
      <w:start w:val="1"/>
      <w:numFmt w:val="decimal"/>
      <w:lvlText w:val="%1."/>
      <w:lvlJc w:val="left"/>
      <w:pPr>
        <w:ind w:left="1805" w:hanging="360"/>
      </w:pPr>
      <w:rPr>
        <w:rFonts w:hint="default"/>
      </w:rPr>
    </w:lvl>
    <w:lvl w:ilvl="1" w:tplc="04090019" w:tentative="1">
      <w:start w:val="1"/>
      <w:numFmt w:val="ideographTraditional"/>
      <w:lvlText w:val="%2、"/>
      <w:lvlJc w:val="left"/>
      <w:pPr>
        <w:ind w:left="2405" w:hanging="480"/>
      </w:p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16">
    <w:nsid w:val="2BE64DB7"/>
    <w:multiLevelType w:val="hybridMultilevel"/>
    <w:tmpl w:val="F6526DBA"/>
    <w:lvl w:ilvl="0" w:tplc="2FAA1B6A">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2D251557"/>
    <w:multiLevelType w:val="hybridMultilevel"/>
    <w:tmpl w:val="D562C97A"/>
    <w:lvl w:ilvl="0" w:tplc="0409000F">
      <w:start w:val="1"/>
      <w:numFmt w:val="decimal"/>
      <w:lvlText w:val="%1."/>
      <w:lvlJc w:val="left"/>
      <w:pPr>
        <w:ind w:left="2805" w:hanging="480"/>
      </w:pPr>
    </w:lvl>
    <w:lvl w:ilvl="1" w:tplc="04090019" w:tentative="1">
      <w:start w:val="1"/>
      <w:numFmt w:val="ideographTraditional"/>
      <w:lvlText w:val="%2、"/>
      <w:lvlJc w:val="left"/>
      <w:pPr>
        <w:ind w:left="3285" w:hanging="480"/>
      </w:pPr>
    </w:lvl>
    <w:lvl w:ilvl="2" w:tplc="0409001B" w:tentative="1">
      <w:start w:val="1"/>
      <w:numFmt w:val="lowerRoman"/>
      <w:lvlText w:val="%3."/>
      <w:lvlJc w:val="right"/>
      <w:pPr>
        <w:ind w:left="3765" w:hanging="480"/>
      </w:pPr>
    </w:lvl>
    <w:lvl w:ilvl="3" w:tplc="0409000F" w:tentative="1">
      <w:start w:val="1"/>
      <w:numFmt w:val="decimal"/>
      <w:lvlText w:val="%4."/>
      <w:lvlJc w:val="left"/>
      <w:pPr>
        <w:ind w:left="4245" w:hanging="480"/>
      </w:pPr>
    </w:lvl>
    <w:lvl w:ilvl="4" w:tplc="04090019" w:tentative="1">
      <w:start w:val="1"/>
      <w:numFmt w:val="ideographTraditional"/>
      <w:lvlText w:val="%5、"/>
      <w:lvlJc w:val="left"/>
      <w:pPr>
        <w:ind w:left="4725" w:hanging="480"/>
      </w:pPr>
    </w:lvl>
    <w:lvl w:ilvl="5" w:tplc="0409001B" w:tentative="1">
      <w:start w:val="1"/>
      <w:numFmt w:val="lowerRoman"/>
      <w:lvlText w:val="%6."/>
      <w:lvlJc w:val="right"/>
      <w:pPr>
        <w:ind w:left="5205" w:hanging="480"/>
      </w:pPr>
    </w:lvl>
    <w:lvl w:ilvl="6" w:tplc="0409000F" w:tentative="1">
      <w:start w:val="1"/>
      <w:numFmt w:val="decimal"/>
      <w:lvlText w:val="%7."/>
      <w:lvlJc w:val="left"/>
      <w:pPr>
        <w:ind w:left="5685" w:hanging="480"/>
      </w:pPr>
    </w:lvl>
    <w:lvl w:ilvl="7" w:tplc="04090019" w:tentative="1">
      <w:start w:val="1"/>
      <w:numFmt w:val="ideographTraditional"/>
      <w:lvlText w:val="%8、"/>
      <w:lvlJc w:val="left"/>
      <w:pPr>
        <w:ind w:left="6165" w:hanging="480"/>
      </w:pPr>
    </w:lvl>
    <w:lvl w:ilvl="8" w:tplc="0409001B" w:tentative="1">
      <w:start w:val="1"/>
      <w:numFmt w:val="lowerRoman"/>
      <w:lvlText w:val="%9."/>
      <w:lvlJc w:val="right"/>
      <w:pPr>
        <w:ind w:left="6645" w:hanging="480"/>
      </w:pPr>
    </w:lvl>
  </w:abstractNum>
  <w:abstractNum w:abstractNumId="18">
    <w:nsid w:val="30056721"/>
    <w:multiLevelType w:val="hybridMultilevel"/>
    <w:tmpl w:val="7F14AAB8"/>
    <w:lvl w:ilvl="0" w:tplc="2E0CCBD0">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9">
    <w:nsid w:val="347D657B"/>
    <w:multiLevelType w:val="hybridMultilevel"/>
    <w:tmpl w:val="D68A1896"/>
    <w:lvl w:ilvl="0" w:tplc="2FAA1B6A">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2B0E52"/>
    <w:multiLevelType w:val="hybridMultilevel"/>
    <w:tmpl w:val="0FB879B0"/>
    <w:lvl w:ilvl="0" w:tplc="2FAA1B6A">
      <w:start w:val="1"/>
      <w:numFmt w:val="taiwaneseCountingThousand"/>
      <w:lvlText w:val="（%1）"/>
      <w:lvlJc w:val="left"/>
      <w:pPr>
        <w:ind w:left="3504" w:hanging="864"/>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1">
    <w:nsid w:val="3C86124B"/>
    <w:multiLevelType w:val="hybridMultilevel"/>
    <w:tmpl w:val="9FF4EC4A"/>
    <w:lvl w:ilvl="0" w:tplc="7B38A056">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0D316AD"/>
    <w:multiLevelType w:val="hybridMultilevel"/>
    <w:tmpl w:val="39F6F7CE"/>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3">
    <w:nsid w:val="42E463C3"/>
    <w:multiLevelType w:val="hybridMultilevel"/>
    <w:tmpl w:val="9606064C"/>
    <w:lvl w:ilvl="0" w:tplc="D2AA809E">
      <w:start w:val="1"/>
      <w:numFmt w:val="decimal"/>
      <w:lvlText w:val="（%1）"/>
      <w:lvlJc w:val="left"/>
      <w:pPr>
        <w:ind w:left="2655" w:hanging="735"/>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4">
    <w:nsid w:val="441F25DF"/>
    <w:multiLevelType w:val="hybridMultilevel"/>
    <w:tmpl w:val="87B00E82"/>
    <w:lvl w:ilvl="0" w:tplc="60146AEE">
      <w:start w:val="1"/>
      <w:numFmt w:val="decimal"/>
      <w:lvlText w:val="%1."/>
      <w:lvlJc w:val="left"/>
      <w:pPr>
        <w:ind w:left="1805" w:hanging="360"/>
      </w:pPr>
      <w:rPr>
        <w:rFonts w:hint="default"/>
      </w:rPr>
    </w:lvl>
    <w:lvl w:ilvl="1" w:tplc="04090019" w:tentative="1">
      <w:start w:val="1"/>
      <w:numFmt w:val="ideographTraditional"/>
      <w:lvlText w:val="%2、"/>
      <w:lvlJc w:val="left"/>
      <w:pPr>
        <w:ind w:left="2405" w:hanging="480"/>
      </w:p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25">
    <w:nsid w:val="45256776"/>
    <w:multiLevelType w:val="hybridMultilevel"/>
    <w:tmpl w:val="0E58B36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49AD4658"/>
    <w:multiLevelType w:val="hybridMultilevel"/>
    <w:tmpl w:val="C81C4EC2"/>
    <w:lvl w:ilvl="0" w:tplc="0409000F">
      <w:start w:val="1"/>
      <w:numFmt w:val="decimal"/>
      <w:lvlText w:val="%1."/>
      <w:lvlJc w:val="left"/>
      <w:pPr>
        <w:ind w:left="2805" w:hanging="480"/>
      </w:pPr>
    </w:lvl>
    <w:lvl w:ilvl="1" w:tplc="04090019" w:tentative="1">
      <w:start w:val="1"/>
      <w:numFmt w:val="ideographTraditional"/>
      <w:lvlText w:val="%2、"/>
      <w:lvlJc w:val="left"/>
      <w:pPr>
        <w:ind w:left="3285" w:hanging="480"/>
      </w:pPr>
    </w:lvl>
    <w:lvl w:ilvl="2" w:tplc="0409001B" w:tentative="1">
      <w:start w:val="1"/>
      <w:numFmt w:val="lowerRoman"/>
      <w:lvlText w:val="%3."/>
      <w:lvlJc w:val="right"/>
      <w:pPr>
        <w:ind w:left="3765" w:hanging="480"/>
      </w:pPr>
    </w:lvl>
    <w:lvl w:ilvl="3" w:tplc="0409000F" w:tentative="1">
      <w:start w:val="1"/>
      <w:numFmt w:val="decimal"/>
      <w:lvlText w:val="%4."/>
      <w:lvlJc w:val="left"/>
      <w:pPr>
        <w:ind w:left="4245" w:hanging="480"/>
      </w:pPr>
    </w:lvl>
    <w:lvl w:ilvl="4" w:tplc="04090019" w:tentative="1">
      <w:start w:val="1"/>
      <w:numFmt w:val="ideographTraditional"/>
      <w:lvlText w:val="%5、"/>
      <w:lvlJc w:val="left"/>
      <w:pPr>
        <w:ind w:left="4725" w:hanging="480"/>
      </w:pPr>
    </w:lvl>
    <w:lvl w:ilvl="5" w:tplc="0409001B" w:tentative="1">
      <w:start w:val="1"/>
      <w:numFmt w:val="lowerRoman"/>
      <w:lvlText w:val="%6."/>
      <w:lvlJc w:val="right"/>
      <w:pPr>
        <w:ind w:left="5205" w:hanging="480"/>
      </w:pPr>
    </w:lvl>
    <w:lvl w:ilvl="6" w:tplc="0409000F" w:tentative="1">
      <w:start w:val="1"/>
      <w:numFmt w:val="decimal"/>
      <w:lvlText w:val="%7."/>
      <w:lvlJc w:val="left"/>
      <w:pPr>
        <w:ind w:left="5685" w:hanging="480"/>
      </w:pPr>
    </w:lvl>
    <w:lvl w:ilvl="7" w:tplc="04090019" w:tentative="1">
      <w:start w:val="1"/>
      <w:numFmt w:val="ideographTraditional"/>
      <w:lvlText w:val="%8、"/>
      <w:lvlJc w:val="left"/>
      <w:pPr>
        <w:ind w:left="6165" w:hanging="480"/>
      </w:pPr>
    </w:lvl>
    <w:lvl w:ilvl="8" w:tplc="0409001B" w:tentative="1">
      <w:start w:val="1"/>
      <w:numFmt w:val="lowerRoman"/>
      <w:lvlText w:val="%9."/>
      <w:lvlJc w:val="right"/>
      <w:pPr>
        <w:ind w:left="6645" w:hanging="480"/>
      </w:pPr>
    </w:lvl>
  </w:abstractNum>
  <w:abstractNum w:abstractNumId="27">
    <w:nsid w:val="49CF498E"/>
    <w:multiLevelType w:val="hybridMultilevel"/>
    <w:tmpl w:val="43849610"/>
    <w:lvl w:ilvl="0" w:tplc="F51E1DCA">
      <w:start w:val="1"/>
      <w:numFmt w:val="decimal"/>
      <w:lvlText w:val="（%1）"/>
      <w:lvlJc w:val="left"/>
      <w:pPr>
        <w:ind w:left="2395" w:hanging="735"/>
      </w:pPr>
      <w:rPr>
        <w:rFonts w:hint="default"/>
      </w:rPr>
    </w:lvl>
    <w:lvl w:ilvl="1" w:tplc="04090019" w:tentative="1">
      <w:start w:val="1"/>
      <w:numFmt w:val="ideographTraditional"/>
      <w:lvlText w:val="%2、"/>
      <w:lvlJc w:val="left"/>
      <w:pPr>
        <w:ind w:left="2620" w:hanging="480"/>
      </w:pPr>
    </w:lvl>
    <w:lvl w:ilvl="2" w:tplc="0409001B" w:tentative="1">
      <w:start w:val="1"/>
      <w:numFmt w:val="lowerRoman"/>
      <w:lvlText w:val="%3."/>
      <w:lvlJc w:val="right"/>
      <w:pPr>
        <w:ind w:left="3100" w:hanging="480"/>
      </w:pPr>
    </w:lvl>
    <w:lvl w:ilvl="3" w:tplc="0409000F" w:tentative="1">
      <w:start w:val="1"/>
      <w:numFmt w:val="decimal"/>
      <w:lvlText w:val="%4."/>
      <w:lvlJc w:val="left"/>
      <w:pPr>
        <w:ind w:left="3580" w:hanging="480"/>
      </w:pPr>
    </w:lvl>
    <w:lvl w:ilvl="4" w:tplc="04090019" w:tentative="1">
      <w:start w:val="1"/>
      <w:numFmt w:val="ideographTraditional"/>
      <w:lvlText w:val="%5、"/>
      <w:lvlJc w:val="left"/>
      <w:pPr>
        <w:ind w:left="4060" w:hanging="480"/>
      </w:pPr>
    </w:lvl>
    <w:lvl w:ilvl="5" w:tplc="0409001B" w:tentative="1">
      <w:start w:val="1"/>
      <w:numFmt w:val="lowerRoman"/>
      <w:lvlText w:val="%6."/>
      <w:lvlJc w:val="right"/>
      <w:pPr>
        <w:ind w:left="4540" w:hanging="480"/>
      </w:pPr>
    </w:lvl>
    <w:lvl w:ilvl="6" w:tplc="0409000F" w:tentative="1">
      <w:start w:val="1"/>
      <w:numFmt w:val="decimal"/>
      <w:lvlText w:val="%7."/>
      <w:lvlJc w:val="left"/>
      <w:pPr>
        <w:ind w:left="5020" w:hanging="480"/>
      </w:pPr>
    </w:lvl>
    <w:lvl w:ilvl="7" w:tplc="04090019" w:tentative="1">
      <w:start w:val="1"/>
      <w:numFmt w:val="ideographTraditional"/>
      <w:lvlText w:val="%8、"/>
      <w:lvlJc w:val="left"/>
      <w:pPr>
        <w:ind w:left="5500" w:hanging="480"/>
      </w:pPr>
    </w:lvl>
    <w:lvl w:ilvl="8" w:tplc="0409001B" w:tentative="1">
      <w:start w:val="1"/>
      <w:numFmt w:val="lowerRoman"/>
      <w:lvlText w:val="%9."/>
      <w:lvlJc w:val="right"/>
      <w:pPr>
        <w:ind w:left="5980" w:hanging="480"/>
      </w:pPr>
    </w:lvl>
  </w:abstractNum>
  <w:abstractNum w:abstractNumId="28">
    <w:nsid w:val="4D2E2AA8"/>
    <w:multiLevelType w:val="hybridMultilevel"/>
    <w:tmpl w:val="5B9AA532"/>
    <w:lvl w:ilvl="0" w:tplc="0409000F">
      <w:start w:val="1"/>
      <w:numFmt w:val="decimal"/>
      <w:lvlText w:val="%1."/>
      <w:lvlJc w:val="left"/>
      <w:pPr>
        <w:ind w:left="2325" w:hanging="480"/>
      </w:pPr>
    </w:lvl>
    <w:lvl w:ilvl="1" w:tplc="04090019" w:tentative="1">
      <w:start w:val="1"/>
      <w:numFmt w:val="ideographTraditional"/>
      <w:lvlText w:val="%2、"/>
      <w:lvlJc w:val="left"/>
      <w:pPr>
        <w:ind w:left="2805" w:hanging="480"/>
      </w:pPr>
    </w:lvl>
    <w:lvl w:ilvl="2" w:tplc="0409001B" w:tentative="1">
      <w:start w:val="1"/>
      <w:numFmt w:val="lowerRoman"/>
      <w:lvlText w:val="%3."/>
      <w:lvlJc w:val="right"/>
      <w:pPr>
        <w:ind w:left="3285" w:hanging="480"/>
      </w:pPr>
    </w:lvl>
    <w:lvl w:ilvl="3" w:tplc="0409000F" w:tentative="1">
      <w:start w:val="1"/>
      <w:numFmt w:val="decimal"/>
      <w:lvlText w:val="%4."/>
      <w:lvlJc w:val="left"/>
      <w:pPr>
        <w:ind w:left="3765" w:hanging="480"/>
      </w:pPr>
    </w:lvl>
    <w:lvl w:ilvl="4" w:tplc="04090019" w:tentative="1">
      <w:start w:val="1"/>
      <w:numFmt w:val="ideographTraditional"/>
      <w:lvlText w:val="%5、"/>
      <w:lvlJc w:val="left"/>
      <w:pPr>
        <w:ind w:left="4245" w:hanging="480"/>
      </w:pPr>
    </w:lvl>
    <w:lvl w:ilvl="5" w:tplc="0409001B" w:tentative="1">
      <w:start w:val="1"/>
      <w:numFmt w:val="lowerRoman"/>
      <w:lvlText w:val="%6."/>
      <w:lvlJc w:val="right"/>
      <w:pPr>
        <w:ind w:left="4725" w:hanging="480"/>
      </w:pPr>
    </w:lvl>
    <w:lvl w:ilvl="6" w:tplc="0409000F" w:tentative="1">
      <w:start w:val="1"/>
      <w:numFmt w:val="decimal"/>
      <w:lvlText w:val="%7."/>
      <w:lvlJc w:val="left"/>
      <w:pPr>
        <w:ind w:left="5205" w:hanging="480"/>
      </w:pPr>
    </w:lvl>
    <w:lvl w:ilvl="7" w:tplc="04090019" w:tentative="1">
      <w:start w:val="1"/>
      <w:numFmt w:val="ideographTraditional"/>
      <w:lvlText w:val="%8、"/>
      <w:lvlJc w:val="left"/>
      <w:pPr>
        <w:ind w:left="5685" w:hanging="480"/>
      </w:pPr>
    </w:lvl>
    <w:lvl w:ilvl="8" w:tplc="0409001B" w:tentative="1">
      <w:start w:val="1"/>
      <w:numFmt w:val="lowerRoman"/>
      <w:lvlText w:val="%9."/>
      <w:lvlJc w:val="right"/>
      <w:pPr>
        <w:ind w:left="6165" w:hanging="480"/>
      </w:pPr>
    </w:lvl>
  </w:abstractNum>
  <w:abstractNum w:abstractNumId="29">
    <w:nsid w:val="5A390F2B"/>
    <w:multiLevelType w:val="hybridMultilevel"/>
    <w:tmpl w:val="AC92E890"/>
    <w:lvl w:ilvl="0" w:tplc="9EDE5830">
      <w:start w:val="1"/>
      <w:numFmt w:val="decimal"/>
      <w:lvlText w:val="%1."/>
      <w:lvlJc w:val="left"/>
      <w:pPr>
        <w:ind w:left="1944" w:hanging="36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30">
    <w:nsid w:val="5BB33669"/>
    <w:multiLevelType w:val="hybridMultilevel"/>
    <w:tmpl w:val="74B4863C"/>
    <w:lvl w:ilvl="0" w:tplc="5492C462">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nsid w:val="5EED6E3D"/>
    <w:multiLevelType w:val="hybridMultilevel"/>
    <w:tmpl w:val="E0EEAFF6"/>
    <w:lvl w:ilvl="0" w:tplc="2FAA1B6A">
      <w:start w:val="1"/>
      <w:numFmt w:val="taiwaneseCountingThousand"/>
      <w:lvlText w:val="（%1）"/>
      <w:lvlJc w:val="left"/>
      <w:pPr>
        <w:ind w:left="4734" w:hanging="864"/>
      </w:pPr>
      <w:rPr>
        <w:rFonts w:hint="default"/>
      </w:rPr>
    </w:lvl>
    <w:lvl w:ilvl="1" w:tplc="04090019" w:tentative="1">
      <w:start w:val="1"/>
      <w:numFmt w:val="ideographTraditional"/>
      <w:lvlText w:val="%2、"/>
      <w:lvlJc w:val="left"/>
      <w:pPr>
        <w:ind w:left="4110" w:hanging="480"/>
      </w:pPr>
    </w:lvl>
    <w:lvl w:ilvl="2" w:tplc="0409001B" w:tentative="1">
      <w:start w:val="1"/>
      <w:numFmt w:val="lowerRoman"/>
      <w:lvlText w:val="%3."/>
      <w:lvlJc w:val="right"/>
      <w:pPr>
        <w:ind w:left="4590" w:hanging="480"/>
      </w:pPr>
    </w:lvl>
    <w:lvl w:ilvl="3" w:tplc="0409000F" w:tentative="1">
      <w:start w:val="1"/>
      <w:numFmt w:val="decimal"/>
      <w:lvlText w:val="%4."/>
      <w:lvlJc w:val="left"/>
      <w:pPr>
        <w:ind w:left="5070" w:hanging="480"/>
      </w:pPr>
    </w:lvl>
    <w:lvl w:ilvl="4" w:tplc="04090019" w:tentative="1">
      <w:start w:val="1"/>
      <w:numFmt w:val="ideographTraditional"/>
      <w:lvlText w:val="%5、"/>
      <w:lvlJc w:val="left"/>
      <w:pPr>
        <w:ind w:left="5550" w:hanging="480"/>
      </w:pPr>
    </w:lvl>
    <w:lvl w:ilvl="5" w:tplc="0409001B" w:tentative="1">
      <w:start w:val="1"/>
      <w:numFmt w:val="lowerRoman"/>
      <w:lvlText w:val="%6."/>
      <w:lvlJc w:val="right"/>
      <w:pPr>
        <w:ind w:left="6030" w:hanging="480"/>
      </w:pPr>
    </w:lvl>
    <w:lvl w:ilvl="6" w:tplc="0409000F">
      <w:start w:val="1"/>
      <w:numFmt w:val="decimal"/>
      <w:lvlText w:val="%7."/>
      <w:lvlJc w:val="left"/>
      <w:pPr>
        <w:ind w:left="6510" w:hanging="480"/>
      </w:pPr>
    </w:lvl>
    <w:lvl w:ilvl="7" w:tplc="04090019" w:tentative="1">
      <w:start w:val="1"/>
      <w:numFmt w:val="ideographTraditional"/>
      <w:lvlText w:val="%8、"/>
      <w:lvlJc w:val="left"/>
      <w:pPr>
        <w:ind w:left="6990" w:hanging="480"/>
      </w:pPr>
    </w:lvl>
    <w:lvl w:ilvl="8" w:tplc="0409001B" w:tentative="1">
      <w:start w:val="1"/>
      <w:numFmt w:val="lowerRoman"/>
      <w:lvlText w:val="%9."/>
      <w:lvlJc w:val="right"/>
      <w:pPr>
        <w:ind w:left="7470" w:hanging="480"/>
      </w:pPr>
    </w:lvl>
  </w:abstractNum>
  <w:abstractNum w:abstractNumId="32">
    <w:nsid w:val="615F4921"/>
    <w:multiLevelType w:val="hybridMultilevel"/>
    <w:tmpl w:val="DCEE4DB6"/>
    <w:lvl w:ilvl="0" w:tplc="90C67A18">
      <w:start w:val="1"/>
      <w:numFmt w:val="taiwaneseCountingThousand"/>
      <w:lvlText w:val="（%1）"/>
      <w:lvlJc w:val="left"/>
      <w:pPr>
        <w:ind w:left="1564" w:hanging="864"/>
      </w:pPr>
      <w:rPr>
        <w:rFonts w:hint="default"/>
        <w:lang w:val="en-US"/>
      </w:rPr>
    </w:lvl>
    <w:lvl w:ilvl="1" w:tplc="04090019">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33">
    <w:nsid w:val="68C772D0"/>
    <w:multiLevelType w:val="hybridMultilevel"/>
    <w:tmpl w:val="A91E656E"/>
    <w:lvl w:ilvl="0" w:tplc="2FAA1B6A">
      <w:start w:val="1"/>
      <w:numFmt w:val="taiwaneseCountingThousand"/>
      <w:lvlText w:val="（%1）"/>
      <w:lvlJc w:val="left"/>
      <w:pPr>
        <w:ind w:left="3534" w:hanging="864"/>
      </w:pPr>
      <w:rPr>
        <w:rFonts w:hint="default"/>
      </w:rPr>
    </w:lvl>
    <w:lvl w:ilvl="1" w:tplc="04090019" w:tentative="1">
      <w:start w:val="1"/>
      <w:numFmt w:val="ideographTraditional"/>
      <w:lvlText w:val="%2、"/>
      <w:lvlJc w:val="left"/>
      <w:pPr>
        <w:ind w:left="2910" w:hanging="480"/>
      </w:pPr>
    </w:lvl>
    <w:lvl w:ilvl="2" w:tplc="0409001B" w:tentative="1">
      <w:start w:val="1"/>
      <w:numFmt w:val="lowerRoman"/>
      <w:lvlText w:val="%3."/>
      <w:lvlJc w:val="right"/>
      <w:pPr>
        <w:ind w:left="3390" w:hanging="480"/>
      </w:pPr>
    </w:lvl>
    <w:lvl w:ilvl="3" w:tplc="0409000F" w:tentative="1">
      <w:start w:val="1"/>
      <w:numFmt w:val="decimal"/>
      <w:lvlText w:val="%4."/>
      <w:lvlJc w:val="left"/>
      <w:pPr>
        <w:ind w:left="3870" w:hanging="480"/>
      </w:pPr>
    </w:lvl>
    <w:lvl w:ilvl="4" w:tplc="04090019">
      <w:start w:val="1"/>
      <w:numFmt w:val="ideographTraditional"/>
      <w:lvlText w:val="%5、"/>
      <w:lvlJc w:val="left"/>
      <w:pPr>
        <w:ind w:left="4350" w:hanging="480"/>
      </w:pPr>
    </w:lvl>
    <w:lvl w:ilvl="5" w:tplc="0409001B" w:tentative="1">
      <w:start w:val="1"/>
      <w:numFmt w:val="lowerRoman"/>
      <w:lvlText w:val="%6."/>
      <w:lvlJc w:val="right"/>
      <w:pPr>
        <w:ind w:left="4830" w:hanging="480"/>
      </w:pPr>
    </w:lvl>
    <w:lvl w:ilvl="6" w:tplc="0409000F" w:tentative="1">
      <w:start w:val="1"/>
      <w:numFmt w:val="decimal"/>
      <w:lvlText w:val="%7."/>
      <w:lvlJc w:val="left"/>
      <w:pPr>
        <w:ind w:left="5310" w:hanging="480"/>
      </w:pPr>
    </w:lvl>
    <w:lvl w:ilvl="7" w:tplc="04090019" w:tentative="1">
      <w:start w:val="1"/>
      <w:numFmt w:val="ideographTraditional"/>
      <w:lvlText w:val="%8、"/>
      <w:lvlJc w:val="left"/>
      <w:pPr>
        <w:ind w:left="5790" w:hanging="480"/>
      </w:pPr>
    </w:lvl>
    <w:lvl w:ilvl="8" w:tplc="0409001B" w:tentative="1">
      <w:start w:val="1"/>
      <w:numFmt w:val="lowerRoman"/>
      <w:lvlText w:val="%9."/>
      <w:lvlJc w:val="right"/>
      <w:pPr>
        <w:ind w:left="6270" w:hanging="480"/>
      </w:pPr>
    </w:lvl>
  </w:abstractNum>
  <w:abstractNum w:abstractNumId="34">
    <w:nsid w:val="6A3D7F05"/>
    <w:multiLevelType w:val="hybridMultilevel"/>
    <w:tmpl w:val="5CC68806"/>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5">
    <w:nsid w:val="6B945F06"/>
    <w:multiLevelType w:val="hybridMultilevel"/>
    <w:tmpl w:val="89E495E8"/>
    <w:lvl w:ilvl="0" w:tplc="60146AEE">
      <w:start w:val="1"/>
      <w:numFmt w:val="decimal"/>
      <w:lvlText w:val="%1."/>
      <w:lvlJc w:val="left"/>
      <w:pPr>
        <w:ind w:left="3245"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nsid w:val="6E921E2E"/>
    <w:multiLevelType w:val="hybridMultilevel"/>
    <w:tmpl w:val="9C32B114"/>
    <w:lvl w:ilvl="0" w:tplc="0409000F">
      <w:start w:val="1"/>
      <w:numFmt w:val="decimal"/>
      <w:lvlText w:val="%1."/>
      <w:lvlJc w:val="lef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7">
    <w:nsid w:val="71650EDA"/>
    <w:multiLevelType w:val="hybridMultilevel"/>
    <w:tmpl w:val="0590B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19A6C90"/>
    <w:multiLevelType w:val="hybridMultilevel"/>
    <w:tmpl w:val="325096EE"/>
    <w:lvl w:ilvl="0" w:tplc="2FAA1B6A">
      <w:start w:val="1"/>
      <w:numFmt w:val="taiwaneseCountingThousand"/>
      <w:lvlText w:val="（%1）"/>
      <w:lvlJc w:val="left"/>
      <w:pPr>
        <w:ind w:left="3534" w:hanging="864"/>
      </w:pPr>
      <w:rPr>
        <w:rFonts w:hint="default"/>
      </w:rPr>
    </w:lvl>
    <w:lvl w:ilvl="1" w:tplc="04090019" w:tentative="1">
      <w:start w:val="1"/>
      <w:numFmt w:val="ideographTraditional"/>
      <w:lvlText w:val="%2、"/>
      <w:lvlJc w:val="left"/>
      <w:pPr>
        <w:ind w:left="2910" w:hanging="480"/>
      </w:pPr>
    </w:lvl>
    <w:lvl w:ilvl="2" w:tplc="0409001B" w:tentative="1">
      <w:start w:val="1"/>
      <w:numFmt w:val="lowerRoman"/>
      <w:lvlText w:val="%3."/>
      <w:lvlJc w:val="right"/>
      <w:pPr>
        <w:ind w:left="3390" w:hanging="480"/>
      </w:pPr>
    </w:lvl>
    <w:lvl w:ilvl="3" w:tplc="0409000F" w:tentative="1">
      <w:start w:val="1"/>
      <w:numFmt w:val="decimal"/>
      <w:lvlText w:val="%4."/>
      <w:lvlJc w:val="left"/>
      <w:pPr>
        <w:ind w:left="3870" w:hanging="480"/>
      </w:pPr>
    </w:lvl>
    <w:lvl w:ilvl="4" w:tplc="04090019">
      <w:start w:val="1"/>
      <w:numFmt w:val="ideographTraditional"/>
      <w:lvlText w:val="%5、"/>
      <w:lvlJc w:val="left"/>
      <w:pPr>
        <w:ind w:left="4350" w:hanging="480"/>
      </w:pPr>
    </w:lvl>
    <w:lvl w:ilvl="5" w:tplc="0409001B" w:tentative="1">
      <w:start w:val="1"/>
      <w:numFmt w:val="lowerRoman"/>
      <w:lvlText w:val="%6."/>
      <w:lvlJc w:val="right"/>
      <w:pPr>
        <w:ind w:left="4830" w:hanging="480"/>
      </w:pPr>
    </w:lvl>
    <w:lvl w:ilvl="6" w:tplc="0409000F" w:tentative="1">
      <w:start w:val="1"/>
      <w:numFmt w:val="decimal"/>
      <w:lvlText w:val="%7."/>
      <w:lvlJc w:val="left"/>
      <w:pPr>
        <w:ind w:left="5310" w:hanging="480"/>
      </w:pPr>
    </w:lvl>
    <w:lvl w:ilvl="7" w:tplc="04090019" w:tentative="1">
      <w:start w:val="1"/>
      <w:numFmt w:val="ideographTraditional"/>
      <w:lvlText w:val="%8、"/>
      <w:lvlJc w:val="left"/>
      <w:pPr>
        <w:ind w:left="5790" w:hanging="480"/>
      </w:pPr>
    </w:lvl>
    <w:lvl w:ilvl="8" w:tplc="0409001B" w:tentative="1">
      <w:start w:val="1"/>
      <w:numFmt w:val="lowerRoman"/>
      <w:lvlText w:val="%9."/>
      <w:lvlJc w:val="right"/>
      <w:pPr>
        <w:ind w:left="6270" w:hanging="480"/>
      </w:pPr>
    </w:lvl>
  </w:abstractNum>
  <w:abstractNum w:abstractNumId="39">
    <w:nsid w:val="73CB08FC"/>
    <w:multiLevelType w:val="hybridMultilevel"/>
    <w:tmpl w:val="AD20302C"/>
    <w:lvl w:ilvl="0" w:tplc="AE325B2C">
      <w:start w:val="1"/>
      <w:numFmt w:val="decimal"/>
      <w:lvlText w:val="%1."/>
      <w:lvlJc w:val="left"/>
      <w:pPr>
        <w:ind w:left="3485"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0">
    <w:nsid w:val="7A8A6014"/>
    <w:multiLevelType w:val="hybridMultilevel"/>
    <w:tmpl w:val="5A0C10B4"/>
    <w:lvl w:ilvl="0" w:tplc="2FAA1B6A">
      <w:start w:val="1"/>
      <w:numFmt w:val="taiwaneseCountingThousand"/>
      <w:lvlText w:val="（%1）"/>
      <w:lvlJc w:val="left"/>
      <w:pPr>
        <w:ind w:left="158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B314A6D"/>
    <w:multiLevelType w:val="hybridMultilevel"/>
    <w:tmpl w:val="C1847E98"/>
    <w:lvl w:ilvl="0" w:tplc="5FDE2988">
      <w:start w:val="1"/>
      <w:numFmt w:val="decimal"/>
      <w:lvlText w:val="%1."/>
      <w:lvlJc w:val="left"/>
      <w:pPr>
        <w:ind w:left="1944" w:hanging="36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42">
    <w:nsid w:val="7E112E37"/>
    <w:multiLevelType w:val="hybridMultilevel"/>
    <w:tmpl w:val="DD12893E"/>
    <w:lvl w:ilvl="0" w:tplc="559A6F5E">
      <w:start w:val="1"/>
      <w:numFmt w:val="taiwaneseCountingThousand"/>
      <w:lvlText w:val="（%1）"/>
      <w:lvlJc w:val="left"/>
      <w:pPr>
        <w:ind w:left="1564" w:hanging="864"/>
      </w:pPr>
      <w:rPr>
        <w:rFonts w:hint="default"/>
        <w:lang w:val="en-US"/>
      </w:rPr>
    </w:lvl>
    <w:lvl w:ilvl="1" w:tplc="04090019">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3">
    <w:nsid w:val="7E8933DB"/>
    <w:multiLevelType w:val="hybridMultilevel"/>
    <w:tmpl w:val="1866793E"/>
    <w:lvl w:ilvl="0" w:tplc="8434473C">
      <w:start w:val="1"/>
      <w:numFmt w:val="decimal"/>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5"/>
  </w:num>
  <w:num w:numId="2">
    <w:abstractNumId w:val="9"/>
  </w:num>
  <w:num w:numId="3">
    <w:abstractNumId w:val="16"/>
  </w:num>
  <w:num w:numId="4">
    <w:abstractNumId w:val="41"/>
  </w:num>
  <w:num w:numId="5">
    <w:abstractNumId w:val="32"/>
  </w:num>
  <w:num w:numId="6">
    <w:abstractNumId w:val="10"/>
  </w:num>
  <w:num w:numId="7">
    <w:abstractNumId w:val="18"/>
  </w:num>
  <w:num w:numId="8">
    <w:abstractNumId w:val="0"/>
  </w:num>
  <w:num w:numId="9">
    <w:abstractNumId w:val="2"/>
  </w:num>
  <w:num w:numId="10">
    <w:abstractNumId w:val="43"/>
  </w:num>
  <w:num w:numId="11">
    <w:abstractNumId w:val="21"/>
  </w:num>
  <w:num w:numId="12">
    <w:abstractNumId w:val="22"/>
  </w:num>
  <w:num w:numId="13">
    <w:abstractNumId w:val="34"/>
  </w:num>
  <w:num w:numId="14">
    <w:abstractNumId w:val="25"/>
  </w:num>
  <w:num w:numId="15">
    <w:abstractNumId w:val="36"/>
  </w:num>
  <w:num w:numId="16">
    <w:abstractNumId w:val="4"/>
  </w:num>
  <w:num w:numId="17">
    <w:abstractNumId w:val="38"/>
  </w:num>
  <w:num w:numId="18">
    <w:abstractNumId w:val="33"/>
  </w:num>
  <w:num w:numId="19">
    <w:abstractNumId w:val="31"/>
  </w:num>
  <w:num w:numId="20">
    <w:abstractNumId w:val="19"/>
  </w:num>
  <w:num w:numId="21">
    <w:abstractNumId w:val="37"/>
  </w:num>
  <w:num w:numId="22">
    <w:abstractNumId w:val="11"/>
  </w:num>
  <w:num w:numId="23">
    <w:abstractNumId w:val="3"/>
  </w:num>
  <w:num w:numId="24">
    <w:abstractNumId w:val="29"/>
  </w:num>
  <w:num w:numId="25">
    <w:abstractNumId w:val="20"/>
  </w:num>
  <w:num w:numId="26">
    <w:abstractNumId w:val="7"/>
  </w:num>
  <w:num w:numId="27">
    <w:abstractNumId w:val="40"/>
  </w:num>
  <w:num w:numId="28">
    <w:abstractNumId w:val="14"/>
  </w:num>
  <w:num w:numId="29">
    <w:abstractNumId w:val="8"/>
  </w:num>
  <w:num w:numId="30">
    <w:abstractNumId w:val="1"/>
  </w:num>
  <w:num w:numId="31">
    <w:abstractNumId w:val="13"/>
  </w:num>
  <w:num w:numId="32">
    <w:abstractNumId w:val="28"/>
  </w:num>
  <w:num w:numId="33">
    <w:abstractNumId w:val="17"/>
  </w:num>
  <w:num w:numId="34">
    <w:abstractNumId w:val="6"/>
  </w:num>
  <w:num w:numId="35">
    <w:abstractNumId w:val="26"/>
  </w:num>
  <w:num w:numId="36">
    <w:abstractNumId w:val="24"/>
  </w:num>
  <w:num w:numId="37">
    <w:abstractNumId w:val="35"/>
  </w:num>
  <w:num w:numId="38">
    <w:abstractNumId w:val="12"/>
  </w:num>
  <w:num w:numId="39">
    <w:abstractNumId w:val="15"/>
  </w:num>
  <w:num w:numId="40">
    <w:abstractNumId w:val="39"/>
  </w:num>
  <w:num w:numId="41">
    <w:abstractNumId w:val="23"/>
  </w:num>
  <w:num w:numId="42">
    <w:abstractNumId w:val="27"/>
  </w:num>
  <w:num w:numId="43">
    <w:abstractNumId w:val="30"/>
  </w:num>
  <w:num w:numId="44">
    <w:abstractNumId w:val="4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1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CED"/>
    <w:rsid w:val="00001651"/>
    <w:rsid w:val="00002B82"/>
    <w:rsid w:val="000042AE"/>
    <w:rsid w:val="00004D07"/>
    <w:rsid w:val="00010341"/>
    <w:rsid w:val="000203D7"/>
    <w:rsid w:val="00021D2F"/>
    <w:rsid w:val="000230F2"/>
    <w:rsid w:val="0002367F"/>
    <w:rsid w:val="00025954"/>
    <w:rsid w:val="0003508D"/>
    <w:rsid w:val="0004595F"/>
    <w:rsid w:val="00050E49"/>
    <w:rsid w:val="00057D2E"/>
    <w:rsid w:val="00060C49"/>
    <w:rsid w:val="00067B8F"/>
    <w:rsid w:val="000A6828"/>
    <w:rsid w:val="000B5D87"/>
    <w:rsid w:val="000C5226"/>
    <w:rsid w:val="000C794E"/>
    <w:rsid w:val="000D0101"/>
    <w:rsid w:val="000E0546"/>
    <w:rsid w:val="000F5BC7"/>
    <w:rsid w:val="000F73C6"/>
    <w:rsid w:val="0010677D"/>
    <w:rsid w:val="0011138A"/>
    <w:rsid w:val="001170F3"/>
    <w:rsid w:val="00125398"/>
    <w:rsid w:val="00133BC7"/>
    <w:rsid w:val="001347A9"/>
    <w:rsid w:val="001400B3"/>
    <w:rsid w:val="00141E9C"/>
    <w:rsid w:val="001437D6"/>
    <w:rsid w:val="00143F99"/>
    <w:rsid w:val="00146B0A"/>
    <w:rsid w:val="00163FD5"/>
    <w:rsid w:val="00174ED5"/>
    <w:rsid w:val="001949CB"/>
    <w:rsid w:val="001A2CF7"/>
    <w:rsid w:val="001A6645"/>
    <w:rsid w:val="001B3E55"/>
    <w:rsid w:val="001B48D1"/>
    <w:rsid w:val="001B666C"/>
    <w:rsid w:val="001C3752"/>
    <w:rsid w:val="001D656D"/>
    <w:rsid w:val="001E362B"/>
    <w:rsid w:val="001E5C5F"/>
    <w:rsid w:val="001E5D7A"/>
    <w:rsid w:val="001F2191"/>
    <w:rsid w:val="00204711"/>
    <w:rsid w:val="00211E52"/>
    <w:rsid w:val="0021475D"/>
    <w:rsid w:val="0022434E"/>
    <w:rsid w:val="0023603A"/>
    <w:rsid w:val="00247E86"/>
    <w:rsid w:val="0025095A"/>
    <w:rsid w:val="002556E8"/>
    <w:rsid w:val="0025635B"/>
    <w:rsid w:val="002601D2"/>
    <w:rsid w:val="002651AA"/>
    <w:rsid w:val="0026733E"/>
    <w:rsid w:val="0027744E"/>
    <w:rsid w:val="002A6A08"/>
    <w:rsid w:val="002B6584"/>
    <w:rsid w:val="002C53F4"/>
    <w:rsid w:val="002E559C"/>
    <w:rsid w:val="002E626C"/>
    <w:rsid w:val="00300240"/>
    <w:rsid w:val="0030438E"/>
    <w:rsid w:val="00315A1B"/>
    <w:rsid w:val="00316445"/>
    <w:rsid w:val="00324B17"/>
    <w:rsid w:val="003426EC"/>
    <w:rsid w:val="003510AD"/>
    <w:rsid w:val="003565FA"/>
    <w:rsid w:val="00366E1E"/>
    <w:rsid w:val="00391A8E"/>
    <w:rsid w:val="003A001C"/>
    <w:rsid w:val="003A6093"/>
    <w:rsid w:val="003A696E"/>
    <w:rsid w:val="003B6320"/>
    <w:rsid w:val="003C30E4"/>
    <w:rsid w:val="003E3853"/>
    <w:rsid w:val="003F785D"/>
    <w:rsid w:val="00414E3C"/>
    <w:rsid w:val="004152EF"/>
    <w:rsid w:val="00440046"/>
    <w:rsid w:val="00444830"/>
    <w:rsid w:val="00453488"/>
    <w:rsid w:val="00462AC5"/>
    <w:rsid w:val="00467767"/>
    <w:rsid w:val="0047122F"/>
    <w:rsid w:val="00492CB0"/>
    <w:rsid w:val="00497935"/>
    <w:rsid w:val="004C0ED5"/>
    <w:rsid w:val="004D7B2B"/>
    <w:rsid w:val="004E08E3"/>
    <w:rsid w:val="004E2E66"/>
    <w:rsid w:val="00502938"/>
    <w:rsid w:val="00503BB9"/>
    <w:rsid w:val="005108E6"/>
    <w:rsid w:val="005168C5"/>
    <w:rsid w:val="00517665"/>
    <w:rsid w:val="005240E7"/>
    <w:rsid w:val="00525111"/>
    <w:rsid w:val="005327E8"/>
    <w:rsid w:val="00535E26"/>
    <w:rsid w:val="00537A6B"/>
    <w:rsid w:val="00540669"/>
    <w:rsid w:val="005420AD"/>
    <w:rsid w:val="0054493F"/>
    <w:rsid w:val="005450ED"/>
    <w:rsid w:val="00546944"/>
    <w:rsid w:val="00556B28"/>
    <w:rsid w:val="00566697"/>
    <w:rsid w:val="00572CE6"/>
    <w:rsid w:val="00594F38"/>
    <w:rsid w:val="005953AB"/>
    <w:rsid w:val="005967F1"/>
    <w:rsid w:val="005A62DC"/>
    <w:rsid w:val="005B2EDA"/>
    <w:rsid w:val="005C34C3"/>
    <w:rsid w:val="005D2785"/>
    <w:rsid w:val="005E5572"/>
    <w:rsid w:val="005E6CAD"/>
    <w:rsid w:val="005F75D7"/>
    <w:rsid w:val="00605CF0"/>
    <w:rsid w:val="00615764"/>
    <w:rsid w:val="00617436"/>
    <w:rsid w:val="00623C4F"/>
    <w:rsid w:val="006266FE"/>
    <w:rsid w:val="00630B3F"/>
    <w:rsid w:val="00641FDD"/>
    <w:rsid w:val="00652FBA"/>
    <w:rsid w:val="00656A37"/>
    <w:rsid w:val="00665D50"/>
    <w:rsid w:val="00673642"/>
    <w:rsid w:val="0068385E"/>
    <w:rsid w:val="006C2F63"/>
    <w:rsid w:val="006C5279"/>
    <w:rsid w:val="006D01CF"/>
    <w:rsid w:val="006D3F5D"/>
    <w:rsid w:val="006D6754"/>
    <w:rsid w:val="006E2FE2"/>
    <w:rsid w:val="006E3808"/>
    <w:rsid w:val="006E4D96"/>
    <w:rsid w:val="006F0659"/>
    <w:rsid w:val="006F0A0E"/>
    <w:rsid w:val="0070258C"/>
    <w:rsid w:val="007060C5"/>
    <w:rsid w:val="00720AF2"/>
    <w:rsid w:val="007312B9"/>
    <w:rsid w:val="00734190"/>
    <w:rsid w:val="00744185"/>
    <w:rsid w:val="00747183"/>
    <w:rsid w:val="0075380D"/>
    <w:rsid w:val="00753C9A"/>
    <w:rsid w:val="00760CED"/>
    <w:rsid w:val="00766474"/>
    <w:rsid w:val="007740E7"/>
    <w:rsid w:val="00775245"/>
    <w:rsid w:val="00786FB7"/>
    <w:rsid w:val="00797C44"/>
    <w:rsid w:val="007B22DD"/>
    <w:rsid w:val="007B6925"/>
    <w:rsid w:val="007B71D4"/>
    <w:rsid w:val="007C6586"/>
    <w:rsid w:val="007C6B06"/>
    <w:rsid w:val="007F09FB"/>
    <w:rsid w:val="00822E7D"/>
    <w:rsid w:val="008314A8"/>
    <w:rsid w:val="00837EAC"/>
    <w:rsid w:val="00853C0C"/>
    <w:rsid w:val="0085566C"/>
    <w:rsid w:val="00862F78"/>
    <w:rsid w:val="00864BA4"/>
    <w:rsid w:val="00866C8F"/>
    <w:rsid w:val="0087236D"/>
    <w:rsid w:val="00872B98"/>
    <w:rsid w:val="00877943"/>
    <w:rsid w:val="00885E6D"/>
    <w:rsid w:val="00893318"/>
    <w:rsid w:val="00895BAA"/>
    <w:rsid w:val="008A6CE8"/>
    <w:rsid w:val="008A79DD"/>
    <w:rsid w:val="008C636B"/>
    <w:rsid w:val="008D05AF"/>
    <w:rsid w:val="008E5412"/>
    <w:rsid w:val="008F3330"/>
    <w:rsid w:val="008F4639"/>
    <w:rsid w:val="00900804"/>
    <w:rsid w:val="00902644"/>
    <w:rsid w:val="00921E0F"/>
    <w:rsid w:val="00922F32"/>
    <w:rsid w:val="0092386B"/>
    <w:rsid w:val="00930F82"/>
    <w:rsid w:val="00932D99"/>
    <w:rsid w:val="009334AB"/>
    <w:rsid w:val="00967441"/>
    <w:rsid w:val="009703AB"/>
    <w:rsid w:val="00970BEE"/>
    <w:rsid w:val="00972921"/>
    <w:rsid w:val="00976186"/>
    <w:rsid w:val="00985531"/>
    <w:rsid w:val="0098731D"/>
    <w:rsid w:val="009B483E"/>
    <w:rsid w:val="009B533F"/>
    <w:rsid w:val="009C01E0"/>
    <w:rsid w:val="009C342F"/>
    <w:rsid w:val="009C6BCA"/>
    <w:rsid w:val="009D15EC"/>
    <w:rsid w:val="009D757D"/>
    <w:rsid w:val="009E31EB"/>
    <w:rsid w:val="009E3372"/>
    <w:rsid w:val="00A028C1"/>
    <w:rsid w:val="00A2163E"/>
    <w:rsid w:val="00A246BC"/>
    <w:rsid w:val="00A35B40"/>
    <w:rsid w:val="00A373FD"/>
    <w:rsid w:val="00A4397C"/>
    <w:rsid w:val="00A448C4"/>
    <w:rsid w:val="00A46DC9"/>
    <w:rsid w:val="00A51C77"/>
    <w:rsid w:val="00A56A98"/>
    <w:rsid w:val="00A62A7D"/>
    <w:rsid w:val="00A63CE6"/>
    <w:rsid w:val="00A64026"/>
    <w:rsid w:val="00A65A91"/>
    <w:rsid w:val="00A72C8D"/>
    <w:rsid w:val="00A83B4A"/>
    <w:rsid w:val="00A85B76"/>
    <w:rsid w:val="00AA00BB"/>
    <w:rsid w:val="00AA53BF"/>
    <w:rsid w:val="00AB32BD"/>
    <w:rsid w:val="00AB3F3C"/>
    <w:rsid w:val="00AB4381"/>
    <w:rsid w:val="00AB4397"/>
    <w:rsid w:val="00AC0477"/>
    <w:rsid w:val="00AC4B05"/>
    <w:rsid w:val="00AE51A6"/>
    <w:rsid w:val="00AF52F8"/>
    <w:rsid w:val="00AF7C96"/>
    <w:rsid w:val="00B03F56"/>
    <w:rsid w:val="00B14F0A"/>
    <w:rsid w:val="00B25998"/>
    <w:rsid w:val="00B25E94"/>
    <w:rsid w:val="00B52630"/>
    <w:rsid w:val="00B532C0"/>
    <w:rsid w:val="00B568F3"/>
    <w:rsid w:val="00B61019"/>
    <w:rsid w:val="00B71FA2"/>
    <w:rsid w:val="00B7517E"/>
    <w:rsid w:val="00B77E87"/>
    <w:rsid w:val="00B84078"/>
    <w:rsid w:val="00B84F86"/>
    <w:rsid w:val="00BA14A3"/>
    <w:rsid w:val="00BA28A2"/>
    <w:rsid w:val="00BA6C2D"/>
    <w:rsid w:val="00BC458E"/>
    <w:rsid w:val="00BD1063"/>
    <w:rsid w:val="00BD2961"/>
    <w:rsid w:val="00BD5315"/>
    <w:rsid w:val="00BD5D17"/>
    <w:rsid w:val="00BE5858"/>
    <w:rsid w:val="00BE62CE"/>
    <w:rsid w:val="00BE64F0"/>
    <w:rsid w:val="00BF2274"/>
    <w:rsid w:val="00BF7859"/>
    <w:rsid w:val="00C0289C"/>
    <w:rsid w:val="00C1062C"/>
    <w:rsid w:val="00C108AC"/>
    <w:rsid w:val="00C10FE5"/>
    <w:rsid w:val="00C13139"/>
    <w:rsid w:val="00C166D2"/>
    <w:rsid w:val="00C24036"/>
    <w:rsid w:val="00C240E5"/>
    <w:rsid w:val="00C24FD9"/>
    <w:rsid w:val="00C27D96"/>
    <w:rsid w:val="00C402CC"/>
    <w:rsid w:val="00C4316A"/>
    <w:rsid w:val="00C445BF"/>
    <w:rsid w:val="00C5030C"/>
    <w:rsid w:val="00C517EE"/>
    <w:rsid w:val="00C5266C"/>
    <w:rsid w:val="00C6000E"/>
    <w:rsid w:val="00C6334D"/>
    <w:rsid w:val="00C731D4"/>
    <w:rsid w:val="00C738D2"/>
    <w:rsid w:val="00C827AD"/>
    <w:rsid w:val="00C90478"/>
    <w:rsid w:val="00C97433"/>
    <w:rsid w:val="00CA2823"/>
    <w:rsid w:val="00CD347B"/>
    <w:rsid w:val="00CD7AB6"/>
    <w:rsid w:val="00CE7755"/>
    <w:rsid w:val="00CF0FDB"/>
    <w:rsid w:val="00CF2848"/>
    <w:rsid w:val="00D01D96"/>
    <w:rsid w:val="00D02872"/>
    <w:rsid w:val="00D03E8A"/>
    <w:rsid w:val="00D13397"/>
    <w:rsid w:val="00D267AF"/>
    <w:rsid w:val="00D33F38"/>
    <w:rsid w:val="00D342A5"/>
    <w:rsid w:val="00D40904"/>
    <w:rsid w:val="00D4305A"/>
    <w:rsid w:val="00D6240D"/>
    <w:rsid w:val="00D75580"/>
    <w:rsid w:val="00D97A2C"/>
    <w:rsid w:val="00DA024B"/>
    <w:rsid w:val="00DA2981"/>
    <w:rsid w:val="00DB755A"/>
    <w:rsid w:val="00DC43E4"/>
    <w:rsid w:val="00DC6A6A"/>
    <w:rsid w:val="00DC7953"/>
    <w:rsid w:val="00DD03AC"/>
    <w:rsid w:val="00DD2F0A"/>
    <w:rsid w:val="00DD30A9"/>
    <w:rsid w:val="00DE7C87"/>
    <w:rsid w:val="00E163B4"/>
    <w:rsid w:val="00E23894"/>
    <w:rsid w:val="00E23D31"/>
    <w:rsid w:val="00E2635F"/>
    <w:rsid w:val="00E27062"/>
    <w:rsid w:val="00E403E4"/>
    <w:rsid w:val="00E45107"/>
    <w:rsid w:val="00E479CC"/>
    <w:rsid w:val="00E64F02"/>
    <w:rsid w:val="00E66303"/>
    <w:rsid w:val="00E702E6"/>
    <w:rsid w:val="00E74482"/>
    <w:rsid w:val="00E83C4B"/>
    <w:rsid w:val="00E9527D"/>
    <w:rsid w:val="00EA0BAF"/>
    <w:rsid w:val="00EA1446"/>
    <w:rsid w:val="00EA2FE3"/>
    <w:rsid w:val="00EA4CF6"/>
    <w:rsid w:val="00EB28E6"/>
    <w:rsid w:val="00EB5ECC"/>
    <w:rsid w:val="00EB6241"/>
    <w:rsid w:val="00EC6B60"/>
    <w:rsid w:val="00EC7E25"/>
    <w:rsid w:val="00ED2C32"/>
    <w:rsid w:val="00ED2DC3"/>
    <w:rsid w:val="00EE38B6"/>
    <w:rsid w:val="00EE3C80"/>
    <w:rsid w:val="00EE75C6"/>
    <w:rsid w:val="00EF427C"/>
    <w:rsid w:val="00EF6091"/>
    <w:rsid w:val="00F03930"/>
    <w:rsid w:val="00F06E7C"/>
    <w:rsid w:val="00F15A8E"/>
    <w:rsid w:val="00F249B7"/>
    <w:rsid w:val="00F30CB7"/>
    <w:rsid w:val="00F36302"/>
    <w:rsid w:val="00F475A3"/>
    <w:rsid w:val="00F476F7"/>
    <w:rsid w:val="00F51C70"/>
    <w:rsid w:val="00F5594A"/>
    <w:rsid w:val="00F55DEC"/>
    <w:rsid w:val="00F62878"/>
    <w:rsid w:val="00F65D4B"/>
    <w:rsid w:val="00F742E8"/>
    <w:rsid w:val="00F91437"/>
    <w:rsid w:val="00F97629"/>
    <w:rsid w:val="00FB22C4"/>
    <w:rsid w:val="00FD684A"/>
    <w:rsid w:val="00FE310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38"/>
    <w:pPr>
      <w:widowControl w:val="0"/>
    </w:pPr>
  </w:style>
  <w:style w:type="paragraph" w:styleId="1">
    <w:name w:val="heading 1"/>
    <w:basedOn w:val="a"/>
    <w:next w:val="a"/>
    <w:link w:val="10"/>
    <w:uiPriority w:val="9"/>
    <w:qFormat/>
    <w:rsid w:val="00DA024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DA024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CED"/>
    <w:pPr>
      <w:ind w:leftChars="200" w:left="480"/>
    </w:pPr>
  </w:style>
  <w:style w:type="paragraph" w:styleId="a4">
    <w:name w:val="header"/>
    <w:basedOn w:val="a"/>
    <w:link w:val="a5"/>
    <w:uiPriority w:val="99"/>
    <w:semiHidden/>
    <w:unhideWhenUsed/>
    <w:rsid w:val="009E3372"/>
    <w:pPr>
      <w:tabs>
        <w:tab w:val="center" w:pos="4153"/>
        <w:tab w:val="right" w:pos="8306"/>
      </w:tabs>
      <w:snapToGrid w:val="0"/>
    </w:pPr>
    <w:rPr>
      <w:sz w:val="20"/>
      <w:szCs w:val="20"/>
    </w:rPr>
  </w:style>
  <w:style w:type="character" w:customStyle="1" w:styleId="a5">
    <w:name w:val="頁首 字元"/>
    <w:basedOn w:val="a0"/>
    <w:link w:val="a4"/>
    <w:uiPriority w:val="99"/>
    <w:semiHidden/>
    <w:rsid w:val="009E3372"/>
    <w:rPr>
      <w:sz w:val="20"/>
      <w:szCs w:val="20"/>
    </w:rPr>
  </w:style>
  <w:style w:type="paragraph" w:styleId="a6">
    <w:name w:val="footer"/>
    <w:basedOn w:val="a"/>
    <w:link w:val="a7"/>
    <w:uiPriority w:val="99"/>
    <w:unhideWhenUsed/>
    <w:rsid w:val="009E3372"/>
    <w:pPr>
      <w:tabs>
        <w:tab w:val="center" w:pos="4153"/>
        <w:tab w:val="right" w:pos="8306"/>
      </w:tabs>
      <w:snapToGrid w:val="0"/>
    </w:pPr>
    <w:rPr>
      <w:sz w:val="20"/>
      <w:szCs w:val="20"/>
    </w:rPr>
  </w:style>
  <w:style w:type="character" w:customStyle="1" w:styleId="a7">
    <w:name w:val="頁尾 字元"/>
    <w:basedOn w:val="a0"/>
    <w:link w:val="a6"/>
    <w:uiPriority w:val="99"/>
    <w:rsid w:val="009E3372"/>
    <w:rPr>
      <w:sz w:val="20"/>
      <w:szCs w:val="20"/>
    </w:rPr>
  </w:style>
  <w:style w:type="paragraph" w:customStyle="1" w:styleId="a8">
    <w:name w:val="a"/>
    <w:basedOn w:val="a"/>
    <w:rsid w:val="00060C49"/>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060C49"/>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01034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rsid w:val="00010341"/>
    <w:pPr>
      <w:snapToGrid w:val="0"/>
    </w:pPr>
    <w:rPr>
      <w:rFonts w:ascii="Times New Roman" w:eastAsia="新細明體" w:hAnsi="Times New Roman" w:cs="Times New Roman"/>
      <w:sz w:val="20"/>
      <w:szCs w:val="20"/>
    </w:rPr>
  </w:style>
  <w:style w:type="character" w:customStyle="1" w:styleId="ab">
    <w:name w:val="註腳文字 字元"/>
    <w:basedOn w:val="a0"/>
    <w:link w:val="aa"/>
    <w:semiHidden/>
    <w:rsid w:val="00010341"/>
    <w:rPr>
      <w:rFonts w:ascii="Times New Roman" w:eastAsia="新細明體" w:hAnsi="Times New Roman" w:cs="Times New Roman"/>
      <w:sz w:val="20"/>
      <w:szCs w:val="20"/>
    </w:rPr>
  </w:style>
  <w:style w:type="character" w:styleId="ac">
    <w:name w:val="footnote reference"/>
    <w:semiHidden/>
    <w:rsid w:val="00010341"/>
    <w:rPr>
      <w:vertAlign w:val="superscript"/>
    </w:rPr>
  </w:style>
  <w:style w:type="paragraph" w:styleId="ad">
    <w:name w:val="Plain Text"/>
    <w:basedOn w:val="a"/>
    <w:link w:val="ae"/>
    <w:uiPriority w:val="99"/>
    <w:unhideWhenUsed/>
    <w:rsid w:val="00A63CE6"/>
    <w:rPr>
      <w:rFonts w:ascii="Calibri" w:eastAsia="新細明體" w:hAnsi="Courier New" w:cs="Courier New"/>
      <w:szCs w:val="24"/>
    </w:rPr>
  </w:style>
  <w:style w:type="character" w:customStyle="1" w:styleId="ae">
    <w:name w:val="純文字 字元"/>
    <w:basedOn w:val="a0"/>
    <w:link w:val="ad"/>
    <w:uiPriority w:val="99"/>
    <w:rsid w:val="00A63CE6"/>
    <w:rPr>
      <w:rFonts w:ascii="Calibri" w:eastAsia="新細明體" w:hAnsi="Courier New" w:cs="Courier New"/>
      <w:szCs w:val="24"/>
    </w:rPr>
  </w:style>
  <w:style w:type="paragraph" w:customStyle="1" w:styleId="Rank1content">
    <w:name w:val="壹內文(Rank 1 content)"/>
    <w:basedOn w:val="a"/>
    <w:rsid w:val="00F476F7"/>
    <w:pPr>
      <w:spacing w:line="480" w:lineRule="exact"/>
      <w:ind w:leftChars="17" w:left="41" w:firstLine="420"/>
    </w:pPr>
    <w:rPr>
      <w:rFonts w:ascii="Times New Roman" w:eastAsia="標楷體" w:hAnsi="Times New Roman" w:cs="Times New Roman"/>
      <w:sz w:val="28"/>
      <w:szCs w:val="24"/>
    </w:rPr>
  </w:style>
  <w:style w:type="paragraph" w:customStyle="1" w:styleId="1Rank5content">
    <w:name w:val="（1）內文(Rank 5 content)"/>
    <w:basedOn w:val="a"/>
    <w:rsid w:val="00605CF0"/>
    <w:pPr>
      <w:spacing w:line="480" w:lineRule="exact"/>
      <w:ind w:leftChars="478" w:left="1147" w:firstLineChars="155" w:firstLine="434"/>
    </w:pPr>
    <w:rPr>
      <w:rFonts w:ascii="Times New Roman" w:eastAsia="標楷體" w:hAnsi="Times New Roman" w:cs="Times New Roman"/>
      <w:sz w:val="28"/>
      <w:szCs w:val="24"/>
    </w:rPr>
  </w:style>
  <w:style w:type="paragraph" w:customStyle="1" w:styleId="1Rank5title">
    <w:name w:val="（1）標題(Rank 5 title)"/>
    <w:basedOn w:val="a"/>
    <w:rsid w:val="00605CF0"/>
    <w:pPr>
      <w:spacing w:beforeLines="50" w:afterLines="50" w:line="480" w:lineRule="exact"/>
      <w:ind w:leftChars="413" w:left="1579" w:hangingChars="210" w:hanging="588"/>
    </w:pPr>
    <w:rPr>
      <w:rFonts w:ascii="Times New Roman" w:eastAsia="標楷體" w:hAnsi="Times New Roman" w:cs="Times New Roman"/>
      <w:sz w:val="28"/>
      <w:szCs w:val="24"/>
    </w:rPr>
  </w:style>
  <w:style w:type="paragraph" w:customStyle="1" w:styleId="Rank3content">
    <w:name w:val="（一）內文(Rank 3 content)"/>
    <w:basedOn w:val="a"/>
    <w:rsid w:val="00605CF0"/>
    <w:pPr>
      <w:spacing w:line="480" w:lineRule="exact"/>
      <w:ind w:leftChars="169" w:left="406" w:firstLineChars="223" w:firstLine="624"/>
    </w:pPr>
    <w:rPr>
      <w:rFonts w:ascii="Times New Roman" w:eastAsia="標楷體" w:hAnsi="Times New Roman" w:cs="Times New Roman"/>
      <w:sz w:val="28"/>
      <w:szCs w:val="24"/>
    </w:rPr>
  </w:style>
  <w:style w:type="paragraph" w:customStyle="1" w:styleId="Rank3title">
    <w:name w:val="（一）標題(Rank 3 title)"/>
    <w:basedOn w:val="a"/>
    <w:rsid w:val="00605CF0"/>
    <w:pPr>
      <w:spacing w:beforeLines="50" w:afterLines="50" w:line="480" w:lineRule="exact"/>
      <w:ind w:leftChars="122" w:left="1032" w:hangingChars="264" w:hanging="739"/>
    </w:pPr>
    <w:rPr>
      <w:rFonts w:ascii="Times New Roman" w:eastAsia="標楷體" w:hAnsi="Times New Roman" w:cs="Times New Roman"/>
      <w:sz w:val="28"/>
      <w:szCs w:val="24"/>
    </w:rPr>
  </w:style>
  <w:style w:type="paragraph" w:customStyle="1" w:styleId="1Rank4title">
    <w:name w:val="1.標題(Rank 4 title)"/>
    <w:basedOn w:val="a"/>
    <w:rsid w:val="00605CF0"/>
    <w:pPr>
      <w:spacing w:beforeLines="50" w:afterLines="50" w:line="480" w:lineRule="exact"/>
      <w:ind w:leftChars="227" w:left="906" w:hangingChars="129" w:hanging="361"/>
    </w:pPr>
    <w:rPr>
      <w:rFonts w:ascii="Times New Roman" w:eastAsia="標楷體" w:hAnsi="Times New Roman" w:cs="Times New Roman"/>
      <w:sz w:val="28"/>
      <w:szCs w:val="24"/>
    </w:rPr>
  </w:style>
  <w:style w:type="paragraph" w:customStyle="1" w:styleId="Rank2content">
    <w:name w:val="一內文(Rank 2 content)"/>
    <w:basedOn w:val="a"/>
    <w:rsid w:val="00605CF0"/>
    <w:pPr>
      <w:spacing w:line="480" w:lineRule="exact"/>
      <w:ind w:leftChars="74" w:left="178" w:firstLineChars="200" w:firstLine="560"/>
    </w:pPr>
    <w:rPr>
      <w:rFonts w:ascii="Times New Roman" w:eastAsia="標楷體" w:hAnsi="Times New Roman" w:cs="Times New Roman"/>
      <w:sz w:val="28"/>
      <w:szCs w:val="24"/>
    </w:rPr>
  </w:style>
  <w:style w:type="paragraph" w:customStyle="1" w:styleId="Rank2title">
    <w:name w:val="一標題(Rank 2 title)"/>
    <w:basedOn w:val="a"/>
    <w:rsid w:val="00605CF0"/>
    <w:pPr>
      <w:spacing w:beforeLines="50" w:afterLines="50" w:line="480" w:lineRule="exact"/>
      <w:ind w:leftChars="75" w:left="768" w:hangingChars="210" w:hanging="588"/>
    </w:pPr>
    <w:rPr>
      <w:rFonts w:ascii="Times New Roman" w:eastAsia="標楷體" w:hAnsi="Times New Roman" w:cs="Times New Roman"/>
      <w:sz w:val="28"/>
      <w:szCs w:val="24"/>
    </w:rPr>
  </w:style>
  <w:style w:type="paragraph" w:customStyle="1" w:styleId="Rank6title">
    <w:name w:val="第六標題(Rank 6 title)"/>
    <w:basedOn w:val="a"/>
    <w:rsid w:val="00605CF0"/>
    <w:pPr>
      <w:spacing w:beforeLines="50" w:afterLines="50" w:line="480" w:lineRule="exact"/>
      <w:ind w:leftChars="757" w:left="2055" w:hangingChars="85" w:hanging="238"/>
    </w:pPr>
    <w:rPr>
      <w:rFonts w:ascii="Times New Roman" w:eastAsia="標楷體" w:hAnsi="Times New Roman" w:cs="Times New Roman"/>
      <w:sz w:val="28"/>
      <w:szCs w:val="24"/>
    </w:rPr>
  </w:style>
  <w:style w:type="paragraph" w:styleId="af">
    <w:name w:val="Balloon Text"/>
    <w:basedOn w:val="a"/>
    <w:link w:val="af0"/>
    <w:uiPriority w:val="99"/>
    <w:semiHidden/>
    <w:unhideWhenUsed/>
    <w:rsid w:val="00864BA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64BA4"/>
    <w:rPr>
      <w:rFonts w:asciiTheme="majorHAnsi" w:eastAsiaTheme="majorEastAsia" w:hAnsiTheme="majorHAnsi" w:cstheme="majorBidi"/>
      <w:sz w:val="18"/>
      <w:szCs w:val="18"/>
    </w:rPr>
  </w:style>
  <w:style w:type="character" w:styleId="af1">
    <w:name w:val="Hyperlink"/>
    <w:basedOn w:val="a0"/>
    <w:uiPriority w:val="99"/>
    <w:semiHidden/>
    <w:unhideWhenUsed/>
    <w:rsid w:val="009B533F"/>
    <w:rPr>
      <w:color w:val="0000FF"/>
      <w:u w:val="single"/>
    </w:rPr>
  </w:style>
  <w:style w:type="character" w:customStyle="1" w:styleId="10">
    <w:name w:val="標題 1 字元"/>
    <w:basedOn w:val="a0"/>
    <w:link w:val="1"/>
    <w:uiPriority w:val="9"/>
    <w:rsid w:val="00DA024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DA024B"/>
    <w:rPr>
      <w:rFonts w:asciiTheme="majorHAnsi" w:eastAsiaTheme="majorEastAsia" w:hAnsiTheme="majorHAnsi" w:cstheme="majorBidi"/>
      <w:b/>
      <w:bCs/>
      <w:sz w:val="48"/>
      <w:szCs w:val="48"/>
    </w:rPr>
  </w:style>
</w:styles>
</file>

<file path=word/webSettings.xml><?xml version="1.0" encoding="utf-8"?>
<w:webSettings xmlns:r="http://schemas.openxmlformats.org/officeDocument/2006/relationships" xmlns:w="http://schemas.openxmlformats.org/wordprocessingml/2006/main">
  <w:divs>
    <w:div w:id="243803148">
      <w:bodyDiv w:val="1"/>
      <w:marLeft w:val="0"/>
      <w:marRight w:val="0"/>
      <w:marTop w:val="0"/>
      <w:marBottom w:val="0"/>
      <w:divBdr>
        <w:top w:val="none" w:sz="0" w:space="0" w:color="auto"/>
        <w:left w:val="none" w:sz="0" w:space="0" w:color="auto"/>
        <w:bottom w:val="none" w:sz="0" w:space="0" w:color="auto"/>
        <w:right w:val="none" w:sz="0" w:space="0" w:color="auto"/>
      </w:divBdr>
    </w:div>
    <w:div w:id="462425794">
      <w:bodyDiv w:val="1"/>
      <w:marLeft w:val="0"/>
      <w:marRight w:val="0"/>
      <w:marTop w:val="0"/>
      <w:marBottom w:val="0"/>
      <w:divBdr>
        <w:top w:val="none" w:sz="0" w:space="0" w:color="auto"/>
        <w:left w:val="none" w:sz="0" w:space="0" w:color="auto"/>
        <w:bottom w:val="none" w:sz="0" w:space="0" w:color="auto"/>
        <w:right w:val="none" w:sz="0" w:space="0" w:color="auto"/>
      </w:divBdr>
    </w:div>
    <w:div w:id="551817640">
      <w:bodyDiv w:val="1"/>
      <w:marLeft w:val="0"/>
      <w:marRight w:val="0"/>
      <w:marTop w:val="0"/>
      <w:marBottom w:val="0"/>
      <w:divBdr>
        <w:top w:val="none" w:sz="0" w:space="0" w:color="auto"/>
        <w:left w:val="none" w:sz="0" w:space="0" w:color="auto"/>
        <w:bottom w:val="none" w:sz="0" w:space="0" w:color="auto"/>
        <w:right w:val="none" w:sz="0" w:space="0" w:color="auto"/>
      </w:divBdr>
    </w:div>
    <w:div w:id="617027988">
      <w:bodyDiv w:val="1"/>
      <w:marLeft w:val="0"/>
      <w:marRight w:val="0"/>
      <w:marTop w:val="0"/>
      <w:marBottom w:val="0"/>
      <w:divBdr>
        <w:top w:val="none" w:sz="0" w:space="0" w:color="auto"/>
        <w:left w:val="none" w:sz="0" w:space="0" w:color="auto"/>
        <w:bottom w:val="none" w:sz="0" w:space="0" w:color="auto"/>
        <w:right w:val="none" w:sz="0" w:space="0" w:color="auto"/>
      </w:divBdr>
      <w:divsChild>
        <w:div w:id="2095321887">
          <w:marLeft w:val="547"/>
          <w:marRight w:val="0"/>
          <w:marTop w:val="125"/>
          <w:marBottom w:val="0"/>
          <w:divBdr>
            <w:top w:val="none" w:sz="0" w:space="0" w:color="auto"/>
            <w:left w:val="none" w:sz="0" w:space="0" w:color="auto"/>
            <w:bottom w:val="none" w:sz="0" w:space="0" w:color="auto"/>
            <w:right w:val="none" w:sz="0" w:space="0" w:color="auto"/>
          </w:divBdr>
        </w:div>
        <w:div w:id="1652978492">
          <w:marLeft w:val="547"/>
          <w:marRight w:val="0"/>
          <w:marTop w:val="125"/>
          <w:marBottom w:val="0"/>
          <w:divBdr>
            <w:top w:val="none" w:sz="0" w:space="0" w:color="auto"/>
            <w:left w:val="none" w:sz="0" w:space="0" w:color="auto"/>
            <w:bottom w:val="none" w:sz="0" w:space="0" w:color="auto"/>
            <w:right w:val="none" w:sz="0" w:space="0" w:color="auto"/>
          </w:divBdr>
        </w:div>
        <w:div w:id="1564834443">
          <w:marLeft w:val="1166"/>
          <w:marRight w:val="0"/>
          <w:marTop w:val="106"/>
          <w:marBottom w:val="0"/>
          <w:divBdr>
            <w:top w:val="none" w:sz="0" w:space="0" w:color="auto"/>
            <w:left w:val="none" w:sz="0" w:space="0" w:color="auto"/>
            <w:bottom w:val="none" w:sz="0" w:space="0" w:color="auto"/>
            <w:right w:val="none" w:sz="0" w:space="0" w:color="auto"/>
          </w:divBdr>
        </w:div>
        <w:div w:id="1528592410">
          <w:marLeft w:val="1166"/>
          <w:marRight w:val="0"/>
          <w:marTop w:val="106"/>
          <w:marBottom w:val="0"/>
          <w:divBdr>
            <w:top w:val="none" w:sz="0" w:space="0" w:color="auto"/>
            <w:left w:val="none" w:sz="0" w:space="0" w:color="auto"/>
            <w:bottom w:val="none" w:sz="0" w:space="0" w:color="auto"/>
            <w:right w:val="none" w:sz="0" w:space="0" w:color="auto"/>
          </w:divBdr>
        </w:div>
      </w:divsChild>
    </w:div>
    <w:div w:id="741564838">
      <w:bodyDiv w:val="1"/>
      <w:marLeft w:val="0"/>
      <w:marRight w:val="0"/>
      <w:marTop w:val="0"/>
      <w:marBottom w:val="0"/>
      <w:divBdr>
        <w:top w:val="none" w:sz="0" w:space="0" w:color="auto"/>
        <w:left w:val="none" w:sz="0" w:space="0" w:color="auto"/>
        <w:bottom w:val="none" w:sz="0" w:space="0" w:color="auto"/>
        <w:right w:val="none" w:sz="0" w:space="0" w:color="auto"/>
      </w:divBdr>
    </w:div>
    <w:div w:id="929771587">
      <w:bodyDiv w:val="1"/>
      <w:marLeft w:val="0"/>
      <w:marRight w:val="0"/>
      <w:marTop w:val="0"/>
      <w:marBottom w:val="0"/>
      <w:divBdr>
        <w:top w:val="none" w:sz="0" w:space="0" w:color="auto"/>
        <w:left w:val="none" w:sz="0" w:space="0" w:color="auto"/>
        <w:bottom w:val="none" w:sz="0" w:space="0" w:color="auto"/>
        <w:right w:val="none" w:sz="0" w:space="0" w:color="auto"/>
      </w:divBdr>
      <w:divsChild>
        <w:div w:id="874848159">
          <w:marLeft w:val="1166"/>
          <w:marRight w:val="0"/>
          <w:marTop w:val="154"/>
          <w:marBottom w:val="0"/>
          <w:divBdr>
            <w:top w:val="none" w:sz="0" w:space="0" w:color="auto"/>
            <w:left w:val="none" w:sz="0" w:space="0" w:color="auto"/>
            <w:bottom w:val="none" w:sz="0" w:space="0" w:color="auto"/>
            <w:right w:val="none" w:sz="0" w:space="0" w:color="auto"/>
          </w:divBdr>
        </w:div>
      </w:divsChild>
    </w:div>
    <w:div w:id="952055247">
      <w:bodyDiv w:val="1"/>
      <w:marLeft w:val="0"/>
      <w:marRight w:val="0"/>
      <w:marTop w:val="0"/>
      <w:marBottom w:val="0"/>
      <w:divBdr>
        <w:top w:val="none" w:sz="0" w:space="0" w:color="auto"/>
        <w:left w:val="none" w:sz="0" w:space="0" w:color="auto"/>
        <w:bottom w:val="none" w:sz="0" w:space="0" w:color="auto"/>
        <w:right w:val="none" w:sz="0" w:space="0" w:color="auto"/>
      </w:divBdr>
    </w:div>
    <w:div w:id="983461313">
      <w:bodyDiv w:val="1"/>
      <w:marLeft w:val="0"/>
      <w:marRight w:val="0"/>
      <w:marTop w:val="0"/>
      <w:marBottom w:val="0"/>
      <w:divBdr>
        <w:top w:val="none" w:sz="0" w:space="0" w:color="auto"/>
        <w:left w:val="none" w:sz="0" w:space="0" w:color="auto"/>
        <w:bottom w:val="none" w:sz="0" w:space="0" w:color="auto"/>
        <w:right w:val="none" w:sz="0" w:space="0" w:color="auto"/>
      </w:divBdr>
    </w:div>
    <w:div w:id="1033459555">
      <w:bodyDiv w:val="1"/>
      <w:marLeft w:val="0"/>
      <w:marRight w:val="0"/>
      <w:marTop w:val="0"/>
      <w:marBottom w:val="0"/>
      <w:divBdr>
        <w:top w:val="none" w:sz="0" w:space="0" w:color="auto"/>
        <w:left w:val="none" w:sz="0" w:space="0" w:color="auto"/>
        <w:bottom w:val="none" w:sz="0" w:space="0" w:color="auto"/>
        <w:right w:val="none" w:sz="0" w:space="0" w:color="auto"/>
      </w:divBdr>
    </w:div>
    <w:div w:id="1125738062">
      <w:bodyDiv w:val="1"/>
      <w:marLeft w:val="0"/>
      <w:marRight w:val="0"/>
      <w:marTop w:val="0"/>
      <w:marBottom w:val="0"/>
      <w:divBdr>
        <w:top w:val="none" w:sz="0" w:space="0" w:color="auto"/>
        <w:left w:val="none" w:sz="0" w:space="0" w:color="auto"/>
        <w:bottom w:val="none" w:sz="0" w:space="0" w:color="auto"/>
        <w:right w:val="none" w:sz="0" w:space="0" w:color="auto"/>
      </w:divBdr>
    </w:div>
    <w:div w:id="1170290391">
      <w:bodyDiv w:val="1"/>
      <w:marLeft w:val="0"/>
      <w:marRight w:val="0"/>
      <w:marTop w:val="0"/>
      <w:marBottom w:val="0"/>
      <w:divBdr>
        <w:top w:val="none" w:sz="0" w:space="0" w:color="auto"/>
        <w:left w:val="none" w:sz="0" w:space="0" w:color="auto"/>
        <w:bottom w:val="none" w:sz="0" w:space="0" w:color="auto"/>
        <w:right w:val="none" w:sz="0" w:space="0" w:color="auto"/>
      </w:divBdr>
    </w:div>
    <w:div w:id="1262107640">
      <w:bodyDiv w:val="1"/>
      <w:marLeft w:val="0"/>
      <w:marRight w:val="0"/>
      <w:marTop w:val="0"/>
      <w:marBottom w:val="0"/>
      <w:divBdr>
        <w:top w:val="none" w:sz="0" w:space="0" w:color="auto"/>
        <w:left w:val="none" w:sz="0" w:space="0" w:color="auto"/>
        <w:bottom w:val="none" w:sz="0" w:space="0" w:color="auto"/>
        <w:right w:val="none" w:sz="0" w:space="0" w:color="auto"/>
      </w:divBdr>
      <w:divsChild>
        <w:div w:id="722757762">
          <w:marLeft w:val="547"/>
          <w:marRight w:val="0"/>
          <w:marTop w:val="134"/>
          <w:marBottom w:val="0"/>
          <w:divBdr>
            <w:top w:val="none" w:sz="0" w:space="0" w:color="auto"/>
            <w:left w:val="none" w:sz="0" w:space="0" w:color="auto"/>
            <w:bottom w:val="none" w:sz="0" w:space="0" w:color="auto"/>
            <w:right w:val="none" w:sz="0" w:space="0" w:color="auto"/>
          </w:divBdr>
        </w:div>
        <w:div w:id="1733846083">
          <w:marLeft w:val="1166"/>
          <w:marRight w:val="0"/>
          <w:marTop w:val="115"/>
          <w:marBottom w:val="0"/>
          <w:divBdr>
            <w:top w:val="none" w:sz="0" w:space="0" w:color="auto"/>
            <w:left w:val="none" w:sz="0" w:space="0" w:color="auto"/>
            <w:bottom w:val="none" w:sz="0" w:space="0" w:color="auto"/>
            <w:right w:val="none" w:sz="0" w:space="0" w:color="auto"/>
          </w:divBdr>
        </w:div>
        <w:div w:id="1954357466">
          <w:marLeft w:val="1166"/>
          <w:marRight w:val="0"/>
          <w:marTop w:val="115"/>
          <w:marBottom w:val="0"/>
          <w:divBdr>
            <w:top w:val="none" w:sz="0" w:space="0" w:color="auto"/>
            <w:left w:val="none" w:sz="0" w:space="0" w:color="auto"/>
            <w:bottom w:val="none" w:sz="0" w:space="0" w:color="auto"/>
            <w:right w:val="none" w:sz="0" w:space="0" w:color="auto"/>
          </w:divBdr>
        </w:div>
        <w:div w:id="1802072475">
          <w:marLeft w:val="1166"/>
          <w:marRight w:val="0"/>
          <w:marTop w:val="115"/>
          <w:marBottom w:val="0"/>
          <w:divBdr>
            <w:top w:val="none" w:sz="0" w:space="0" w:color="auto"/>
            <w:left w:val="none" w:sz="0" w:space="0" w:color="auto"/>
            <w:bottom w:val="none" w:sz="0" w:space="0" w:color="auto"/>
            <w:right w:val="none" w:sz="0" w:space="0" w:color="auto"/>
          </w:divBdr>
        </w:div>
        <w:div w:id="1601334098">
          <w:marLeft w:val="1166"/>
          <w:marRight w:val="0"/>
          <w:marTop w:val="115"/>
          <w:marBottom w:val="0"/>
          <w:divBdr>
            <w:top w:val="none" w:sz="0" w:space="0" w:color="auto"/>
            <w:left w:val="none" w:sz="0" w:space="0" w:color="auto"/>
            <w:bottom w:val="none" w:sz="0" w:space="0" w:color="auto"/>
            <w:right w:val="none" w:sz="0" w:space="0" w:color="auto"/>
          </w:divBdr>
        </w:div>
      </w:divsChild>
    </w:div>
    <w:div w:id="1542014559">
      <w:bodyDiv w:val="1"/>
      <w:marLeft w:val="0"/>
      <w:marRight w:val="0"/>
      <w:marTop w:val="0"/>
      <w:marBottom w:val="0"/>
      <w:divBdr>
        <w:top w:val="none" w:sz="0" w:space="0" w:color="auto"/>
        <w:left w:val="none" w:sz="0" w:space="0" w:color="auto"/>
        <w:bottom w:val="none" w:sz="0" w:space="0" w:color="auto"/>
        <w:right w:val="none" w:sz="0" w:space="0" w:color="auto"/>
      </w:divBdr>
    </w:div>
    <w:div w:id="19326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13FF3-5607-48CA-845A-E8BFE9FC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1027</dc:creator>
  <cp:lastModifiedBy>0803</cp:lastModifiedBy>
  <cp:revision>9</cp:revision>
  <cp:lastPrinted>2015-11-17T03:04:00Z</cp:lastPrinted>
  <dcterms:created xsi:type="dcterms:W3CDTF">2016-02-19T08:29:00Z</dcterms:created>
  <dcterms:modified xsi:type="dcterms:W3CDTF">2016-03-04T06:45:00Z</dcterms:modified>
</cp:coreProperties>
</file>