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67" w:rsidRDefault="00C15267" w:rsidP="00061CFE">
      <w:pPr>
        <w:jc w:val="center"/>
        <w:rPr>
          <w:rFonts w:ascii="Times New Roman" w:eastAsia="標楷體" w:hAnsi="標楷體"/>
          <w:b/>
          <w:sz w:val="28"/>
          <w:szCs w:val="28"/>
        </w:rPr>
      </w:pPr>
      <w:r w:rsidRPr="003D0AB5">
        <w:rPr>
          <w:rFonts w:ascii="Times New Roman" w:eastAsia="標楷體" w:hAnsi="標楷體"/>
          <w:b/>
          <w:sz w:val="28"/>
          <w:szCs w:val="28"/>
        </w:rPr>
        <w:t xml:space="preserve">Scope of </w:t>
      </w:r>
      <w:r>
        <w:rPr>
          <w:rFonts w:ascii="Times New Roman" w:eastAsia="標楷體" w:hAnsi="標楷體"/>
          <w:b/>
          <w:sz w:val="28"/>
          <w:szCs w:val="28"/>
        </w:rPr>
        <w:t xml:space="preserve">securities </w:t>
      </w:r>
      <w:r w:rsidRPr="003D0AB5">
        <w:rPr>
          <w:rFonts w:ascii="Times New Roman" w:eastAsia="標楷體" w:hAnsi="標楷體"/>
          <w:b/>
          <w:sz w:val="28"/>
          <w:szCs w:val="28"/>
        </w:rPr>
        <w:t>day trading will be expanded since June 1</w:t>
      </w:r>
      <w:r w:rsidRPr="003D0AB5">
        <w:rPr>
          <w:rFonts w:ascii="Times New Roman" w:eastAsia="標楷體" w:hAnsi="標楷體"/>
          <w:b/>
          <w:sz w:val="28"/>
          <w:szCs w:val="28"/>
          <w:vertAlign w:val="superscript"/>
        </w:rPr>
        <w:t>st</w:t>
      </w:r>
      <w:r w:rsidRPr="003D0AB5">
        <w:rPr>
          <w:rFonts w:ascii="Times New Roman" w:eastAsia="標楷體" w:hAnsi="標楷體"/>
          <w:b/>
          <w:sz w:val="28"/>
          <w:szCs w:val="28"/>
        </w:rPr>
        <w:t>, 2015</w:t>
      </w:r>
    </w:p>
    <w:p w:rsidR="00FF6F92" w:rsidRPr="003D0AB5" w:rsidRDefault="00FF6F92" w:rsidP="00061CFE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C15267" w:rsidRPr="003D0AB5" w:rsidRDefault="00C15267" w:rsidP="00FA250A">
      <w:pPr>
        <w:rPr>
          <w:rFonts w:ascii="Times New Roman" w:hAnsi="Times New Roman"/>
          <w:sz w:val="28"/>
          <w:szCs w:val="28"/>
        </w:rPr>
      </w:pPr>
      <w:r w:rsidRPr="003D0AB5">
        <w:rPr>
          <w:rFonts w:ascii="Times New Roman" w:hAnsi="Times New Roman"/>
          <w:sz w:val="28"/>
          <w:szCs w:val="28"/>
        </w:rPr>
        <w:t xml:space="preserve">Day trading </w:t>
      </w:r>
      <w:r w:rsidR="000B4080">
        <w:rPr>
          <w:rFonts w:ascii="Times New Roman" w:hAnsi="Times New Roman" w:hint="eastAsia"/>
          <w:sz w:val="28"/>
          <w:szCs w:val="28"/>
        </w:rPr>
        <w:t>has been</w:t>
      </w:r>
      <w:r w:rsidRPr="003D0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permitted</w:t>
      </w:r>
      <w:r w:rsidRPr="003D0AB5">
        <w:rPr>
          <w:rFonts w:ascii="Times New Roman" w:hAnsi="Times New Roman"/>
          <w:sz w:val="28"/>
          <w:szCs w:val="28"/>
        </w:rPr>
        <w:t xml:space="preserve"> since 2014, and currently components stocks of the Taiwan 50 Index</w:t>
      </w:r>
      <w:r w:rsidR="007F5E3A">
        <w:rPr>
          <w:rFonts w:ascii="Times New Roman" w:hAnsi="Times New Roman" w:hint="eastAsia"/>
          <w:sz w:val="28"/>
          <w:szCs w:val="28"/>
        </w:rPr>
        <w:t>,</w:t>
      </w:r>
      <w:r w:rsidRPr="003D0AB5">
        <w:rPr>
          <w:rFonts w:ascii="Times New Roman" w:hAnsi="Times New Roman"/>
          <w:sz w:val="28"/>
          <w:szCs w:val="28"/>
        </w:rPr>
        <w:t xml:space="preserve"> Taiwan Mid-Cap 100 Index and Taipei Exchange’s TPEx</w:t>
      </w:r>
      <w:r w:rsidR="007F5E3A">
        <w:rPr>
          <w:rFonts w:ascii="Times New Roman" w:hAnsi="Times New Roman" w:hint="eastAsia"/>
          <w:sz w:val="28"/>
          <w:szCs w:val="28"/>
        </w:rPr>
        <w:t xml:space="preserve"> </w:t>
      </w:r>
      <w:r w:rsidRPr="003D0AB5">
        <w:rPr>
          <w:rFonts w:ascii="Times New Roman" w:hAnsi="Times New Roman"/>
          <w:sz w:val="28"/>
          <w:szCs w:val="28"/>
        </w:rPr>
        <w:t xml:space="preserve">50 </w:t>
      </w:r>
      <w:r w:rsidR="00961B59">
        <w:rPr>
          <w:rFonts w:ascii="Times New Roman" w:hAnsi="Times New Roman" w:hint="eastAsia"/>
          <w:sz w:val="28"/>
          <w:szCs w:val="28"/>
        </w:rPr>
        <w:t>I</w:t>
      </w:r>
      <w:r w:rsidRPr="003D0AB5">
        <w:rPr>
          <w:rFonts w:ascii="Times New Roman" w:hAnsi="Times New Roman"/>
          <w:sz w:val="28"/>
          <w:szCs w:val="28"/>
        </w:rPr>
        <w:t xml:space="preserve">ndex are eligible for </w:t>
      </w:r>
      <w:r>
        <w:rPr>
          <w:rFonts w:ascii="Times New Roman" w:hAnsi="Times New Roman"/>
          <w:sz w:val="28"/>
          <w:szCs w:val="28"/>
        </w:rPr>
        <w:t xml:space="preserve">securities </w:t>
      </w:r>
      <w:r w:rsidRPr="003D0AB5">
        <w:rPr>
          <w:rFonts w:ascii="Times New Roman" w:hAnsi="Times New Roman"/>
          <w:sz w:val="28"/>
          <w:szCs w:val="28"/>
        </w:rPr>
        <w:t xml:space="preserve">day trading. </w:t>
      </w:r>
      <w:r w:rsidR="007F5E3A">
        <w:rPr>
          <w:rFonts w:ascii="Times New Roman" w:hAnsi="Times New Roman" w:hint="eastAsia"/>
          <w:sz w:val="28"/>
          <w:szCs w:val="28"/>
        </w:rPr>
        <w:t>From</w:t>
      </w:r>
      <w:r w:rsidRPr="003D0AB5">
        <w:rPr>
          <w:rFonts w:ascii="Times New Roman" w:hAnsi="Times New Roman"/>
          <w:sz w:val="28"/>
          <w:szCs w:val="28"/>
        </w:rPr>
        <w:t xml:space="preserve"> June 1</w:t>
      </w:r>
      <w:r w:rsidRPr="003D0AB5">
        <w:rPr>
          <w:rFonts w:ascii="Times New Roman" w:hAnsi="Times New Roman"/>
          <w:sz w:val="28"/>
          <w:szCs w:val="28"/>
          <w:vertAlign w:val="superscript"/>
        </w:rPr>
        <w:t>st</w:t>
      </w:r>
      <w:r w:rsidRPr="003D0AB5">
        <w:rPr>
          <w:rFonts w:ascii="Times New Roman" w:hAnsi="Times New Roman"/>
          <w:sz w:val="28"/>
          <w:szCs w:val="28"/>
        </w:rPr>
        <w:t>, 2015, besides components stocks of the Taiwan 50 Index</w:t>
      </w:r>
      <w:r w:rsidR="00961B59">
        <w:rPr>
          <w:rFonts w:ascii="Times New Roman" w:hAnsi="Times New Roman" w:hint="eastAsia"/>
          <w:sz w:val="28"/>
          <w:szCs w:val="28"/>
        </w:rPr>
        <w:t>,</w:t>
      </w:r>
      <w:r w:rsidRPr="003D0AB5">
        <w:rPr>
          <w:rFonts w:ascii="Times New Roman" w:hAnsi="Times New Roman"/>
          <w:sz w:val="28"/>
          <w:szCs w:val="28"/>
        </w:rPr>
        <w:t xml:space="preserve"> Taiwan Mid-Cap 100 Index and the Taipei Exchange’s TPEx</w:t>
      </w:r>
      <w:r w:rsidR="007F5E3A">
        <w:rPr>
          <w:rFonts w:ascii="Times New Roman" w:hAnsi="Times New Roman" w:hint="eastAsia"/>
          <w:sz w:val="28"/>
          <w:szCs w:val="28"/>
        </w:rPr>
        <w:t xml:space="preserve"> </w:t>
      </w:r>
      <w:r w:rsidRPr="003D0AB5">
        <w:rPr>
          <w:rFonts w:ascii="Times New Roman" w:hAnsi="Times New Roman"/>
          <w:sz w:val="28"/>
          <w:szCs w:val="28"/>
        </w:rPr>
        <w:t xml:space="preserve">50 </w:t>
      </w:r>
      <w:r w:rsidR="00961B59">
        <w:rPr>
          <w:rFonts w:ascii="Times New Roman" w:hAnsi="Times New Roman" w:hint="eastAsia"/>
          <w:sz w:val="28"/>
          <w:szCs w:val="28"/>
        </w:rPr>
        <w:t>I</w:t>
      </w:r>
      <w:r w:rsidRPr="003D0AB5">
        <w:rPr>
          <w:rFonts w:ascii="Times New Roman" w:hAnsi="Times New Roman"/>
          <w:sz w:val="28"/>
          <w:szCs w:val="28"/>
        </w:rPr>
        <w:t xml:space="preserve">ndex, </w:t>
      </w:r>
      <w:r w:rsidRPr="00071191">
        <w:rPr>
          <w:rFonts w:ascii="Times New Roman" w:hAnsi="Times New Roman"/>
          <w:b/>
          <w:bCs/>
          <w:sz w:val="28"/>
          <w:szCs w:val="28"/>
        </w:rPr>
        <w:t xml:space="preserve">underlying stocks of warrants (including underlying stocks of warrants allowed to be issued by Class A issuers) announced by </w:t>
      </w:r>
      <w:r w:rsidR="007F5E3A">
        <w:rPr>
          <w:rFonts w:ascii="Times New Roman" w:hAnsi="Times New Roman" w:hint="eastAsia"/>
          <w:b/>
          <w:bCs/>
          <w:sz w:val="28"/>
          <w:szCs w:val="28"/>
        </w:rPr>
        <w:t xml:space="preserve">the </w:t>
      </w:r>
      <w:r w:rsidRPr="00071191">
        <w:rPr>
          <w:rFonts w:ascii="Times New Roman" w:hAnsi="Times New Roman"/>
          <w:b/>
          <w:bCs/>
          <w:sz w:val="28"/>
          <w:szCs w:val="28"/>
        </w:rPr>
        <w:t xml:space="preserve">Taiwan Stock Exchange or Taipei Exchange </w:t>
      </w:r>
      <w:r w:rsidRPr="003D0AB5">
        <w:rPr>
          <w:rFonts w:ascii="Times New Roman" w:hAnsi="Times New Roman"/>
          <w:sz w:val="28"/>
          <w:szCs w:val="28"/>
        </w:rPr>
        <w:t xml:space="preserve">and </w:t>
      </w:r>
      <w:r w:rsidRPr="00071191">
        <w:rPr>
          <w:rFonts w:ascii="Times New Roman" w:hAnsi="Times New Roman"/>
          <w:b/>
          <w:bCs/>
          <w:sz w:val="28"/>
          <w:szCs w:val="28"/>
        </w:rPr>
        <w:t xml:space="preserve">all ETFs listed </w:t>
      </w:r>
      <w:r w:rsidR="007F5E3A">
        <w:rPr>
          <w:rFonts w:ascii="Times New Roman" w:hAnsi="Times New Roman" w:hint="eastAsia"/>
          <w:b/>
          <w:bCs/>
          <w:sz w:val="28"/>
          <w:szCs w:val="28"/>
        </w:rPr>
        <w:t>on the</w:t>
      </w:r>
      <w:r w:rsidRPr="00071191">
        <w:rPr>
          <w:rFonts w:ascii="Times New Roman" w:hAnsi="Times New Roman"/>
          <w:b/>
          <w:bCs/>
          <w:sz w:val="28"/>
          <w:szCs w:val="28"/>
        </w:rPr>
        <w:t xml:space="preserve"> Taiwan Stock Exchange or Taipei Exchange </w:t>
      </w:r>
      <w:r w:rsidR="007F5E3A">
        <w:rPr>
          <w:rFonts w:ascii="Times New Roman" w:hAnsi="Times New Roman" w:hint="eastAsia"/>
          <w:sz w:val="28"/>
          <w:szCs w:val="28"/>
        </w:rPr>
        <w:t>will</w:t>
      </w:r>
      <w:r w:rsidRPr="003D0AB5">
        <w:rPr>
          <w:rFonts w:ascii="Times New Roman" w:hAnsi="Times New Roman"/>
          <w:sz w:val="28"/>
          <w:szCs w:val="28"/>
        </w:rPr>
        <w:t xml:space="preserve"> also </w:t>
      </w:r>
      <w:r w:rsidR="007F5E3A">
        <w:rPr>
          <w:rFonts w:ascii="Times New Roman" w:hAnsi="Times New Roman" w:hint="eastAsia"/>
          <w:sz w:val="28"/>
          <w:szCs w:val="28"/>
        </w:rPr>
        <w:t xml:space="preserve">be </w:t>
      </w:r>
      <w:r w:rsidRPr="003D0AB5">
        <w:rPr>
          <w:rFonts w:ascii="Times New Roman" w:hAnsi="Times New Roman"/>
          <w:sz w:val="28"/>
          <w:szCs w:val="28"/>
        </w:rPr>
        <w:t>eligible for day trading.</w:t>
      </w:r>
    </w:p>
    <w:p w:rsidR="00C15267" w:rsidRPr="00D404CD" w:rsidRDefault="00C15267" w:rsidP="009B58F8">
      <w:pPr>
        <w:pStyle w:val="a3"/>
        <w:spacing w:afterLines="50" w:line="480" w:lineRule="exact"/>
        <w:ind w:leftChars="-59" w:left="284" w:hangingChars="152" w:hanging="426"/>
        <w:rPr>
          <w:rFonts w:ascii="Times New Roman" w:eastAsia="標楷體" w:hAnsi="Times New Roman"/>
          <w:b/>
          <w:sz w:val="28"/>
          <w:szCs w:val="28"/>
        </w:rPr>
      </w:pPr>
      <w:r w:rsidRPr="00D404CD">
        <w:rPr>
          <w:rFonts w:ascii="Times New Roman" w:eastAsia="標楷體" w:hAnsi="Times New Roman"/>
          <w:b/>
          <w:sz w:val="28"/>
          <w:szCs w:val="28"/>
        </w:rPr>
        <w:t xml:space="preserve">1. </w:t>
      </w:r>
      <w:r w:rsidR="007F5E3A">
        <w:rPr>
          <w:rFonts w:ascii="Times New Roman" w:eastAsia="標楷體" w:hAnsi="Times New Roman" w:hint="eastAsia"/>
          <w:b/>
          <w:sz w:val="28"/>
          <w:szCs w:val="28"/>
        </w:rPr>
        <w:t>M</w:t>
      </w:r>
      <w:r w:rsidRPr="00D404CD">
        <w:rPr>
          <w:rFonts w:ascii="Times New Roman" w:eastAsia="標楷體" w:hAnsi="Times New Roman"/>
          <w:b/>
          <w:sz w:val="28"/>
          <w:szCs w:val="28"/>
        </w:rPr>
        <w:t xml:space="preserve">ethod of </w:t>
      </w:r>
      <w:r w:rsidR="007F5E3A">
        <w:rPr>
          <w:rFonts w:ascii="Times New Roman" w:eastAsia="標楷體" w:hAnsi="Times New Roman" w:hint="eastAsia"/>
          <w:b/>
          <w:sz w:val="28"/>
          <w:szCs w:val="28"/>
        </w:rPr>
        <w:t>selection</w:t>
      </w:r>
      <w:r w:rsidR="00D34A66">
        <w:rPr>
          <w:rFonts w:ascii="Times New Roman" w:eastAsia="標楷體" w:hAnsi="Times New Roman" w:hint="eastAsia"/>
          <w:b/>
          <w:sz w:val="28"/>
          <w:szCs w:val="28"/>
        </w:rPr>
        <w:t xml:space="preserve"> of</w:t>
      </w:r>
      <w:r w:rsidR="007F5E3A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Pr="00D404CD">
        <w:rPr>
          <w:rFonts w:ascii="Times New Roman" w:eastAsia="標楷體" w:hAnsi="Times New Roman"/>
          <w:b/>
          <w:sz w:val="28"/>
          <w:szCs w:val="28"/>
        </w:rPr>
        <w:t xml:space="preserve">stocks eligible for warrants </w:t>
      </w:r>
      <w:r>
        <w:rPr>
          <w:rFonts w:ascii="Times New Roman" w:eastAsia="標楷體" w:hAnsi="Times New Roman"/>
          <w:b/>
          <w:sz w:val="28"/>
          <w:szCs w:val="28"/>
        </w:rPr>
        <w:t>issuance</w:t>
      </w:r>
    </w:p>
    <w:p w:rsidR="00C15267" w:rsidRDefault="00C15267" w:rsidP="00BC78E8">
      <w:pPr>
        <w:ind w:leftChars="118" w:left="283"/>
        <w:rPr>
          <w:rFonts w:ascii="Times New Roman" w:hAnsi="Times New Roman"/>
          <w:sz w:val="28"/>
          <w:szCs w:val="28"/>
        </w:rPr>
      </w:pPr>
      <w:r w:rsidRPr="003D0AB5">
        <w:rPr>
          <w:rFonts w:ascii="Times New Roman" w:hAnsi="Times New Roman"/>
          <w:sz w:val="28"/>
          <w:szCs w:val="28"/>
        </w:rPr>
        <w:t xml:space="preserve">Selection criteria of stocks eligible for warrants </w:t>
      </w:r>
      <w:r>
        <w:rPr>
          <w:rFonts w:ascii="Times New Roman" w:hAnsi="Times New Roman"/>
          <w:sz w:val="28"/>
          <w:szCs w:val="28"/>
        </w:rPr>
        <w:t>issuance</w:t>
      </w:r>
      <w:r w:rsidRPr="003D0AB5">
        <w:rPr>
          <w:rFonts w:ascii="Times New Roman" w:hAnsi="Times New Roman"/>
          <w:sz w:val="28"/>
          <w:szCs w:val="28"/>
        </w:rPr>
        <w:t xml:space="preserve"> include market value, liquidity and financial status, and </w:t>
      </w:r>
      <w:r w:rsidR="00D34A66">
        <w:rPr>
          <w:rFonts w:ascii="Times New Roman" w:hAnsi="Times New Roman" w:hint="eastAsia"/>
          <w:sz w:val="28"/>
          <w:szCs w:val="28"/>
        </w:rPr>
        <w:t>are</w:t>
      </w:r>
      <w:r w:rsidRPr="003D0AB5">
        <w:rPr>
          <w:rFonts w:ascii="Times New Roman" w:hAnsi="Times New Roman"/>
          <w:sz w:val="28"/>
          <w:szCs w:val="28"/>
        </w:rPr>
        <w:t xml:space="preserve"> subject to quarterly review </w:t>
      </w:r>
      <w:r w:rsidR="00D34A66">
        <w:rPr>
          <w:rFonts w:ascii="Times New Roman" w:hAnsi="Times New Roman" w:hint="eastAsia"/>
          <w:sz w:val="28"/>
          <w:szCs w:val="28"/>
        </w:rPr>
        <w:t>in</w:t>
      </w:r>
      <w:r w:rsidRPr="003D0AB5">
        <w:rPr>
          <w:rFonts w:ascii="Times New Roman" w:hAnsi="Times New Roman"/>
          <w:sz w:val="28"/>
          <w:szCs w:val="28"/>
        </w:rPr>
        <w:t xml:space="preserve"> March, June, September and December each year</w:t>
      </w:r>
      <w:r w:rsidR="00D34A66">
        <w:rPr>
          <w:rFonts w:ascii="Times New Roman" w:hAnsi="Times New Roman" w:hint="eastAsia"/>
          <w:sz w:val="28"/>
          <w:szCs w:val="28"/>
        </w:rPr>
        <w:t>. The</w:t>
      </w:r>
      <w:r w:rsidRPr="003D0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eligibility </w:t>
      </w:r>
      <w:r w:rsidRPr="003D0AB5">
        <w:rPr>
          <w:rFonts w:ascii="Times New Roman" w:hAnsi="Times New Roman"/>
          <w:sz w:val="28"/>
          <w:szCs w:val="28"/>
        </w:rPr>
        <w:t>will be effective on the first business day of next month</w:t>
      </w:r>
      <w:r w:rsidR="00A41654">
        <w:rPr>
          <w:rFonts w:ascii="Times New Roman" w:hAnsi="Times New Roman" w:hint="eastAsia"/>
          <w:sz w:val="28"/>
          <w:szCs w:val="28"/>
        </w:rPr>
        <w:t>. A</w:t>
      </w:r>
      <w:r w:rsidRPr="003D0AB5">
        <w:rPr>
          <w:rFonts w:ascii="Times New Roman" w:hAnsi="Times New Roman"/>
          <w:sz w:val="28"/>
          <w:szCs w:val="28"/>
        </w:rPr>
        <w:t>djustments will be made after reviews of quarterly and s</w:t>
      </w:r>
      <w:bookmarkStart w:id="0" w:name="_GoBack"/>
      <w:bookmarkEnd w:id="0"/>
      <w:r w:rsidRPr="003D0AB5">
        <w:rPr>
          <w:rFonts w:ascii="Times New Roman" w:hAnsi="Times New Roman"/>
          <w:sz w:val="28"/>
          <w:szCs w:val="28"/>
        </w:rPr>
        <w:t xml:space="preserve">emiannual reports </w:t>
      </w:r>
      <w:r w:rsidR="00A41654">
        <w:rPr>
          <w:rFonts w:ascii="Times New Roman" w:hAnsi="Times New Roman" w:hint="eastAsia"/>
          <w:sz w:val="28"/>
          <w:szCs w:val="28"/>
        </w:rPr>
        <w:t>in</w:t>
      </w:r>
      <w:r w:rsidRPr="003D0AB5">
        <w:rPr>
          <w:rFonts w:ascii="Times New Roman" w:hAnsi="Times New Roman"/>
          <w:sz w:val="28"/>
          <w:szCs w:val="28"/>
        </w:rPr>
        <w:t xml:space="preserve"> </w:t>
      </w:r>
      <w:r w:rsidR="00A41654">
        <w:rPr>
          <w:rFonts w:ascii="Times New Roman" w:hAnsi="Times New Roman" w:hint="eastAsia"/>
          <w:sz w:val="28"/>
          <w:szCs w:val="28"/>
        </w:rPr>
        <w:t>mid-</w:t>
      </w:r>
      <w:r w:rsidRPr="003D0AB5">
        <w:rPr>
          <w:rFonts w:ascii="Times New Roman" w:hAnsi="Times New Roman"/>
          <w:sz w:val="28"/>
          <w:szCs w:val="28"/>
        </w:rPr>
        <w:t xml:space="preserve">May, </w:t>
      </w:r>
      <w:r w:rsidR="00A41654">
        <w:rPr>
          <w:rFonts w:ascii="Times New Roman" w:hAnsi="Times New Roman" w:hint="eastAsia"/>
          <w:sz w:val="28"/>
          <w:szCs w:val="28"/>
        </w:rPr>
        <w:t>mid-</w:t>
      </w:r>
      <w:r w:rsidRPr="003D0AB5">
        <w:rPr>
          <w:rFonts w:ascii="Times New Roman" w:hAnsi="Times New Roman"/>
          <w:sz w:val="28"/>
          <w:szCs w:val="28"/>
        </w:rPr>
        <w:t>August and mid-November each year.</w:t>
      </w:r>
    </w:p>
    <w:p w:rsidR="00A41654" w:rsidRPr="003D0AB5" w:rsidRDefault="00A41654" w:rsidP="00CF2014">
      <w:pPr>
        <w:rPr>
          <w:rFonts w:ascii="Times New Roman" w:hAnsi="Times New Roman"/>
          <w:sz w:val="28"/>
          <w:szCs w:val="28"/>
        </w:rPr>
      </w:pPr>
    </w:p>
    <w:p w:rsidR="00C15267" w:rsidRDefault="00C15267" w:rsidP="00CF2014">
      <w:pPr>
        <w:rPr>
          <w:rFonts w:ascii="Times New Roman" w:hAnsi="Times New Roman"/>
          <w:sz w:val="28"/>
          <w:szCs w:val="28"/>
        </w:rPr>
      </w:pPr>
      <w:r w:rsidRPr="003D0AB5">
        <w:rPr>
          <w:rFonts w:ascii="Times New Roman" w:hAnsi="Times New Roman"/>
          <w:sz w:val="28"/>
          <w:szCs w:val="28"/>
        </w:rPr>
        <w:t xml:space="preserve">2. Effective </w:t>
      </w:r>
      <w:r w:rsidR="00A41654">
        <w:rPr>
          <w:rFonts w:ascii="Times New Roman" w:hAnsi="Times New Roman" w:hint="eastAsia"/>
          <w:sz w:val="28"/>
          <w:szCs w:val="28"/>
        </w:rPr>
        <w:t>date of</w:t>
      </w:r>
      <w:r w:rsidRPr="003D0AB5">
        <w:rPr>
          <w:rFonts w:ascii="Times New Roman" w:hAnsi="Times New Roman"/>
          <w:sz w:val="28"/>
          <w:szCs w:val="28"/>
        </w:rPr>
        <w:t xml:space="preserve"> day trading</w:t>
      </w:r>
    </w:p>
    <w:p w:rsidR="00A41654" w:rsidRPr="003D0AB5" w:rsidRDefault="00A41654" w:rsidP="00CF2014">
      <w:pPr>
        <w:rPr>
          <w:rFonts w:ascii="Times New Roman" w:hAnsi="Times New Roman"/>
          <w:sz w:val="28"/>
          <w:szCs w:val="28"/>
        </w:rPr>
      </w:pPr>
    </w:p>
    <w:p w:rsidR="00C15267" w:rsidRDefault="00C15267" w:rsidP="00CF2014">
      <w:pPr>
        <w:rPr>
          <w:rFonts w:ascii="Times New Roman" w:hAnsi="Times New Roman"/>
          <w:sz w:val="28"/>
          <w:szCs w:val="28"/>
        </w:rPr>
      </w:pPr>
      <w:r w:rsidRPr="003D0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AB5">
        <w:rPr>
          <w:rFonts w:ascii="Times New Roman" w:hAnsi="Times New Roman"/>
          <w:sz w:val="28"/>
          <w:szCs w:val="28"/>
        </w:rPr>
        <w:t>(1) Underlying stocks of warrants:</w:t>
      </w:r>
    </w:p>
    <w:p w:rsidR="00A41654" w:rsidRPr="003D0AB5" w:rsidRDefault="00A41654" w:rsidP="00CF2014">
      <w:pPr>
        <w:rPr>
          <w:rFonts w:ascii="Times New Roman" w:hAnsi="Times New Roman"/>
          <w:sz w:val="28"/>
          <w:szCs w:val="28"/>
        </w:rPr>
      </w:pPr>
    </w:p>
    <w:p w:rsidR="00961B59" w:rsidRDefault="00DA4E98" w:rsidP="008F3BA6">
      <w:pPr>
        <w:ind w:leftChars="316" w:left="7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As the selection criteria of s</w:t>
      </w:r>
      <w:r w:rsidR="00C15267" w:rsidRPr="003D0AB5">
        <w:rPr>
          <w:rFonts w:ascii="Times New Roman" w:hAnsi="Times New Roman"/>
          <w:sz w:val="28"/>
          <w:szCs w:val="28"/>
        </w:rPr>
        <w:t xml:space="preserve">tocks eligible for warrants </w:t>
      </w:r>
      <w:r w:rsidR="00C15267">
        <w:rPr>
          <w:rFonts w:ascii="Times New Roman" w:hAnsi="Times New Roman"/>
          <w:sz w:val="28"/>
          <w:szCs w:val="28"/>
        </w:rPr>
        <w:t>issuance</w:t>
      </w:r>
      <w:r w:rsidR="00C15267" w:rsidRPr="003D0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include</w:t>
      </w:r>
      <w:r w:rsidR="00C15267" w:rsidRPr="003D0AB5">
        <w:rPr>
          <w:rFonts w:ascii="Times New Roman" w:hAnsi="Times New Roman"/>
          <w:sz w:val="28"/>
          <w:szCs w:val="28"/>
        </w:rPr>
        <w:t xml:space="preserve"> not only market value and liquidity but also  financial status, the </w:t>
      </w:r>
      <w:r w:rsidR="00330D8D">
        <w:rPr>
          <w:rFonts w:ascii="Times New Roman" w:hAnsi="Times New Roman" w:hint="eastAsia"/>
          <w:sz w:val="28"/>
          <w:szCs w:val="28"/>
        </w:rPr>
        <w:t>deadline</w:t>
      </w:r>
      <w:r w:rsidR="00C15267" w:rsidRPr="003D0AB5">
        <w:rPr>
          <w:rFonts w:ascii="Times New Roman" w:hAnsi="Times New Roman"/>
          <w:sz w:val="28"/>
          <w:szCs w:val="28"/>
        </w:rPr>
        <w:t xml:space="preserve"> to submit financial </w:t>
      </w:r>
      <w:r w:rsidR="00330D8D">
        <w:rPr>
          <w:rFonts w:ascii="Times New Roman" w:hAnsi="Times New Roman" w:hint="eastAsia"/>
          <w:sz w:val="28"/>
          <w:szCs w:val="28"/>
        </w:rPr>
        <w:t>statements</w:t>
      </w:r>
      <w:r w:rsidR="00C15267" w:rsidRPr="003D0AB5">
        <w:rPr>
          <w:rFonts w:ascii="Times New Roman" w:hAnsi="Times New Roman"/>
          <w:sz w:val="28"/>
          <w:szCs w:val="28"/>
        </w:rPr>
        <w:t xml:space="preserve"> of companies listed </w:t>
      </w:r>
      <w:r w:rsidR="00330D8D">
        <w:rPr>
          <w:rFonts w:ascii="Times New Roman" w:hAnsi="Times New Roman" w:hint="eastAsia"/>
          <w:sz w:val="28"/>
          <w:szCs w:val="28"/>
        </w:rPr>
        <w:t>on the</w:t>
      </w:r>
      <w:r w:rsidR="00C15267" w:rsidRPr="003D0AB5">
        <w:rPr>
          <w:rFonts w:ascii="Times New Roman" w:hAnsi="Times New Roman"/>
          <w:sz w:val="28"/>
          <w:szCs w:val="28"/>
        </w:rPr>
        <w:t xml:space="preserve"> Taiwan Stock Exchange or Taipei Exchange may</w:t>
      </w:r>
      <w:r w:rsidR="00330D8D">
        <w:rPr>
          <w:rFonts w:ascii="Times New Roman" w:hAnsi="Times New Roman" w:hint="eastAsia"/>
          <w:sz w:val="28"/>
          <w:szCs w:val="28"/>
        </w:rPr>
        <w:t xml:space="preserve"> </w:t>
      </w:r>
      <w:r w:rsidR="00C15267" w:rsidRPr="003D0AB5">
        <w:rPr>
          <w:rFonts w:ascii="Times New Roman" w:hAnsi="Times New Roman"/>
          <w:sz w:val="28"/>
          <w:szCs w:val="28"/>
        </w:rPr>
        <w:t xml:space="preserve">be as late as </w:t>
      </w:r>
      <w:r w:rsidR="00330D8D">
        <w:rPr>
          <w:rFonts w:ascii="Times New Roman" w:hAnsi="Times New Roman" w:hint="eastAsia"/>
          <w:sz w:val="28"/>
          <w:szCs w:val="28"/>
        </w:rPr>
        <w:t xml:space="preserve">12 </w:t>
      </w:r>
      <w:r w:rsidR="00C15267" w:rsidRPr="003D0AB5">
        <w:rPr>
          <w:rFonts w:ascii="Times New Roman" w:hAnsi="Times New Roman"/>
          <w:sz w:val="28"/>
          <w:szCs w:val="28"/>
        </w:rPr>
        <w:t xml:space="preserve">midnight. </w:t>
      </w:r>
      <w:r w:rsidR="00330D8D">
        <w:rPr>
          <w:rFonts w:ascii="Times New Roman" w:hAnsi="Times New Roman" w:hint="eastAsia"/>
          <w:sz w:val="28"/>
          <w:szCs w:val="28"/>
        </w:rPr>
        <w:t>Considering</w:t>
      </w:r>
      <w:r w:rsidR="00C15267" w:rsidRPr="003D0AB5">
        <w:rPr>
          <w:rFonts w:ascii="Times New Roman" w:hAnsi="Times New Roman"/>
          <w:sz w:val="28"/>
          <w:szCs w:val="28"/>
        </w:rPr>
        <w:t xml:space="preserve"> the processing timeline for publication of all stocks</w:t>
      </w:r>
      <w:r w:rsidR="00C15267">
        <w:rPr>
          <w:rFonts w:ascii="Times New Roman" w:hAnsi="Times New Roman"/>
          <w:sz w:val="28"/>
          <w:szCs w:val="28"/>
        </w:rPr>
        <w:t xml:space="preserve"> eligible for warrant</w:t>
      </w:r>
      <w:r w:rsidR="00330D8D">
        <w:rPr>
          <w:rFonts w:ascii="Times New Roman" w:hAnsi="Times New Roman" w:hint="eastAsia"/>
          <w:sz w:val="28"/>
          <w:szCs w:val="28"/>
        </w:rPr>
        <w:t>s</w:t>
      </w:r>
      <w:r w:rsidR="00C15267">
        <w:rPr>
          <w:rFonts w:ascii="Times New Roman" w:hAnsi="Times New Roman"/>
          <w:sz w:val="28"/>
          <w:szCs w:val="28"/>
        </w:rPr>
        <w:t xml:space="preserve"> issuance</w:t>
      </w:r>
      <w:r w:rsidR="00C15267" w:rsidRPr="003D0AB5">
        <w:rPr>
          <w:rFonts w:ascii="Times New Roman" w:hAnsi="Times New Roman"/>
          <w:sz w:val="28"/>
          <w:szCs w:val="28"/>
        </w:rPr>
        <w:t xml:space="preserve">, </w:t>
      </w:r>
      <w:r w:rsidR="00330D8D">
        <w:rPr>
          <w:rFonts w:ascii="Times New Roman" w:hAnsi="Times New Roman" w:hint="eastAsia"/>
          <w:sz w:val="28"/>
          <w:szCs w:val="28"/>
        </w:rPr>
        <w:t>from</w:t>
      </w:r>
      <w:r w:rsidR="00C15267" w:rsidRPr="003D0AB5">
        <w:rPr>
          <w:rFonts w:ascii="Times New Roman" w:hAnsi="Times New Roman"/>
          <w:sz w:val="28"/>
          <w:szCs w:val="28"/>
        </w:rPr>
        <w:t xml:space="preserve"> June </w:t>
      </w:r>
      <w:r w:rsidR="00C15267" w:rsidRPr="0022614C">
        <w:rPr>
          <w:rFonts w:ascii="Times New Roman" w:eastAsia="標楷體" w:hAnsi="標楷體"/>
          <w:bCs/>
          <w:sz w:val="28"/>
          <w:szCs w:val="28"/>
        </w:rPr>
        <w:t>1</w:t>
      </w:r>
      <w:r w:rsidR="00C15267" w:rsidRPr="0022614C">
        <w:rPr>
          <w:rFonts w:ascii="Times New Roman" w:eastAsia="標楷體" w:hAnsi="標楷體"/>
          <w:bCs/>
          <w:sz w:val="28"/>
          <w:szCs w:val="28"/>
          <w:vertAlign w:val="superscript"/>
        </w:rPr>
        <w:t>st</w:t>
      </w:r>
      <w:r w:rsidR="00C15267" w:rsidRPr="003D0AB5">
        <w:rPr>
          <w:rFonts w:ascii="Times New Roman" w:hAnsi="Times New Roman"/>
          <w:sz w:val="28"/>
          <w:szCs w:val="28"/>
        </w:rPr>
        <w:t xml:space="preserve">, 2015 all underlying stocks of warrants will </w:t>
      </w:r>
      <w:r w:rsidR="00C15267">
        <w:rPr>
          <w:rFonts w:ascii="Times New Roman" w:hAnsi="Times New Roman"/>
          <w:sz w:val="28"/>
          <w:szCs w:val="28"/>
        </w:rPr>
        <w:t>become</w:t>
      </w:r>
      <w:r w:rsidR="00C15267" w:rsidRPr="003D0AB5">
        <w:rPr>
          <w:rFonts w:ascii="Times New Roman" w:hAnsi="Times New Roman"/>
          <w:sz w:val="28"/>
          <w:szCs w:val="28"/>
        </w:rPr>
        <w:t xml:space="preserve"> eligible for day trading on the next business day of the date </w:t>
      </w:r>
      <w:r w:rsidR="00C15267">
        <w:rPr>
          <w:rFonts w:ascii="Times New Roman" w:hAnsi="Times New Roman"/>
          <w:sz w:val="28"/>
          <w:szCs w:val="28"/>
        </w:rPr>
        <w:t>such</w:t>
      </w:r>
      <w:r w:rsidR="00C15267" w:rsidRPr="003D0AB5">
        <w:rPr>
          <w:rFonts w:ascii="Times New Roman" w:hAnsi="Times New Roman"/>
          <w:sz w:val="28"/>
          <w:szCs w:val="28"/>
        </w:rPr>
        <w:t xml:space="preserve"> stocks become eligible for warrants </w:t>
      </w:r>
      <w:r w:rsidR="00C15267">
        <w:rPr>
          <w:rFonts w:ascii="Times New Roman" w:hAnsi="Times New Roman"/>
          <w:sz w:val="28"/>
          <w:szCs w:val="28"/>
        </w:rPr>
        <w:t>issuance</w:t>
      </w:r>
      <w:r w:rsidR="00C15267" w:rsidRPr="003D0AB5">
        <w:rPr>
          <w:rFonts w:ascii="Times New Roman" w:hAnsi="Times New Roman"/>
          <w:sz w:val="28"/>
          <w:szCs w:val="28"/>
        </w:rPr>
        <w:t xml:space="preserve">, except component stocks of </w:t>
      </w:r>
      <w:r w:rsidR="00961B59">
        <w:rPr>
          <w:rFonts w:ascii="Times New Roman" w:hAnsi="Times New Roman" w:hint="eastAsia"/>
          <w:sz w:val="28"/>
          <w:szCs w:val="28"/>
        </w:rPr>
        <w:t xml:space="preserve">the </w:t>
      </w:r>
      <w:r w:rsidR="00C15267" w:rsidRPr="003D0AB5">
        <w:rPr>
          <w:rFonts w:ascii="Times New Roman" w:hAnsi="Times New Roman"/>
          <w:sz w:val="28"/>
          <w:szCs w:val="28"/>
        </w:rPr>
        <w:t>Taiwan 50 Index</w:t>
      </w:r>
      <w:r w:rsidR="00961B59">
        <w:rPr>
          <w:rFonts w:ascii="Times New Roman" w:hAnsi="Times New Roman" w:hint="eastAsia"/>
          <w:sz w:val="28"/>
          <w:szCs w:val="28"/>
        </w:rPr>
        <w:t>,</w:t>
      </w:r>
      <w:r w:rsidR="00C15267" w:rsidRPr="003D0AB5">
        <w:rPr>
          <w:rFonts w:ascii="Times New Roman" w:hAnsi="Times New Roman"/>
          <w:sz w:val="28"/>
          <w:szCs w:val="28"/>
        </w:rPr>
        <w:t xml:space="preserve"> Taiwan Mid-Cap 100 Index and Taipei Exchange’s TPEx</w:t>
      </w:r>
      <w:r w:rsidR="00330D8D">
        <w:rPr>
          <w:rFonts w:ascii="Times New Roman" w:hAnsi="Times New Roman" w:hint="eastAsia"/>
          <w:sz w:val="28"/>
          <w:szCs w:val="28"/>
        </w:rPr>
        <w:t xml:space="preserve"> </w:t>
      </w:r>
      <w:r w:rsidR="00C15267" w:rsidRPr="003D0AB5">
        <w:rPr>
          <w:rFonts w:ascii="Times New Roman" w:hAnsi="Times New Roman"/>
          <w:sz w:val="28"/>
          <w:szCs w:val="28"/>
        </w:rPr>
        <w:t xml:space="preserve">50 </w:t>
      </w:r>
      <w:r w:rsidR="00961B59">
        <w:rPr>
          <w:rFonts w:ascii="Times New Roman" w:hAnsi="Times New Roman" w:hint="eastAsia"/>
          <w:sz w:val="28"/>
          <w:szCs w:val="28"/>
        </w:rPr>
        <w:t>I</w:t>
      </w:r>
      <w:r w:rsidR="00C15267" w:rsidRPr="003D0AB5">
        <w:rPr>
          <w:rFonts w:ascii="Times New Roman" w:hAnsi="Times New Roman"/>
          <w:sz w:val="28"/>
          <w:szCs w:val="28"/>
        </w:rPr>
        <w:t>ndex.</w:t>
      </w:r>
    </w:p>
    <w:p w:rsidR="00C15267" w:rsidRDefault="00C15267" w:rsidP="00BC78E8">
      <w:pPr>
        <w:ind w:leftChars="316" w:left="758"/>
        <w:rPr>
          <w:rFonts w:ascii="Times New Roman" w:hAnsi="Times New Roman"/>
          <w:sz w:val="28"/>
          <w:szCs w:val="28"/>
        </w:rPr>
      </w:pPr>
      <w:r w:rsidRPr="003D0AB5">
        <w:rPr>
          <w:rFonts w:ascii="Times New Roman" w:hAnsi="Times New Roman"/>
          <w:sz w:val="28"/>
          <w:szCs w:val="28"/>
        </w:rPr>
        <w:t xml:space="preserve">For example, </w:t>
      </w:r>
      <w:r w:rsidR="00330D8D">
        <w:rPr>
          <w:rFonts w:ascii="Times New Roman" w:hAnsi="Times New Roman" w:hint="eastAsia"/>
          <w:sz w:val="28"/>
          <w:szCs w:val="28"/>
        </w:rPr>
        <w:t xml:space="preserve">when the quarterly </w:t>
      </w:r>
      <w:r w:rsidRPr="003D0AB5">
        <w:rPr>
          <w:rFonts w:ascii="Times New Roman" w:hAnsi="Times New Roman"/>
          <w:sz w:val="28"/>
          <w:szCs w:val="28"/>
        </w:rPr>
        <w:t xml:space="preserve">adjustment </w:t>
      </w:r>
      <w:r w:rsidR="00330D8D">
        <w:rPr>
          <w:rFonts w:ascii="Times New Roman" w:hAnsi="Times New Roman" w:hint="eastAsia"/>
          <w:sz w:val="28"/>
          <w:szCs w:val="28"/>
        </w:rPr>
        <w:t>to the</w:t>
      </w:r>
      <w:r w:rsidRPr="003D0AB5">
        <w:rPr>
          <w:rFonts w:ascii="Times New Roman" w:hAnsi="Times New Roman"/>
          <w:sz w:val="28"/>
          <w:szCs w:val="28"/>
        </w:rPr>
        <w:t xml:space="preserve"> third quarter </w:t>
      </w:r>
      <w:r w:rsidR="00330D8D">
        <w:rPr>
          <w:rFonts w:ascii="Times New Roman" w:hAnsi="Times New Roman" w:hint="eastAsia"/>
          <w:sz w:val="28"/>
          <w:szCs w:val="28"/>
        </w:rPr>
        <w:t>takes</w:t>
      </w:r>
      <w:r w:rsidRPr="003D0AB5">
        <w:rPr>
          <w:rFonts w:ascii="Times New Roman" w:hAnsi="Times New Roman"/>
          <w:sz w:val="28"/>
          <w:szCs w:val="28"/>
        </w:rPr>
        <w:t xml:space="preserve"> effect on July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14C">
        <w:rPr>
          <w:rFonts w:ascii="Times New Roman" w:eastAsia="標楷體" w:hAnsi="標楷體"/>
          <w:bCs/>
          <w:sz w:val="28"/>
          <w:szCs w:val="28"/>
        </w:rPr>
        <w:t>1</w:t>
      </w:r>
      <w:r w:rsidRPr="0022614C">
        <w:rPr>
          <w:rFonts w:ascii="Times New Roman" w:eastAsia="標楷體" w:hAnsi="標楷體"/>
          <w:bCs/>
          <w:sz w:val="28"/>
          <w:szCs w:val="28"/>
          <w:vertAlign w:val="superscript"/>
        </w:rPr>
        <w:t>st</w:t>
      </w:r>
      <w:r w:rsidRPr="003D0AB5">
        <w:rPr>
          <w:rFonts w:ascii="Times New Roman" w:hAnsi="Times New Roman"/>
          <w:sz w:val="28"/>
          <w:szCs w:val="28"/>
        </w:rPr>
        <w:t xml:space="preserve">, 2015, stocks eligible for day trading will be </w:t>
      </w:r>
      <w:r w:rsidRPr="003D0AB5">
        <w:rPr>
          <w:rFonts w:ascii="Times New Roman" w:hAnsi="Times New Roman"/>
          <w:sz w:val="28"/>
          <w:szCs w:val="28"/>
        </w:rPr>
        <w:lastRenderedPageBreak/>
        <w:t>de</w:t>
      </w:r>
      <w:r>
        <w:rPr>
          <w:rFonts w:ascii="Times New Roman" w:hAnsi="Times New Roman"/>
          <w:sz w:val="28"/>
          <w:szCs w:val="28"/>
        </w:rPr>
        <w:t>termined</w:t>
      </w:r>
      <w:r w:rsidRPr="003D0AB5">
        <w:rPr>
          <w:rFonts w:ascii="Times New Roman" w:hAnsi="Times New Roman"/>
          <w:sz w:val="28"/>
          <w:szCs w:val="28"/>
        </w:rPr>
        <w:t xml:space="preserve"> in accordance </w:t>
      </w:r>
      <w:r>
        <w:rPr>
          <w:rFonts w:ascii="Times New Roman" w:hAnsi="Times New Roman"/>
          <w:sz w:val="28"/>
          <w:szCs w:val="28"/>
        </w:rPr>
        <w:t xml:space="preserve">with </w:t>
      </w:r>
      <w:r w:rsidR="00330D8D">
        <w:rPr>
          <w:rFonts w:ascii="Times New Roman" w:hAnsi="Times New Roman" w:hint="eastAsia"/>
          <w:sz w:val="28"/>
          <w:szCs w:val="28"/>
        </w:rPr>
        <w:t xml:space="preserve">the </w:t>
      </w:r>
      <w:r w:rsidRPr="003D0AB5">
        <w:rPr>
          <w:rFonts w:ascii="Times New Roman" w:hAnsi="Times New Roman"/>
          <w:sz w:val="28"/>
          <w:szCs w:val="28"/>
        </w:rPr>
        <w:t xml:space="preserve">results </w:t>
      </w:r>
      <w:r>
        <w:rPr>
          <w:rFonts w:ascii="Times New Roman" w:hAnsi="Times New Roman"/>
          <w:sz w:val="28"/>
          <w:szCs w:val="28"/>
        </w:rPr>
        <w:t>of</w:t>
      </w:r>
      <w:r w:rsidRPr="003D0AB5">
        <w:rPr>
          <w:rFonts w:ascii="Times New Roman" w:hAnsi="Times New Roman"/>
          <w:sz w:val="28"/>
          <w:szCs w:val="28"/>
        </w:rPr>
        <w:t xml:space="preserve"> such quarterly adjustment</w:t>
      </w:r>
      <w:r w:rsidR="00330D8D">
        <w:rPr>
          <w:rFonts w:ascii="Times New Roman" w:hAnsi="Times New Roman" w:hint="eastAsia"/>
          <w:sz w:val="28"/>
          <w:szCs w:val="28"/>
        </w:rPr>
        <w:t xml:space="preserve"> from</w:t>
      </w:r>
      <w:r w:rsidR="00330D8D" w:rsidRPr="003D0AB5">
        <w:rPr>
          <w:rFonts w:ascii="Times New Roman" w:hAnsi="Times New Roman"/>
          <w:sz w:val="28"/>
          <w:szCs w:val="28"/>
        </w:rPr>
        <w:t xml:space="preserve"> July </w:t>
      </w:r>
      <w:r w:rsidR="00330D8D">
        <w:rPr>
          <w:rFonts w:ascii="Times New Roman" w:eastAsia="標楷體" w:hAnsi="標楷體"/>
          <w:bCs/>
          <w:sz w:val="28"/>
          <w:szCs w:val="28"/>
        </w:rPr>
        <w:t>2</w:t>
      </w:r>
      <w:r w:rsidR="00330D8D">
        <w:rPr>
          <w:rFonts w:ascii="Times New Roman" w:eastAsia="標楷體" w:hAnsi="標楷體"/>
          <w:bCs/>
          <w:sz w:val="28"/>
          <w:szCs w:val="28"/>
          <w:vertAlign w:val="superscript"/>
        </w:rPr>
        <w:t>nd</w:t>
      </w:r>
      <w:r w:rsidRPr="003D0AB5">
        <w:rPr>
          <w:rFonts w:ascii="Times New Roman" w:hAnsi="Times New Roman"/>
          <w:sz w:val="28"/>
          <w:szCs w:val="28"/>
        </w:rPr>
        <w:t xml:space="preserve">. On July </w:t>
      </w:r>
      <w:r w:rsidRPr="0022614C">
        <w:rPr>
          <w:rFonts w:ascii="Times New Roman" w:eastAsia="標楷體" w:hAnsi="標楷體"/>
          <w:bCs/>
          <w:sz w:val="28"/>
          <w:szCs w:val="28"/>
        </w:rPr>
        <w:t>1</w:t>
      </w:r>
      <w:r w:rsidRPr="0022614C">
        <w:rPr>
          <w:rFonts w:ascii="Times New Roman" w:eastAsia="標楷體" w:hAnsi="標楷體"/>
          <w:bCs/>
          <w:sz w:val="28"/>
          <w:szCs w:val="28"/>
          <w:vertAlign w:val="superscript"/>
        </w:rPr>
        <w:t>st</w:t>
      </w:r>
      <w:r w:rsidRPr="003D0AB5">
        <w:rPr>
          <w:rFonts w:ascii="Times New Roman" w:hAnsi="Times New Roman"/>
          <w:sz w:val="28"/>
          <w:szCs w:val="28"/>
        </w:rPr>
        <w:t>, stocks eligible for day trading will still include stocks eligible for warrant</w:t>
      </w:r>
      <w:r w:rsidR="00330D8D">
        <w:rPr>
          <w:rFonts w:ascii="Times New Roman" w:hAnsi="Times New Roman" w:hint="eastAsia"/>
          <w:sz w:val="28"/>
          <w:szCs w:val="28"/>
        </w:rPr>
        <w:t>s</w:t>
      </w:r>
      <w:r w:rsidRPr="003D0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issuance</w:t>
      </w:r>
      <w:r w:rsidRPr="003D0AB5">
        <w:rPr>
          <w:rFonts w:ascii="Times New Roman" w:hAnsi="Times New Roman"/>
          <w:sz w:val="28"/>
          <w:szCs w:val="28"/>
        </w:rPr>
        <w:t xml:space="preserve"> in </w:t>
      </w:r>
      <w:r w:rsidR="00330D8D">
        <w:rPr>
          <w:rFonts w:ascii="Times New Roman" w:hAnsi="Times New Roman" w:hint="eastAsia"/>
          <w:sz w:val="28"/>
          <w:szCs w:val="28"/>
        </w:rPr>
        <w:t xml:space="preserve">the </w:t>
      </w:r>
      <w:r w:rsidRPr="003D0AB5">
        <w:rPr>
          <w:rFonts w:ascii="Times New Roman" w:hAnsi="Times New Roman"/>
          <w:sz w:val="28"/>
          <w:szCs w:val="28"/>
        </w:rPr>
        <w:t>previous quarter</w:t>
      </w:r>
      <w:r w:rsidR="00330D8D">
        <w:rPr>
          <w:rFonts w:ascii="Times New Roman" w:hAnsi="Times New Roman" w:hint="eastAsia"/>
          <w:sz w:val="28"/>
          <w:szCs w:val="28"/>
        </w:rPr>
        <w:t xml:space="preserve">, with the exception of </w:t>
      </w:r>
      <w:r w:rsidR="00330D8D" w:rsidRPr="003D0AB5">
        <w:rPr>
          <w:rFonts w:ascii="Times New Roman" w:hAnsi="Times New Roman"/>
          <w:sz w:val="28"/>
          <w:szCs w:val="28"/>
        </w:rPr>
        <w:t xml:space="preserve">component stocks of </w:t>
      </w:r>
      <w:r w:rsidR="00961B59">
        <w:rPr>
          <w:rFonts w:ascii="Times New Roman" w:hAnsi="Times New Roman" w:hint="eastAsia"/>
          <w:sz w:val="28"/>
          <w:szCs w:val="28"/>
        </w:rPr>
        <w:t xml:space="preserve">the </w:t>
      </w:r>
      <w:r w:rsidR="00330D8D" w:rsidRPr="003D0AB5">
        <w:rPr>
          <w:rFonts w:ascii="Times New Roman" w:hAnsi="Times New Roman"/>
          <w:sz w:val="28"/>
          <w:szCs w:val="28"/>
        </w:rPr>
        <w:t>Taiwan 50 Index</w:t>
      </w:r>
      <w:r w:rsidR="00961B59">
        <w:rPr>
          <w:rFonts w:ascii="Times New Roman" w:hAnsi="Times New Roman" w:hint="eastAsia"/>
          <w:sz w:val="28"/>
          <w:szCs w:val="28"/>
        </w:rPr>
        <w:t>,</w:t>
      </w:r>
      <w:r w:rsidR="00330D8D" w:rsidRPr="003D0AB5">
        <w:rPr>
          <w:rFonts w:ascii="Times New Roman" w:hAnsi="Times New Roman"/>
          <w:sz w:val="28"/>
          <w:szCs w:val="28"/>
        </w:rPr>
        <w:t xml:space="preserve"> Taiwan Mid-Cap 100 Index and Taipei Exchange’s TPEx</w:t>
      </w:r>
      <w:r w:rsidR="00330D8D">
        <w:rPr>
          <w:rFonts w:ascii="Times New Roman" w:hAnsi="Times New Roman" w:hint="eastAsia"/>
          <w:sz w:val="28"/>
          <w:szCs w:val="28"/>
        </w:rPr>
        <w:t xml:space="preserve"> </w:t>
      </w:r>
      <w:r w:rsidR="00330D8D" w:rsidRPr="003D0AB5">
        <w:rPr>
          <w:rFonts w:ascii="Times New Roman" w:hAnsi="Times New Roman"/>
          <w:sz w:val="28"/>
          <w:szCs w:val="28"/>
        </w:rPr>
        <w:t xml:space="preserve">50 </w:t>
      </w:r>
      <w:r w:rsidR="00961B59">
        <w:rPr>
          <w:rFonts w:ascii="Times New Roman" w:hAnsi="Times New Roman" w:hint="eastAsia"/>
          <w:sz w:val="28"/>
          <w:szCs w:val="28"/>
        </w:rPr>
        <w:t>I</w:t>
      </w:r>
      <w:r w:rsidR="00330D8D" w:rsidRPr="003D0AB5">
        <w:rPr>
          <w:rFonts w:ascii="Times New Roman" w:hAnsi="Times New Roman"/>
          <w:sz w:val="28"/>
          <w:szCs w:val="28"/>
        </w:rPr>
        <w:t>ndex</w:t>
      </w:r>
      <w:r w:rsidRPr="003D0AB5">
        <w:rPr>
          <w:rFonts w:ascii="Times New Roman" w:hAnsi="Times New Roman"/>
          <w:sz w:val="28"/>
          <w:szCs w:val="28"/>
        </w:rPr>
        <w:t>.</w:t>
      </w:r>
    </w:p>
    <w:p w:rsidR="004736B6" w:rsidRPr="003D0AB5" w:rsidRDefault="004736B6" w:rsidP="008F3BA6">
      <w:pPr>
        <w:ind w:leftChars="290" w:left="696"/>
        <w:rPr>
          <w:rFonts w:ascii="Times New Roman" w:hAnsi="Times New Roman"/>
          <w:sz w:val="28"/>
          <w:szCs w:val="28"/>
        </w:rPr>
      </w:pPr>
    </w:p>
    <w:p w:rsidR="00C15267" w:rsidRPr="008E585F" w:rsidRDefault="00C15267" w:rsidP="00BC78E8">
      <w:pPr>
        <w:ind w:leftChars="58" w:left="707" w:hangingChars="203" w:hanging="568"/>
        <w:rPr>
          <w:rFonts w:ascii="Times New Roman" w:hAnsi="Times New Roman"/>
          <w:sz w:val="28"/>
          <w:szCs w:val="28"/>
        </w:rPr>
      </w:pPr>
      <w:r w:rsidRPr="008E585F">
        <w:rPr>
          <w:rFonts w:ascii="Times New Roman" w:hAnsi="Times New Roman"/>
          <w:sz w:val="28"/>
          <w:szCs w:val="28"/>
        </w:rPr>
        <w:t xml:space="preserve"> (2)</w:t>
      </w:r>
      <w:r w:rsidR="004736B6">
        <w:rPr>
          <w:rFonts w:ascii="Times New Roman" w:hAnsi="Times New Roman" w:hint="eastAsia"/>
          <w:sz w:val="28"/>
          <w:szCs w:val="28"/>
        </w:rPr>
        <w:tab/>
      </w:r>
      <w:r w:rsidRPr="008E585F">
        <w:rPr>
          <w:rFonts w:ascii="Times New Roman" w:hAnsi="Times New Roman"/>
          <w:sz w:val="28"/>
          <w:szCs w:val="28"/>
        </w:rPr>
        <w:t xml:space="preserve">ETF: </w:t>
      </w:r>
      <w:r w:rsidR="00AB63D8">
        <w:rPr>
          <w:rFonts w:ascii="Times New Roman" w:hAnsi="Times New Roman" w:hint="eastAsia"/>
          <w:sz w:val="28"/>
          <w:szCs w:val="28"/>
        </w:rPr>
        <w:t>Since</w:t>
      </w:r>
      <w:r w:rsidRPr="008E585F">
        <w:rPr>
          <w:rFonts w:ascii="Times New Roman" w:hAnsi="Times New Roman"/>
          <w:sz w:val="28"/>
          <w:szCs w:val="28"/>
        </w:rPr>
        <w:t xml:space="preserve"> ETFs </w:t>
      </w:r>
      <w:r w:rsidR="00AB63D8">
        <w:rPr>
          <w:rFonts w:ascii="Times New Roman" w:hAnsi="Times New Roman" w:hint="eastAsia"/>
          <w:sz w:val="28"/>
          <w:szCs w:val="28"/>
        </w:rPr>
        <w:t xml:space="preserve">are </w:t>
      </w:r>
      <w:r w:rsidR="00AB63D8" w:rsidRPr="008E585F">
        <w:rPr>
          <w:rFonts w:ascii="Times New Roman" w:hAnsi="Times New Roman"/>
          <w:sz w:val="28"/>
          <w:szCs w:val="28"/>
        </w:rPr>
        <w:t xml:space="preserve">immediately </w:t>
      </w:r>
      <w:r w:rsidRPr="008E585F">
        <w:rPr>
          <w:rFonts w:ascii="Times New Roman" w:hAnsi="Times New Roman"/>
          <w:sz w:val="28"/>
          <w:szCs w:val="28"/>
        </w:rPr>
        <w:t xml:space="preserve">eligible for margin trading </w:t>
      </w:r>
      <w:r w:rsidR="00AB63D8">
        <w:rPr>
          <w:rFonts w:ascii="Times New Roman" w:hAnsi="Times New Roman" w:hint="eastAsia"/>
          <w:sz w:val="28"/>
          <w:szCs w:val="28"/>
        </w:rPr>
        <w:t>once</w:t>
      </w:r>
      <w:r w:rsidRPr="008E585F">
        <w:rPr>
          <w:rFonts w:ascii="Times New Roman" w:hAnsi="Times New Roman"/>
          <w:sz w:val="28"/>
          <w:szCs w:val="28"/>
        </w:rPr>
        <w:t xml:space="preserve"> listed on </w:t>
      </w:r>
      <w:r w:rsidR="00AB63D8">
        <w:rPr>
          <w:rFonts w:ascii="Times New Roman" w:hAnsi="Times New Roman" w:hint="eastAsia"/>
          <w:sz w:val="28"/>
          <w:szCs w:val="28"/>
        </w:rPr>
        <w:t xml:space="preserve">the </w:t>
      </w:r>
      <w:r w:rsidRPr="008E585F">
        <w:rPr>
          <w:rFonts w:ascii="Times New Roman" w:hAnsi="Times New Roman"/>
          <w:sz w:val="28"/>
          <w:szCs w:val="28"/>
        </w:rPr>
        <w:t xml:space="preserve">Taiwan Stock Exchange or Taipei Exchange, investors may </w:t>
      </w:r>
      <w:r>
        <w:rPr>
          <w:rFonts w:ascii="Times New Roman" w:hAnsi="Times New Roman"/>
          <w:sz w:val="28"/>
          <w:szCs w:val="28"/>
        </w:rPr>
        <w:t>o</w:t>
      </w:r>
      <w:r w:rsidRPr="008E585F">
        <w:rPr>
          <w:rFonts w:ascii="Times New Roman" w:hAnsi="Times New Roman"/>
          <w:sz w:val="28"/>
          <w:szCs w:val="28"/>
        </w:rPr>
        <w:t>ffset</w:t>
      </w:r>
      <w:r>
        <w:rPr>
          <w:rFonts w:ascii="Times New Roman" w:hAnsi="Times New Roman"/>
          <w:sz w:val="28"/>
          <w:szCs w:val="28"/>
        </w:rPr>
        <w:t xml:space="preserve"> margin purchases and short sales. Therefore, </w:t>
      </w:r>
      <w:r w:rsidR="00AB63D8">
        <w:rPr>
          <w:rFonts w:ascii="Times New Roman" w:hAnsi="Times New Roman" w:hint="eastAsia"/>
          <w:sz w:val="28"/>
          <w:szCs w:val="28"/>
        </w:rPr>
        <w:t>from</w:t>
      </w:r>
      <w:r>
        <w:rPr>
          <w:rFonts w:ascii="Times New Roman" w:hAnsi="Times New Roman"/>
          <w:sz w:val="28"/>
          <w:szCs w:val="28"/>
        </w:rPr>
        <w:t xml:space="preserve"> June 1</w:t>
      </w:r>
      <w:r w:rsidRPr="008E585F">
        <w:rPr>
          <w:rFonts w:ascii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hAnsi="Times New Roman"/>
          <w:sz w:val="28"/>
          <w:szCs w:val="28"/>
        </w:rPr>
        <w:t xml:space="preserve">, 2015 all ETFs are eligible for securities day trading, and on the first day new ETFs </w:t>
      </w:r>
      <w:r w:rsidR="00AB63D8">
        <w:rPr>
          <w:rFonts w:ascii="Times New Roman" w:hAnsi="Times New Roman" w:hint="eastAsia"/>
          <w:sz w:val="28"/>
          <w:szCs w:val="28"/>
        </w:rPr>
        <w:t xml:space="preserve">are </w:t>
      </w:r>
      <w:r>
        <w:rPr>
          <w:rFonts w:ascii="Times New Roman" w:hAnsi="Times New Roman"/>
          <w:sz w:val="28"/>
          <w:szCs w:val="28"/>
        </w:rPr>
        <w:t xml:space="preserve">listed on </w:t>
      </w:r>
      <w:r w:rsidR="00AB63D8">
        <w:rPr>
          <w:rFonts w:ascii="Times New Roman" w:hAnsi="Times New Roman"/>
          <w:sz w:val="28"/>
          <w:szCs w:val="28"/>
        </w:rPr>
        <w:t>the</w:t>
      </w:r>
      <w:r w:rsidR="00AB63D8"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Taiwan Stock Exchange or Taipei Exchange, they are also eligible for securities day trading.</w:t>
      </w:r>
    </w:p>
    <w:sectPr w:rsidR="00C15267" w:rsidRPr="008E585F" w:rsidSect="00344BF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9CE" w:rsidRDefault="009E09CE" w:rsidP="00061CFE">
      <w:r>
        <w:separator/>
      </w:r>
    </w:p>
  </w:endnote>
  <w:endnote w:type="continuationSeparator" w:id="0">
    <w:p w:rsidR="009E09CE" w:rsidRDefault="009E09CE" w:rsidP="00061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67" w:rsidRDefault="00BB33B4">
    <w:pPr>
      <w:pStyle w:val="a4"/>
    </w:pPr>
    <w:r>
      <w:t>Document Number: 326744</w:t>
    </w:r>
    <w:r>
      <w:tab/>
      <w:t>Version: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9CE" w:rsidRDefault="009E09CE" w:rsidP="00061CFE">
      <w:r>
        <w:separator/>
      </w:r>
    </w:p>
  </w:footnote>
  <w:footnote w:type="continuationSeparator" w:id="0">
    <w:p w:rsidR="009E09CE" w:rsidRDefault="009E09CE" w:rsidP="00061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245C52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0B24C60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BEB0DF8E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E82C70C6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3DF8D1E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70A9E38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448335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15237CC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A48880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0B1A381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0723198"/>
    <w:multiLevelType w:val="hybridMultilevel"/>
    <w:tmpl w:val="907A32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04B5083"/>
    <w:multiLevelType w:val="hybridMultilevel"/>
    <w:tmpl w:val="1A28D808"/>
    <w:lvl w:ilvl="0" w:tplc="4D6A6484">
      <w:start w:val="1"/>
      <w:numFmt w:val="decimal"/>
      <w:lvlText w:val="%1."/>
      <w:lvlJc w:val="left"/>
      <w:pPr>
        <w:ind w:left="480" w:hanging="480"/>
      </w:pPr>
      <w:rPr>
        <w:rFonts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E2D5ADE"/>
    <w:multiLevelType w:val="hybridMultilevel"/>
    <w:tmpl w:val="5CA81BE6"/>
    <w:lvl w:ilvl="0" w:tplc="04090013">
      <w:start w:val="1"/>
      <w:numFmt w:val="upperRoman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F963932"/>
    <w:multiLevelType w:val="hybridMultilevel"/>
    <w:tmpl w:val="F378F456"/>
    <w:lvl w:ilvl="0" w:tplc="04090013">
      <w:start w:val="1"/>
      <w:numFmt w:val="upperRoman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3F1966A8"/>
    <w:multiLevelType w:val="hybridMultilevel"/>
    <w:tmpl w:val="ACB07C16"/>
    <w:lvl w:ilvl="0" w:tplc="D5BC1AD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/>
      </w:rPr>
    </w:lvl>
    <w:lvl w:ilvl="1" w:tplc="D7880CAE">
      <w:start w:val="1"/>
      <w:numFmt w:val="decimal"/>
      <w:lvlText w:val="(%2)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C466291"/>
    <w:multiLevelType w:val="hybridMultilevel"/>
    <w:tmpl w:val="26D05352"/>
    <w:lvl w:ilvl="0" w:tplc="76E6C4B2">
      <w:start w:val="1"/>
      <w:numFmt w:val="decimal"/>
      <w:lvlText w:val="%1."/>
      <w:lvlJc w:val="left"/>
      <w:pPr>
        <w:ind w:left="159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F1471FF"/>
    <w:multiLevelType w:val="hybridMultilevel"/>
    <w:tmpl w:val="0548F1F0"/>
    <w:lvl w:ilvl="0" w:tplc="312E1F6C">
      <w:start w:val="1"/>
      <w:numFmt w:val="upperRoman"/>
      <w:lvlText w:val="%1."/>
      <w:lvlJc w:val="left"/>
      <w:pPr>
        <w:ind w:left="48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6CC46F66"/>
    <w:multiLevelType w:val="hybridMultilevel"/>
    <w:tmpl w:val="A5A8C84C"/>
    <w:lvl w:ilvl="0" w:tplc="4EA22CB0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>
    <w:nsid w:val="6E3377E2"/>
    <w:multiLevelType w:val="hybridMultilevel"/>
    <w:tmpl w:val="C0B8D228"/>
    <w:lvl w:ilvl="0" w:tplc="FDA8A60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7BC751A5"/>
    <w:multiLevelType w:val="hybridMultilevel"/>
    <w:tmpl w:val="A9F0F1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D870738"/>
    <w:multiLevelType w:val="hybridMultilevel"/>
    <w:tmpl w:val="1D8E4B6C"/>
    <w:lvl w:ilvl="0" w:tplc="D58E28E0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</w:rPr>
    </w:lvl>
    <w:lvl w:ilvl="1" w:tplc="FDA8A604">
      <w:start w:val="1"/>
      <w:numFmt w:val="decimal"/>
      <w:lvlText w:val="(%2)"/>
      <w:lvlJc w:val="left"/>
      <w:pPr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2"/>
  </w:num>
  <w:num w:numId="5">
    <w:abstractNumId w:val="19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15"/>
  </w:num>
  <w:num w:numId="11">
    <w:abstractNumId w:val="18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DMReference" w:val="326744-v2\TPEDMS"/>
    <w:docVar w:name="ReferenceFieldsConverted" w:val="True"/>
  </w:docVars>
  <w:rsids>
    <w:rsidRoot w:val="00061CFE"/>
    <w:rsid w:val="00040750"/>
    <w:rsid w:val="00061CFE"/>
    <w:rsid w:val="00071191"/>
    <w:rsid w:val="000A1B7F"/>
    <w:rsid w:val="000B0B6C"/>
    <w:rsid w:val="000B4080"/>
    <w:rsid w:val="000C095B"/>
    <w:rsid w:val="000C7A2B"/>
    <w:rsid w:val="001B4E15"/>
    <w:rsid w:val="00217718"/>
    <w:rsid w:val="0022614C"/>
    <w:rsid w:val="00250346"/>
    <w:rsid w:val="00281357"/>
    <w:rsid w:val="00287104"/>
    <w:rsid w:val="002A7A10"/>
    <w:rsid w:val="002B4638"/>
    <w:rsid w:val="002B5E5D"/>
    <w:rsid w:val="00320602"/>
    <w:rsid w:val="00330D8D"/>
    <w:rsid w:val="00332F80"/>
    <w:rsid w:val="00344BF1"/>
    <w:rsid w:val="00354B87"/>
    <w:rsid w:val="00386AA1"/>
    <w:rsid w:val="003918E3"/>
    <w:rsid w:val="00397C29"/>
    <w:rsid w:val="003C558C"/>
    <w:rsid w:val="003D0AB5"/>
    <w:rsid w:val="003D51AE"/>
    <w:rsid w:val="004135A6"/>
    <w:rsid w:val="00416DFE"/>
    <w:rsid w:val="00421BD7"/>
    <w:rsid w:val="00442F37"/>
    <w:rsid w:val="004676A1"/>
    <w:rsid w:val="004736B6"/>
    <w:rsid w:val="004951BB"/>
    <w:rsid w:val="004F7AC2"/>
    <w:rsid w:val="00537BAF"/>
    <w:rsid w:val="00595B5A"/>
    <w:rsid w:val="00605E27"/>
    <w:rsid w:val="006158B3"/>
    <w:rsid w:val="006405C7"/>
    <w:rsid w:val="0067532D"/>
    <w:rsid w:val="0068009C"/>
    <w:rsid w:val="006A2779"/>
    <w:rsid w:val="006A3DA3"/>
    <w:rsid w:val="006B7751"/>
    <w:rsid w:val="006E36DC"/>
    <w:rsid w:val="00725686"/>
    <w:rsid w:val="00777B6F"/>
    <w:rsid w:val="007C637C"/>
    <w:rsid w:val="007D1094"/>
    <w:rsid w:val="007D3B18"/>
    <w:rsid w:val="007D52FF"/>
    <w:rsid w:val="007E010B"/>
    <w:rsid w:val="007F5E3A"/>
    <w:rsid w:val="00801FB0"/>
    <w:rsid w:val="00821ADA"/>
    <w:rsid w:val="00841DC8"/>
    <w:rsid w:val="00867935"/>
    <w:rsid w:val="00870BA5"/>
    <w:rsid w:val="00891381"/>
    <w:rsid w:val="008E585F"/>
    <w:rsid w:val="008F3BA6"/>
    <w:rsid w:val="00920308"/>
    <w:rsid w:val="00943BA1"/>
    <w:rsid w:val="00961B59"/>
    <w:rsid w:val="0096798B"/>
    <w:rsid w:val="009730E8"/>
    <w:rsid w:val="009B58F8"/>
    <w:rsid w:val="009D0956"/>
    <w:rsid w:val="009E09CE"/>
    <w:rsid w:val="009E1B9C"/>
    <w:rsid w:val="009F48FE"/>
    <w:rsid w:val="00A01C6C"/>
    <w:rsid w:val="00A0393D"/>
    <w:rsid w:val="00A1738C"/>
    <w:rsid w:val="00A41654"/>
    <w:rsid w:val="00A4355D"/>
    <w:rsid w:val="00A972E8"/>
    <w:rsid w:val="00AB63D8"/>
    <w:rsid w:val="00AD5E7F"/>
    <w:rsid w:val="00B13B90"/>
    <w:rsid w:val="00B20CEE"/>
    <w:rsid w:val="00B27B59"/>
    <w:rsid w:val="00BB33B4"/>
    <w:rsid w:val="00BC78E8"/>
    <w:rsid w:val="00BF4C63"/>
    <w:rsid w:val="00C15267"/>
    <w:rsid w:val="00C248D1"/>
    <w:rsid w:val="00CB76E5"/>
    <w:rsid w:val="00CF1315"/>
    <w:rsid w:val="00CF2014"/>
    <w:rsid w:val="00D34A66"/>
    <w:rsid w:val="00D404CD"/>
    <w:rsid w:val="00D4296A"/>
    <w:rsid w:val="00D92A52"/>
    <w:rsid w:val="00DA4E98"/>
    <w:rsid w:val="00DB16C5"/>
    <w:rsid w:val="00DC5FC1"/>
    <w:rsid w:val="00DE1512"/>
    <w:rsid w:val="00DF2DCA"/>
    <w:rsid w:val="00E01D56"/>
    <w:rsid w:val="00E3045E"/>
    <w:rsid w:val="00E42CB5"/>
    <w:rsid w:val="00E42E13"/>
    <w:rsid w:val="00E43037"/>
    <w:rsid w:val="00E6423A"/>
    <w:rsid w:val="00E85C11"/>
    <w:rsid w:val="00E96B2D"/>
    <w:rsid w:val="00EB219A"/>
    <w:rsid w:val="00EB5E58"/>
    <w:rsid w:val="00F80A27"/>
    <w:rsid w:val="00FA250A"/>
    <w:rsid w:val="00FC4076"/>
    <w:rsid w:val="00FD2FA4"/>
    <w:rsid w:val="00FD3A8C"/>
    <w:rsid w:val="00FF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1CFE"/>
    <w:pPr>
      <w:ind w:leftChars="200" w:left="480"/>
    </w:pPr>
  </w:style>
  <w:style w:type="paragraph" w:styleId="a4">
    <w:name w:val="footer"/>
    <w:basedOn w:val="a"/>
    <w:link w:val="a5"/>
    <w:uiPriority w:val="99"/>
    <w:rsid w:val="00061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locked/>
    <w:rsid w:val="00061CFE"/>
    <w:rPr>
      <w:rFonts w:cs="Times New Roman"/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061CFE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locked/>
    <w:rsid w:val="00061CFE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061CF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semiHidden/>
    <w:rsid w:val="00DC5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sid w:val="00DC5FC1"/>
    <w:rPr>
      <w:rFonts w:cs="Times New Roman"/>
      <w:sz w:val="20"/>
      <w:szCs w:val="20"/>
    </w:rPr>
  </w:style>
  <w:style w:type="character" w:styleId="ab">
    <w:name w:val="Hyperlink"/>
    <w:basedOn w:val="a0"/>
    <w:uiPriority w:val="99"/>
    <w:semiHidden/>
    <w:rsid w:val="00397C2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77B6F"/>
    <w:rPr>
      <w:rFonts w:cs="Times New Roman"/>
    </w:rPr>
  </w:style>
  <w:style w:type="character" w:styleId="ac">
    <w:name w:val="Emphasis"/>
    <w:basedOn w:val="a0"/>
    <w:uiPriority w:val="99"/>
    <w:qFormat/>
    <w:locked/>
    <w:rsid w:val="00777B6F"/>
    <w:rPr>
      <w:rFonts w:cs="Times New Roman"/>
      <w:i/>
      <w:iCs/>
    </w:rPr>
  </w:style>
  <w:style w:type="character" w:styleId="ad">
    <w:name w:val="annotation reference"/>
    <w:basedOn w:val="a0"/>
    <w:uiPriority w:val="99"/>
    <w:semiHidden/>
    <w:rsid w:val="00777B6F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777B6F"/>
  </w:style>
  <w:style w:type="character" w:customStyle="1" w:styleId="af">
    <w:name w:val="註解文字 字元"/>
    <w:basedOn w:val="a0"/>
    <w:link w:val="ae"/>
    <w:uiPriority w:val="99"/>
    <w:semiHidden/>
    <w:rsid w:val="002155EC"/>
  </w:style>
  <w:style w:type="paragraph" w:styleId="af0">
    <w:name w:val="annotation subject"/>
    <w:basedOn w:val="ae"/>
    <w:next w:val="ae"/>
    <w:link w:val="af1"/>
    <w:uiPriority w:val="99"/>
    <w:semiHidden/>
    <w:rsid w:val="00777B6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155EC"/>
    <w:rPr>
      <w:b/>
      <w:bCs/>
    </w:rPr>
  </w:style>
  <w:style w:type="paragraph" w:styleId="af2">
    <w:name w:val="Balloon Text"/>
    <w:basedOn w:val="a"/>
    <w:link w:val="af3"/>
    <w:uiPriority w:val="99"/>
    <w:semiHidden/>
    <w:rsid w:val="00777B6F"/>
    <w:rPr>
      <w:rFonts w:ascii="Arial" w:hAnsi="Arial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2155EC"/>
    <w:rPr>
      <w:rFonts w:asciiTheme="majorHAnsi" w:eastAsiaTheme="majorEastAsia" w:hAnsiTheme="majorHAnsi" w:cstheme="majorBidi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1CFE"/>
    <w:pPr>
      <w:ind w:leftChars="200" w:left="480"/>
    </w:pPr>
  </w:style>
  <w:style w:type="paragraph" w:styleId="a4">
    <w:name w:val="footer"/>
    <w:basedOn w:val="a"/>
    <w:link w:val="a5"/>
    <w:uiPriority w:val="99"/>
    <w:rsid w:val="00061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locked/>
    <w:rsid w:val="00061CFE"/>
    <w:rPr>
      <w:rFonts w:cs="Times New Roman"/>
      <w:sz w:val="20"/>
      <w:szCs w:val="20"/>
    </w:rPr>
  </w:style>
  <w:style w:type="paragraph" w:styleId="a6">
    <w:name w:val="footnote text"/>
    <w:basedOn w:val="a"/>
    <w:link w:val="a7"/>
    <w:uiPriority w:val="99"/>
    <w:semiHidden/>
    <w:rsid w:val="00061CFE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locked/>
    <w:rsid w:val="00061CFE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061CFE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semiHidden/>
    <w:rsid w:val="00DC5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sid w:val="00DC5FC1"/>
    <w:rPr>
      <w:rFonts w:cs="Times New Roman"/>
      <w:sz w:val="20"/>
      <w:szCs w:val="20"/>
    </w:rPr>
  </w:style>
  <w:style w:type="character" w:styleId="ab">
    <w:name w:val="Hyperlink"/>
    <w:basedOn w:val="a0"/>
    <w:uiPriority w:val="99"/>
    <w:semiHidden/>
    <w:rsid w:val="00397C2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77B6F"/>
    <w:rPr>
      <w:rFonts w:cs="Times New Roman"/>
    </w:rPr>
  </w:style>
  <w:style w:type="character" w:styleId="ac">
    <w:name w:val="Emphasis"/>
    <w:basedOn w:val="a0"/>
    <w:uiPriority w:val="99"/>
    <w:qFormat/>
    <w:locked/>
    <w:rsid w:val="00777B6F"/>
    <w:rPr>
      <w:rFonts w:cs="Times New Roman"/>
      <w:i/>
      <w:iCs/>
    </w:rPr>
  </w:style>
  <w:style w:type="character" w:styleId="ad">
    <w:name w:val="annotation reference"/>
    <w:basedOn w:val="a0"/>
    <w:uiPriority w:val="99"/>
    <w:semiHidden/>
    <w:rsid w:val="00777B6F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777B6F"/>
  </w:style>
  <w:style w:type="character" w:customStyle="1" w:styleId="af">
    <w:name w:val="註解文字 字元"/>
    <w:basedOn w:val="a0"/>
    <w:link w:val="ae"/>
    <w:uiPriority w:val="99"/>
    <w:semiHidden/>
    <w:rsid w:val="002155EC"/>
  </w:style>
  <w:style w:type="paragraph" w:styleId="af0">
    <w:name w:val="annotation subject"/>
    <w:basedOn w:val="ae"/>
    <w:next w:val="ae"/>
    <w:link w:val="af1"/>
    <w:uiPriority w:val="99"/>
    <w:semiHidden/>
    <w:rsid w:val="00777B6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2155EC"/>
    <w:rPr>
      <w:b/>
      <w:bCs/>
    </w:rPr>
  </w:style>
  <w:style w:type="paragraph" w:styleId="af2">
    <w:name w:val="Balloon Text"/>
    <w:basedOn w:val="a"/>
    <w:link w:val="af3"/>
    <w:uiPriority w:val="99"/>
    <w:semiHidden/>
    <w:rsid w:val="00777B6F"/>
    <w:rPr>
      <w:rFonts w:ascii="Arial" w:hAnsi="Arial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2155EC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1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1143</dc:creator>
  <cp:lastModifiedBy>00</cp:lastModifiedBy>
  <cp:revision>2</cp:revision>
  <dcterms:created xsi:type="dcterms:W3CDTF">2015-08-10T09:07:00Z</dcterms:created>
  <dcterms:modified xsi:type="dcterms:W3CDTF">2015-08-10T09:07:00Z</dcterms:modified>
</cp:coreProperties>
</file>