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14" w:rsidRPr="000F1DE9" w:rsidRDefault="009F75E7" w:rsidP="000F1DE9">
      <w:pPr>
        <w:spacing w:line="400" w:lineRule="exact"/>
        <w:rPr>
          <w:rFonts w:ascii="標楷體" w:eastAsia="標楷體" w:hAnsi="標楷體"/>
          <w:sz w:val="36"/>
          <w:szCs w:val="36"/>
        </w:rPr>
      </w:pPr>
      <w:r w:rsidRPr="000F1DE9">
        <w:rPr>
          <w:rFonts w:ascii="標楷體" w:eastAsia="標楷體" w:hAnsi="標楷體" w:hint="eastAsia"/>
          <w:sz w:val="36"/>
          <w:szCs w:val="36"/>
        </w:rPr>
        <w:t>臺灣證券交易所股份有限公司辦理上市證券標購辦法</w:t>
      </w:r>
      <w:r w:rsidR="000F1DE9" w:rsidRPr="000F1DE9">
        <w:rPr>
          <w:rFonts w:ascii="標楷體" w:eastAsia="標楷體" w:hAnsi="標楷體" w:hint="eastAsia"/>
          <w:sz w:val="36"/>
          <w:szCs w:val="36"/>
        </w:rPr>
        <w:t>第二十條修正條文對照表</w:t>
      </w:r>
    </w:p>
    <w:tbl>
      <w:tblPr>
        <w:tblStyle w:val="a7"/>
        <w:tblW w:w="0" w:type="auto"/>
        <w:tblLook w:val="04A0"/>
      </w:tblPr>
      <w:tblGrid>
        <w:gridCol w:w="2787"/>
        <w:gridCol w:w="2787"/>
        <w:gridCol w:w="2788"/>
      </w:tblGrid>
      <w:tr w:rsidR="00C36273" w:rsidRPr="009F75E7" w:rsidTr="009F75E7">
        <w:tc>
          <w:tcPr>
            <w:tcW w:w="2787" w:type="dxa"/>
          </w:tcPr>
          <w:p w:rsidR="00C36273" w:rsidRPr="009F7276" w:rsidRDefault="00C36273" w:rsidP="002509D3">
            <w:pPr>
              <w:spacing w:line="360" w:lineRule="exact"/>
              <w:jc w:val="center"/>
              <w:rPr>
                <w:rFonts w:ascii="標楷體" w:eastAsia="標楷體" w:hAnsi="標楷體"/>
                <w:szCs w:val="24"/>
              </w:rPr>
            </w:pPr>
            <w:r w:rsidRPr="009F7276">
              <w:rPr>
                <w:rFonts w:ascii="標楷體" w:eastAsia="標楷體" w:hAnsi="標楷體" w:hint="eastAsia"/>
                <w:szCs w:val="24"/>
              </w:rPr>
              <w:t>修正條文</w:t>
            </w:r>
          </w:p>
        </w:tc>
        <w:tc>
          <w:tcPr>
            <w:tcW w:w="2787" w:type="dxa"/>
          </w:tcPr>
          <w:p w:rsidR="00C36273" w:rsidRPr="009F7276" w:rsidRDefault="00C36273" w:rsidP="002509D3">
            <w:pPr>
              <w:jc w:val="center"/>
              <w:rPr>
                <w:rFonts w:ascii="標楷體" w:eastAsia="標楷體" w:hAnsi="標楷體"/>
                <w:szCs w:val="24"/>
              </w:rPr>
            </w:pPr>
            <w:r w:rsidRPr="009F7276">
              <w:rPr>
                <w:rFonts w:ascii="標楷體" w:eastAsia="標楷體" w:hAnsi="標楷體" w:hint="eastAsia"/>
                <w:szCs w:val="24"/>
              </w:rPr>
              <w:t>現行條文</w:t>
            </w:r>
          </w:p>
        </w:tc>
        <w:tc>
          <w:tcPr>
            <w:tcW w:w="2788" w:type="dxa"/>
          </w:tcPr>
          <w:p w:rsidR="00C36273" w:rsidRPr="009F7276" w:rsidRDefault="00C36273" w:rsidP="002509D3">
            <w:pPr>
              <w:jc w:val="center"/>
              <w:rPr>
                <w:rFonts w:ascii="標楷體" w:eastAsia="標楷體" w:hAnsi="標楷體"/>
                <w:szCs w:val="24"/>
              </w:rPr>
            </w:pPr>
            <w:r w:rsidRPr="009F7276">
              <w:rPr>
                <w:rFonts w:ascii="標楷體" w:eastAsia="標楷體" w:hAnsi="標楷體" w:hint="eastAsia"/>
                <w:szCs w:val="24"/>
              </w:rPr>
              <w:t>說明</w:t>
            </w:r>
          </w:p>
        </w:tc>
      </w:tr>
      <w:tr w:rsidR="00C36273" w:rsidRPr="009F75E7" w:rsidTr="009F75E7">
        <w:tc>
          <w:tcPr>
            <w:tcW w:w="2787" w:type="dxa"/>
          </w:tcPr>
          <w:p w:rsidR="00C36273" w:rsidRPr="009F75E7" w:rsidRDefault="00C36273" w:rsidP="009F75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cs="細明體"/>
                <w:kern w:val="0"/>
                <w:sz w:val="23"/>
                <w:szCs w:val="23"/>
              </w:rPr>
            </w:pPr>
            <w:r w:rsidRPr="009F75E7">
              <w:rPr>
                <w:rFonts w:ascii="標楷體" w:eastAsia="標楷體" w:hAnsi="標楷體" w:hint="eastAsia"/>
                <w:sz w:val="23"/>
                <w:szCs w:val="23"/>
              </w:rPr>
              <w:t>第二十條</w:t>
            </w:r>
          </w:p>
          <w:p w:rsidR="00B93D51" w:rsidRPr="00062014" w:rsidRDefault="00C36273" w:rsidP="000620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Chars="206" w:firstLine="494"/>
              <w:jc w:val="both"/>
              <w:rPr>
                <w:rFonts w:ascii="標楷體" w:eastAsia="標楷體" w:hAnsi="標楷體"/>
                <w:szCs w:val="24"/>
                <w:u w:val="single"/>
              </w:rPr>
            </w:pPr>
            <w:r w:rsidRPr="00062014">
              <w:rPr>
                <w:rFonts w:ascii="標楷體" w:eastAsia="標楷體" w:hAnsi="標楷體" w:cs="細明體" w:hint="eastAsia"/>
                <w:kern w:val="0"/>
                <w:szCs w:val="24"/>
              </w:rPr>
              <w:t>本公司依本公司有價證券借貸辦法第四十一條委託證券商申請標購；</w:t>
            </w:r>
            <w:r w:rsidR="00B1425B" w:rsidRPr="00062014">
              <w:rPr>
                <w:rFonts w:ascii="標楷體" w:eastAsia="標楷體" w:hAnsi="標楷體" w:cs="細明體" w:hint="eastAsia"/>
                <w:kern w:val="0"/>
                <w:szCs w:val="24"/>
              </w:rPr>
              <w:t>證券金融事業依證券金融事業管理規則第十九條、第五十四條</w:t>
            </w:r>
            <w:r w:rsidR="00B1425B" w:rsidRPr="00062014">
              <w:rPr>
                <w:rFonts w:ascii="標楷體" w:eastAsia="標楷體" w:hAnsi="標楷體" w:cs="細明體" w:hint="eastAsia"/>
                <w:kern w:val="0"/>
                <w:szCs w:val="24"/>
                <w:u w:val="single"/>
              </w:rPr>
              <w:t>規定，或有</w:t>
            </w:r>
            <w:r w:rsidR="00B1425B" w:rsidRPr="00062014">
              <w:rPr>
                <w:rFonts w:ascii="標楷體" w:eastAsia="標楷體" w:hAnsi="標楷體" w:hint="eastAsia"/>
                <w:szCs w:val="24"/>
                <w:u w:val="single"/>
              </w:rPr>
              <w:t>證券商辦理有價證券買賣融資融券業務操作辦法</w:t>
            </w:r>
            <w:r w:rsidR="00B1425B" w:rsidRPr="00062014">
              <w:rPr>
                <w:rFonts w:ascii="標楷體" w:eastAsia="標楷體" w:hAnsi="標楷體" w:cs="細明體" w:hint="eastAsia"/>
                <w:kern w:val="0"/>
                <w:szCs w:val="24"/>
                <w:u w:val="single"/>
              </w:rPr>
              <w:t>第八十一條第四項情事，</w:t>
            </w:r>
            <w:r w:rsidR="00B1425B" w:rsidRPr="00062014">
              <w:rPr>
                <w:rFonts w:ascii="標楷體" w:eastAsia="標楷體" w:hAnsi="標楷體" w:cs="細明體" w:hint="eastAsia"/>
                <w:kern w:val="0"/>
                <w:szCs w:val="24"/>
              </w:rPr>
              <w:t>委託證券商申請標購；</w:t>
            </w:r>
            <w:r w:rsidRPr="00062014">
              <w:rPr>
                <w:rFonts w:ascii="標楷體" w:eastAsia="標楷體" w:hAnsi="標楷體" w:cs="細明體" w:hint="eastAsia"/>
                <w:kern w:val="0"/>
                <w:szCs w:val="24"/>
              </w:rPr>
              <w:t>證券商依證券商辦理有價證券借貸管理辦法第</w:t>
            </w:r>
            <w:r w:rsidRPr="00062014">
              <w:rPr>
                <w:rFonts w:ascii="標楷體" w:eastAsia="標楷體" w:hAnsi="標楷體" w:cs="細明體" w:hint="eastAsia"/>
                <w:kern w:val="0"/>
                <w:szCs w:val="24"/>
                <w:u w:val="single"/>
              </w:rPr>
              <w:t>十九</w:t>
            </w:r>
            <w:r w:rsidRPr="00062014">
              <w:rPr>
                <w:rFonts w:ascii="標楷體" w:eastAsia="標楷體" w:hAnsi="標楷體" w:cs="細明體" w:hint="eastAsia"/>
                <w:kern w:val="0"/>
                <w:szCs w:val="24"/>
              </w:rPr>
              <w:t>條、證券商辦理有價證券買賣融資融券管理辦法第三十條及</w:t>
            </w:r>
            <w:r w:rsidRPr="00062014">
              <w:rPr>
                <w:rFonts w:ascii="標楷體" w:eastAsia="標楷體" w:hAnsi="標楷體" w:hint="eastAsia"/>
                <w:szCs w:val="24"/>
                <w:u w:val="single"/>
              </w:rPr>
              <w:t>證券商辦理有價證券買賣融資融券業務操作辦法</w:t>
            </w:r>
            <w:r w:rsidRPr="00062014">
              <w:rPr>
                <w:rFonts w:ascii="標楷體" w:eastAsia="標楷體" w:hAnsi="標楷體" w:cs="細明體" w:hint="eastAsia"/>
                <w:kern w:val="0"/>
                <w:szCs w:val="24"/>
                <w:u w:val="single"/>
              </w:rPr>
              <w:t>第八十一條</w:t>
            </w:r>
            <w:r w:rsidRPr="00062014">
              <w:rPr>
                <w:rFonts w:ascii="標楷體" w:eastAsia="標楷體" w:hAnsi="標楷體" w:cs="細明體" w:hint="eastAsia"/>
                <w:kern w:val="0"/>
                <w:szCs w:val="24"/>
              </w:rPr>
              <w:t>規定申請標購，</w:t>
            </w:r>
            <w:proofErr w:type="gramStart"/>
            <w:r w:rsidRPr="00062014">
              <w:rPr>
                <w:rFonts w:ascii="標楷體" w:eastAsia="標楷體" w:hAnsi="標楷體" w:cs="細明體" w:hint="eastAsia"/>
                <w:kern w:val="0"/>
                <w:szCs w:val="24"/>
              </w:rPr>
              <w:t>準</w:t>
            </w:r>
            <w:proofErr w:type="gramEnd"/>
            <w:r w:rsidRPr="00062014">
              <w:rPr>
                <w:rFonts w:ascii="標楷體" w:eastAsia="標楷體" w:hAnsi="標楷體" w:cs="細明體" w:hint="eastAsia"/>
                <w:kern w:val="0"/>
                <w:szCs w:val="24"/>
              </w:rPr>
              <w:t>用第三章證券金融事業標購作業</w:t>
            </w:r>
            <w:r w:rsidR="004F31D2" w:rsidRPr="004F31D2">
              <w:rPr>
                <w:rFonts w:ascii="標楷體" w:eastAsia="標楷體" w:hAnsi="標楷體" w:cs="細明體" w:hint="eastAsia"/>
                <w:kern w:val="0"/>
                <w:szCs w:val="24"/>
                <w:u w:val="single"/>
              </w:rPr>
              <w:t>之規定</w:t>
            </w:r>
            <w:r w:rsidRPr="00062014">
              <w:rPr>
                <w:rFonts w:ascii="標楷體" w:eastAsia="標楷體" w:hAnsi="標楷體" w:cs="細明體" w:hint="eastAsia"/>
                <w:kern w:val="0"/>
                <w:szCs w:val="24"/>
              </w:rPr>
              <w:t>。</w:t>
            </w:r>
          </w:p>
        </w:tc>
        <w:tc>
          <w:tcPr>
            <w:tcW w:w="2787" w:type="dxa"/>
          </w:tcPr>
          <w:p w:rsidR="00C36273" w:rsidRPr="00062014" w:rsidRDefault="00C36273" w:rsidP="009F75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cs="細明體"/>
                <w:kern w:val="0"/>
                <w:szCs w:val="24"/>
              </w:rPr>
            </w:pPr>
            <w:r w:rsidRPr="00062014">
              <w:rPr>
                <w:rFonts w:ascii="標楷體" w:eastAsia="標楷體" w:hAnsi="標楷體" w:hint="eastAsia"/>
                <w:szCs w:val="24"/>
              </w:rPr>
              <w:t>第二十條</w:t>
            </w:r>
          </w:p>
          <w:p w:rsidR="00C36273" w:rsidRPr="009F75E7" w:rsidRDefault="00C36273" w:rsidP="000620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Chars="206" w:firstLine="494"/>
              <w:rPr>
                <w:rFonts w:ascii="標楷體" w:eastAsia="標楷體" w:hAnsi="標楷體"/>
              </w:rPr>
            </w:pPr>
            <w:r w:rsidRPr="00062014">
              <w:rPr>
                <w:rFonts w:ascii="標楷體" w:eastAsia="標楷體" w:hAnsi="標楷體" w:cs="細明體" w:hint="eastAsia"/>
                <w:kern w:val="0"/>
                <w:szCs w:val="24"/>
              </w:rPr>
              <w:t>本公司依本公司有價證券借貸辦法第四十一條委託證券商申請標購；證券金融事業依證券金融事業管理規則第十九條、第五十四條</w:t>
            </w:r>
            <w:r w:rsidR="004F31D2" w:rsidRPr="004F31D2">
              <w:rPr>
                <w:rFonts w:ascii="標楷體" w:eastAsia="標楷體" w:hAnsi="標楷體" w:cs="細明體" w:hint="eastAsia"/>
                <w:kern w:val="0"/>
                <w:szCs w:val="24"/>
              </w:rPr>
              <w:t>及本公司融資融券有價證券停止買賣或暫停交易後相關配合作業第五點規定</w:t>
            </w:r>
            <w:r w:rsidRPr="00062014">
              <w:rPr>
                <w:rFonts w:ascii="標楷體" w:eastAsia="標楷體" w:hAnsi="標楷體" w:cs="細明體" w:hint="eastAsia"/>
                <w:kern w:val="0"/>
                <w:szCs w:val="24"/>
              </w:rPr>
              <w:t>委託證券商申請標購；證券商依證券商辦理有價證券借貸管理辦法第二十九條、證券商辦理有價證券買賣融資融券管理辦法第三十條及</w:t>
            </w:r>
            <w:r w:rsidR="004F31D2" w:rsidRPr="004F31D2">
              <w:rPr>
                <w:rFonts w:ascii="標楷體" w:eastAsia="標楷體" w:hAnsi="標楷體" w:cs="細明體" w:hint="eastAsia"/>
                <w:kern w:val="0"/>
                <w:szCs w:val="24"/>
              </w:rPr>
              <w:t>本公司融資融券有價證券停止買賣或暫停交易後相關配合作業第五點</w:t>
            </w:r>
            <w:r w:rsidRPr="00062014">
              <w:rPr>
                <w:rFonts w:ascii="標楷體" w:eastAsia="標楷體" w:hAnsi="標楷體" w:cs="細明體" w:hint="eastAsia"/>
                <w:kern w:val="0"/>
                <w:szCs w:val="24"/>
              </w:rPr>
              <w:t>規定申請標購，</w:t>
            </w:r>
            <w:proofErr w:type="gramStart"/>
            <w:r w:rsidRPr="00062014">
              <w:rPr>
                <w:rFonts w:ascii="標楷體" w:eastAsia="標楷體" w:hAnsi="標楷體" w:cs="細明體" w:hint="eastAsia"/>
                <w:kern w:val="0"/>
                <w:szCs w:val="24"/>
              </w:rPr>
              <w:t>準</w:t>
            </w:r>
            <w:proofErr w:type="gramEnd"/>
            <w:r w:rsidRPr="00062014">
              <w:rPr>
                <w:rFonts w:ascii="標楷體" w:eastAsia="標楷體" w:hAnsi="標楷體" w:cs="細明體" w:hint="eastAsia"/>
                <w:kern w:val="0"/>
                <w:szCs w:val="24"/>
              </w:rPr>
              <w:t>用第三章證券金融事業標購作業。</w:t>
            </w:r>
          </w:p>
        </w:tc>
        <w:tc>
          <w:tcPr>
            <w:tcW w:w="2788" w:type="dxa"/>
          </w:tcPr>
          <w:p w:rsidR="000770DC" w:rsidRDefault="000770DC" w:rsidP="007679DB">
            <w:pPr>
              <w:ind w:left="379" w:hangingChars="158" w:hanging="379"/>
              <w:rPr>
                <w:rFonts w:ascii="標楷體" w:eastAsia="標楷體" w:hAnsi="標楷體"/>
              </w:rPr>
            </w:pPr>
            <w:r>
              <w:rPr>
                <w:rFonts w:ascii="標楷體" w:eastAsia="標楷體" w:hAnsi="標楷體" w:hint="eastAsia"/>
              </w:rPr>
              <w:t>一</w:t>
            </w:r>
            <w:r w:rsidRPr="007679DB">
              <w:rPr>
                <w:rFonts w:ascii="標楷體" w:eastAsia="標楷體" w:hAnsi="標楷體" w:hint="eastAsia"/>
                <w:szCs w:val="24"/>
              </w:rPr>
              <w:t>、</w:t>
            </w:r>
            <w:r w:rsidR="00462EEC" w:rsidRPr="007679DB">
              <w:rPr>
                <w:rFonts w:ascii="標楷體" w:eastAsia="標楷體" w:hAnsi="標楷體" w:hint="eastAsia"/>
                <w:szCs w:val="24"/>
              </w:rPr>
              <w:t>因應</w:t>
            </w:r>
            <w:r w:rsidR="00D84431" w:rsidRPr="007679DB">
              <w:rPr>
                <w:rFonts w:ascii="標楷體" w:eastAsia="標楷體" w:hAnsi="標楷體" w:hint="eastAsia"/>
                <w:szCs w:val="24"/>
              </w:rPr>
              <w:t>證券商</w:t>
            </w:r>
            <w:r w:rsidR="00D84431">
              <w:rPr>
                <w:rFonts w:ascii="標楷體" w:eastAsia="標楷體" w:hAnsi="標楷體" w:hint="eastAsia"/>
                <w:szCs w:val="24"/>
              </w:rPr>
              <w:t>有</w:t>
            </w:r>
            <w:r w:rsidR="00AB0BA7" w:rsidRPr="00062014">
              <w:rPr>
                <w:rFonts w:ascii="標楷體" w:eastAsia="標楷體" w:hAnsi="標楷體" w:cs="細明體" w:hint="eastAsia"/>
                <w:kern w:val="0"/>
                <w:szCs w:val="24"/>
              </w:rPr>
              <w:t>本公司</w:t>
            </w:r>
            <w:r w:rsidR="00462EEC" w:rsidRPr="007679DB">
              <w:rPr>
                <w:rFonts w:ascii="標楷體" w:eastAsia="標楷體" w:hAnsi="標楷體" w:cs="細明體" w:hint="eastAsia"/>
                <w:kern w:val="0"/>
                <w:szCs w:val="24"/>
              </w:rPr>
              <w:t>融資融券有價證券停止買賣或暫停交易後相關配合作業</w:t>
            </w:r>
            <w:r w:rsidR="007679DB" w:rsidRPr="007679DB">
              <w:rPr>
                <w:rFonts w:ascii="標楷體" w:eastAsia="標楷體" w:hAnsi="標楷體" w:hint="eastAsia"/>
                <w:szCs w:val="24"/>
              </w:rPr>
              <w:t>第五點規定情事（融券人於發行公司停過日前未依規定回補，證券商應予處分，如遇有價證券有停止買賣或</w:t>
            </w:r>
            <w:r w:rsidR="007679DB" w:rsidRPr="007679DB">
              <w:rPr>
                <w:rFonts w:ascii="標楷體" w:eastAsia="標楷體" w:hAnsi="標楷體" w:hint="eastAsia"/>
              </w:rPr>
              <w:t>暫停</w:t>
            </w:r>
            <w:r w:rsidR="007679DB" w:rsidRPr="007679DB">
              <w:rPr>
                <w:rFonts w:ascii="標楷體" w:eastAsia="標楷體" w:hAnsi="標楷體" w:hint="eastAsia"/>
                <w:szCs w:val="24"/>
              </w:rPr>
              <w:t>交易時，得辦理標購）</w:t>
            </w:r>
            <w:r w:rsidR="00D84431">
              <w:rPr>
                <w:rFonts w:ascii="標楷體" w:eastAsia="標楷體" w:hAnsi="標楷體" w:hint="eastAsia"/>
                <w:szCs w:val="24"/>
              </w:rPr>
              <w:t>時</w:t>
            </w:r>
            <w:r w:rsidR="007679DB" w:rsidRPr="007679DB">
              <w:rPr>
                <w:rFonts w:ascii="標楷體" w:eastAsia="標楷體" w:hAnsi="標楷體" w:hint="eastAsia"/>
                <w:szCs w:val="24"/>
              </w:rPr>
              <w:t>，適用標購辦法之規範，</w:t>
            </w:r>
            <w:r w:rsidR="00D84431">
              <w:rPr>
                <w:rFonts w:ascii="標楷體" w:eastAsia="標楷體" w:hAnsi="標楷體" w:hint="eastAsia"/>
                <w:szCs w:val="24"/>
              </w:rPr>
              <w:t>已</w:t>
            </w:r>
            <w:r w:rsidR="00462EEC" w:rsidRPr="007679DB">
              <w:rPr>
                <w:rFonts w:ascii="標楷體" w:eastAsia="標楷體" w:hAnsi="標楷體" w:hint="eastAsia"/>
                <w:szCs w:val="24"/>
              </w:rPr>
              <w:t>併入證券</w:t>
            </w:r>
            <w:r w:rsidR="00462EEC" w:rsidRPr="00A73211">
              <w:rPr>
                <w:rFonts w:ascii="標楷體" w:eastAsia="標楷體" w:hAnsi="標楷體" w:hint="eastAsia"/>
                <w:szCs w:val="24"/>
              </w:rPr>
              <w:t>商辦理有價證券買賣融資融券業務操作辦法</w:t>
            </w:r>
            <w:r w:rsidR="00D84431" w:rsidRPr="00D84431">
              <w:rPr>
                <w:rFonts w:ascii="標楷體" w:eastAsia="標楷體" w:hAnsi="標楷體" w:cs="細明體" w:hint="eastAsia"/>
                <w:kern w:val="0"/>
                <w:szCs w:val="24"/>
              </w:rPr>
              <w:t>第八十一條</w:t>
            </w:r>
            <w:r w:rsidR="00462EEC">
              <w:rPr>
                <w:rFonts w:ascii="標楷體" w:eastAsia="標楷體" w:hAnsi="標楷體" w:hint="eastAsia"/>
              </w:rPr>
              <w:t>，</w:t>
            </w:r>
            <w:r w:rsidR="00A43E52">
              <w:rPr>
                <w:rFonts w:ascii="標楷體" w:eastAsia="標楷體" w:hAnsi="標楷體" w:hint="eastAsia"/>
              </w:rPr>
              <w:t>並</w:t>
            </w:r>
            <w:r w:rsidR="00A43E52" w:rsidRPr="00A43E52">
              <w:rPr>
                <w:rFonts w:ascii="標楷體" w:eastAsia="標楷體" w:hAnsi="標楷體" w:hint="eastAsia"/>
              </w:rPr>
              <w:t>為使證券金融事業有相同事由時，亦得採行標購具法源依據，</w:t>
            </w:r>
            <w:r w:rsidR="00462EEC">
              <w:rPr>
                <w:rFonts w:ascii="標楷體" w:eastAsia="標楷體" w:hAnsi="標楷體" w:hint="eastAsia"/>
              </w:rPr>
              <w:t>引用規章配合調整。</w:t>
            </w:r>
          </w:p>
          <w:p w:rsidR="00C36273" w:rsidRDefault="000770DC" w:rsidP="007679DB">
            <w:pPr>
              <w:ind w:left="379" w:hangingChars="158" w:hanging="379"/>
              <w:rPr>
                <w:rFonts w:ascii="標楷體" w:eastAsia="標楷體" w:hAnsi="標楷體"/>
              </w:rPr>
            </w:pPr>
            <w:r>
              <w:rPr>
                <w:rFonts w:ascii="標楷體" w:eastAsia="標楷體" w:hAnsi="標楷體" w:hint="eastAsia"/>
              </w:rPr>
              <w:t>二、</w:t>
            </w:r>
            <w:r w:rsidR="00462EEC">
              <w:rPr>
                <w:rFonts w:ascii="標楷體" w:eastAsia="標楷體" w:hAnsi="標楷體" w:hint="eastAsia"/>
              </w:rPr>
              <w:t>因應</w:t>
            </w:r>
            <w:r w:rsidR="00462EEC" w:rsidRPr="009F75E7">
              <w:rPr>
                <w:rFonts w:ascii="標楷體" w:eastAsia="標楷體" w:hAnsi="標楷體" w:cs="細明體" w:hint="eastAsia"/>
                <w:kern w:val="0"/>
                <w:sz w:val="23"/>
                <w:szCs w:val="23"/>
              </w:rPr>
              <w:t>證券商辦理有價證券借貸管理辦法</w:t>
            </w:r>
            <w:r w:rsidR="00462EEC">
              <w:rPr>
                <w:rFonts w:ascii="標楷體" w:eastAsia="標楷體" w:hAnsi="標楷體" w:cs="細明體" w:hint="eastAsia"/>
                <w:kern w:val="0"/>
                <w:sz w:val="23"/>
                <w:szCs w:val="23"/>
              </w:rPr>
              <w:t>條次調整，</w:t>
            </w:r>
            <w:r w:rsidR="00462EEC">
              <w:rPr>
                <w:rFonts w:ascii="標楷體" w:eastAsia="標楷體" w:hAnsi="標楷體" w:hint="eastAsia"/>
              </w:rPr>
              <w:t>引用條次配合調整。</w:t>
            </w:r>
          </w:p>
          <w:p w:rsidR="00B1425B" w:rsidRPr="009F75E7" w:rsidRDefault="00B1425B" w:rsidP="00462EEC">
            <w:pPr>
              <w:ind w:left="521" w:hangingChars="217" w:hanging="521"/>
              <w:rPr>
                <w:rFonts w:ascii="標楷體" w:eastAsia="標楷體" w:hAnsi="標楷體"/>
              </w:rPr>
            </w:pPr>
          </w:p>
        </w:tc>
      </w:tr>
    </w:tbl>
    <w:p w:rsidR="009F75E7" w:rsidRPr="009F75E7" w:rsidRDefault="009F75E7">
      <w:pPr>
        <w:rPr>
          <w:rFonts w:ascii="標楷體" w:eastAsia="標楷體" w:hAnsi="標楷體"/>
        </w:rPr>
      </w:pPr>
    </w:p>
    <w:sectPr w:rsidR="009F75E7" w:rsidRPr="009F75E7" w:rsidSect="007B5C1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C5F" w:rsidRDefault="00A87C5F" w:rsidP="009F75E7">
      <w:r>
        <w:separator/>
      </w:r>
    </w:p>
  </w:endnote>
  <w:endnote w:type="continuationSeparator" w:id="0">
    <w:p w:rsidR="00A87C5F" w:rsidRDefault="00A87C5F" w:rsidP="009F75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C5F" w:rsidRDefault="00A87C5F" w:rsidP="009F75E7">
      <w:r>
        <w:separator/>
      </w:r>
    </w:p>
  </w:footnote>
  <w:footnote w:type="continuationSeparator" w:id="0">
    <w:p w:rsidR="00A87C5F" w:rsidRDefault="00A87C5F" w:rsidP="009F75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75E7"/>
    <w:rsid w:val="00001D53"/>
    <w:rsid w:val="00060D26"/>
    <w:rsid w:val="00062014"/>
    <w:rsid w:val="0006781A"/>
    <w:rsid w:val="000770DC"/>
    <w:rsid w:val="00081BF0"/>
    <w:rsid w:val="000B025B"/>
    <w:rsid w:val="000D08E7"/>
    <w:rsid w:val="000F1DE9"/>
    <w:rsid w:val="00125694"/>
    <w:rsid w:val="00133695"/>
    <w:rsid w:val="001C748F"/>
    <w:rsid w:val="00220E0C"/>
    <w:rsid w:val="00225259"/>
    <w:rsid w:val="002C6345"/>
    <w:rsid w:val="002F3C43"/>
    <w:rsid w:val="00371338"/>
    <w:rsid w:val="003A645F"/>
    <w:rsid w:val="0040772A"/>
    <w:rsid w:val="00440257"/>
    <w:rsid w:val="004535EE"/>
    <w:rsid w:val="00462EEC"/>
    <w:rsid w:val="00477E79"/>
    <w:rsid w:val="004D7272"/>
    <w:rsid w:val="004F31D2"/>
    <w:rsid w:val="00574AE5"/>
    <w:rsid w:val="00584EE5"/>
    <w:rsid w:val="00641E63"/>
    <w:rsid w:val="006B7B1C"/>
    <w:rsid w:val="006D21AC"/>
    <w:rsid w:val="007665C3"/>
    <w:rsid w:val="007679DB"/>
    <w:rsid w:val="007B5C14"/>
    <w:rsid w:val="007C77C4"/>
    <w:rsid w:val="008F0205"/>
    <w:rsid w:val="008F25C2"/>
    <w:rsid w:val="00900B59"/>
    <w:rsid w:val="009246ED"/>
    <w:rsid w:val="0099571B"/>
    <w:rsid w:val="009A1EA5"/>
    <w:rsid w:val="009C6C5F"/>
    <w:rsid w:val="009F75E7"/>
    <w:rsid w:val="00A22485"/>
    <w:rsid w:val="00A43E52"/>
    <w:rsid w:val="00A53F86"/>
    <w:rsid w:val="00A73211"/>
    <w:rsid w:val="00A7719E"/>
    <w:rsid w:val="00A87C5F"/>
    <w:rsid w:val="00A905FB"/>
    <w:rsid w:val="00AB0BA7"/>
    <w:rsid w:val="00AD54AE"/>
    <w:rsid w:val="00AE37C8"/>
    <w:rsid w:val="00B019FA"/>
    <w:rsid w:val="00B03067"/>
    <w:rsid w:val="00B1425B"/>
    <w:rsid w:val="00B505C1"/>
    <w:rsid w:val="00B530CC"/>
    <w:rsid w:val="00B93D51"/>
    <w:rsid w:val="00BA55B9"/>
    <w:rsid w:val="00BD200F"/>
    <w:rsid w:val="00C07D85"/>
    <w:rsid w:val="00C36273"/>
    <w:rsid w:val="00C64ADD"/>
    <w:rsid w:val="00C76880"/>
    <w:rsid w:val="00C76CEC"/>
    <w:rsid w:val="00C945F2"/>
    <w:rsid w:val="00CE4EDB"/>
    <w:rsid w:val="00CE6B3C"/>
    <w:rsid w:val="00D84431"/>
    <w:rsid w:val="00D8754D"/>
    <w:rsid w:val="00D90356"/>
    <w:rsid w:val="00D971B0"/>
    <w:rsid w:val="00DE3A6A"/>
    <w:rsid w:val="00DE564B"/>
    <w:rsid w:val="00DF62AA"/>
    <w:rsid w:val="00E81994"/>
    <w:rsid w:val="00EA67DB"/>
    <w:rsid w:val="00EE2985"/>
    <w:rsid w:val="00F34927"/>
    <w:rsid w:val="00F60670"/>
    <w:rsid w:val="00F7063E"/>
    <w:rsid w:val="00F87B58"/>
    <w:rsid w:val="00FA38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1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75E7"/>
    <w:pPr>
      <w:tabs>
        <w:tab w:val="center" w:pos="4153"/>
        <w:tab w:val="right" w:pos="8306"/>
      </w:tabs>
      <w:snapToGrid w:val="0"/>
    </w:pPr>
    <w:rPr>
      <w:sz w:val="20"/>
      <w:szCs w:val="20"/>
    </w:rPr>
  </w:style>
  <w:style w:type="character" w:customStyle="1" w:styleId="a4">
    <w:name w:val="頁首 字元"/>
    <w:basedOn w:val="a0"/>
    <w:link w:val="a3"/>
    <w:uiPriority w:val="99"/>
    <w:semiHidden/>
    <w:rsid w:val="009F75E7"/>
    <w:rPr>
      <w:sz w:val="20"/>
      <w:szCs w:val="20"/>
    </w:rPr>
  </w:style>
  <w:style w:type="paragraph" w:styleId="a5">
    <w:name w:val="footer"/>
    <w:basedOn w:val="a"/>
    <w:link w:val="a6"/>
    <w:uiPriority w:val="99"/>
    <w:semiHidden/>
    <w:unhideWhenUsed/>
    <w:rsid w:val="009F75E7"/>
    <w:pPr>
      <w:tabs>
        <w:tab w:val="center" w:pos="4153"/>
        <w:tab w:val="right" w:pos="8306"/>
      </w:tabs>
      <w:snapToGrid w:val="0"/>
    </w:pPr>
    <w:rPr>
      <w:sz w:val="20"/>
      <w:szCs w:val="20"/>
    </w:rPr>
  </w:style>
  <w:style w:type="character" w:customStyle="1" w:styleId="a6">
    <w:name w:val="頁尾 字元"/>
    <w:basedOn w:val="a0"/>
    <w:link w:val="a5"/>
    <w:uiPriority w:val="99"/>
    <w:semiHidden/>
    <w:rsid w:val="009F75E7"/>
    <w:rPr>
      <w:sz w:val="20"/>
      <w:szCs w:val="20"/>
    </w:rPr>
  </w:style>
  <w:style w:type="table" w:styleId="a7">
    <w:name w:val="Table Grid"/>
    <w:basedOn w:val="a1"/>
    <w:uiPriority w:val="59"/>
    <w:rsid w:val="009F7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9F75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Pr>
      <w:rFonts w:ascii="細明體" w:eastAsia="細明體" w:hAnsi="細明體" w:cs="細明體"/>
      <w:kern w:val="0"/>
      <w:szCs w:val="24"/>
    </w:rPr>
  </w:style>
  <w:style w:type="character" w:customStyle="1" w:styleId="HTML0">
    <w:name w:val="HTML 預設格式 字元"/>
    <w:basedOn w:val="a0"/>
    <w:link w:val="HTML"/>
    <w:uiPriority w:val="99"/>
    <w:semiHidden/>
    <w:rsid w:val="009F75E7"/>
    <w:rPr>
      <w:rFonts w:ascii="細明體" w:eastAsia="細明體" w:hAnsi="細明體" w:cs="細明體"/>
      <w:kern w:val="0"/>
      <w:szCs w:val="24"/>
    </w:rPr>
  </w:style>
  <w:style w:type="paragraph" w:styleId="a8">
    <w:name w:val="Balloon Text"/>
    <w:basedOn w:val="a"/>
    <w:link w:val="a9"/>
    <w:uiPriority w:val="99"/>
    <w:semiHidden/>
    <w:unhideWhenUsed/>
    <w:rsid w:val="000D08E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D08E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13A2B-5A5F-41A6-853E-685611A1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3</cp:revision>
  <cp:lastPrinted>2016-12-05T07:19:00Z</cp:lastPrinted>
  <dcterms:created xsi:type="dcterms:W3CDTF">2016-12-28T08:11:00Z</dcterms:created>
  <dcterms:modified xsi:type="dcterms:W3CDTF">2016-12-28T08:13:00Z</dcterms:modified>
</cp:coreProperties>
</file>