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19" w:rsidRPr="00FE796F" w:rsidRDefault="000D3019" w:rsidP="00CC4D27">
      <w:pPr>
        <w:spacing w:line="400" w:lineRule="exact"/>
        <w:jc w:val="center"/>
        <w:rPr>
          <w:rFonts w:ascii="標楷體" w:eastAsia="標楷體" w:hAnsi="標楷體"/>
          <w:b/>
          <w:sz w:val="36"/>
          <w:szCs w:val="36"/>
        </w:rPr>
      </w:pPr>
      <w:r w:rsidRPr="00FE796F">
        <w:rPr>
          <w:rFonts w:ascii="標楷體" w:eastAsia="標楷體" w:hAnsi="標楷體" w:hint="eastAsia"/>
          <w:b/>
          <w:sz w:val="36"/>
          <w:szCs w:val="36"/>
        </w:rPr>
        <w:t>臺灣證券交易</w:t>
      </w:r>
      <w:r w:rsidR="00EE7D5E" w:rsidRPr="00FE796F">
        <w:rPr>
          <w:rFonts w:ascii="標楷體" w:eastAsia="標楷體" w:hAnsi="標楷體" w:hint="eastAsia"/>
          <w:b/>
          <w:sz w:val="36"/>
          <w:szCs w:val="36"/>
        </w:rPr>
        <w:t>所</w:t>
      </w:r>
      <w:r w:rsidRPr="00FE796F">
        <w:rPr>
          <w:rFonts w:ascii="標楷體" w:eastAsia="標楷體" w:hAnsi="標楷體" w:hint="eastAsia"/>
          <w:b/>
          <w:sz w:val="36"/>
          <w:szCs w:val="36"/>
        </w:rPr>
        <w:t>股份有限公司有價證券上市審查準則</w:t>
      </w:r>
      <w:r w:rsidR="00D005DA" w:rsidRPr="00FE796F">
        <w:rPr>
          <w:rFonts w:ascii="標楷體" w:eastAsia="標楷體" w:hAnsi="標楷體" w:hint="eastAsia"/>
          <w:b/>
          <w:sz w:val="36"/>
          <w:szCs w:val="36"/>
        </w:rPr>
        <w:t>第</w:t>
      </w:r>
      <w:r w:rsidR="00226A86">
        <w:rPr>
          <w:rFonts w:ascii="標楷體" w:eastAsia="標楷體" w:hAnsi="標楷體" w:hint="eastAsia"/>
          <w:b/>
          <w:sz w:val="36"/>
          <w:szCs w:val="36"/>
        </w:rPr>
        <w:t>二十八</w:t>
      </w:r>
      <w:r w:rsidR="00D005DA" w:rsidRPr="00FE796F">
        <w:rPr>
          <w:rFonts w:ascii="標楷體" w:eastAsia="標楷體" w:hAnsi="標楷體" w:hint="eastAsia"/>
          <w:b/>
          <w:sz w:val="36"/>
          <w:szCs w:val="36"/>
        </w:rPr>
        <w:t>條之</w:t>
      </w:r>
      <w:r w:rsidR="00226A86">
        <w:rPr>
          <w:rFonts w:ascii="標楷體" w:eastAsia="標楷體" w:hAnsi="標楷體" w:hint="eastAsia"/>
          <w:b/>
          <w:sz w:val="36"/>
          <w:szCs w:val="36"/>
        </w:rPr>
        <w:t>六</w:t>
      </w:r>
      <w:r w:rsidR="00D005DA" w:rsidRPr="00FE796F">
        <w:rPr>
          <w:rFonts w:ascii="標楷體" w:eastAsia="標楷體" w:hAnsi="標楷體" w:hint="eastAsia"/>
          <w:b/>
          <w:sz w:val="36"/>
          <w:szCs w:val="36"/>
        </w:rPr>
        <w:t>修正</w:t>
      </w:r>
      <w:r w:rsidR="00793715" w:rsidRPr="00FE796F">
        <w:rPr>
          <w:rFonts w:ascii="標楷體" w:eastAsia="標楷體" w:hAnsi="標楷體" w:hint="eastAsia"/>
          <w:b/>
          <w:sz w:val="36"/>
          <w:szCs w:val="36"/>
        </w:rPr>
        <w:t>條文</w:t>
      </w:r>
      <w:r w:rsidRPr="00FE796F">
        <w:rPr>
          <w:rFonts w:ascii="標楷體" w:eastAsia="標楷體" w:hAnsi="標楷體" w:hint="eastAsia"/>
          <w:b/>
          <w:sz w:val="36"/>
          <w:szCs w:val="36"/>
        </w:rPr>
        <w:t>對照表</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61"/>
        <w:gridCol w:w="3260"/>
        <w:gridCol w:w="3827"/>
      </w:tblGrid>
      <w:tr w:rsidR="000D3019" w:rsidTr="00526840">
        <w:tc>
          <w:tcPr>
            <w:tcW w:w="3261" w:type="dxa"/>
          </w:tcPr>
          <w:p w:rsidR="000D3019" w:rsidRPr="003541E4" w:rsidRDefault="000D3019" w:rsidP="003541E4">
            <w:pPr>
              <w:jc w:val="distribute"/>
              <w:rPr>
                <w:rFonts w:ascii="標楷體" w:eastAsia="標楷體" w:hAnsi="標楷體"/>
              </w:rPr>
            </w:pPr>
            <w:r w:rsidRPr="003541E4">
              <w:rPr>
                <w:rFonts w:ascii="標楷體" w:eastAsia="標楷體" w:hAnsi="標楷體"/>
              </w:rPr>
              <w:t>修正條文</w:t>
            </w:r>
          </w:p>
        </w:tc>
        <w:tc>
          <w:tcPr>
            <w:tcW w:w="3260" w:type="dxa"/>
          </w:tcPr>
          <w:p w:rsidR="000D3019" w:rsidRPr="003541E4" w:rsidRDefault="000D3019" w:rsidP="003541E4">
            <w:pPr>
              <w:jc w:val="distribute"/>
              <w:rPr>
                <w:rFonts w:ascii="標楷體" w:eastAsia="標楷體" w:hAnsi="標楷體"/>
              </w:rPr>
            </w:pPr>
            <w:r w:rsidRPr="003541E4">
              <w:rPr>
                <w:rFonts w:ascii="標楷體" w:eastAsia="標楷體" w:hAnsi="標楷體"/>
              </w:rPr>
              <w:t>現行條文</w:t>
            </w:r>
          </w:p>
        </w:tc>
        <w:tc>
          <w:tcPr>
            <w:tcW w:w="3827" w:type="dxa"/>
          </w:tcPr>
          <w:p w:rsidR="000D3019" w:rsidRPr="003541E4" w:rsidRDefault="000D3019" w:rsidP="003541E4">
            <w:pPr>
              <w:jc w:val="distribute"/>
              <w:rPr>
                <w:rFonts w:ascii="標楷體" w:eastAsia="標楷體" w:hAnsi="標楷體"/>
              </w:rPr>
            </w:pPr>
            <w:r w:rsidRPr="003541E4">
              <w:rPr>
                <w:rFonts w:ascii="標楷體" w:eastAsia="標楷體" w:hAnsi="標楷體"/>
              </w:rPr>
              <w:t>說明</w:t>
            </w:r>
          </w:p>
        </w:tc>
      </w:tr>
      <w:tr w:rsidR="009617E9" w:rsidTr="00526840">
        <w:tc>
          <w:tcPr>
            <w:tcW w:w="3261" w:type="dxa"/>
          </w:tcPr>
          <w:p w:rsidR="009617E9" w:rsidRPr="0000056D" w:rsidRDefault="009617E9" w:rsidP="006D4552">
            <w:pPr>
              <w:tabs>
                <w:tab w:val="left" w:pos="592"/>
              </w:tabs>
              <w:spacing w:line="520" w:lineRule="exact"/>
              <w:ind w:rightChars="-22" w:right="-53"/>
              <w:jc w:val="both"/>
              <w:rPr>
                <w:rFonts w:ascii="標楷體" w:eastAsia="標楷體" w:hAnsi="標楷體"/>
                <w:sz w:val="28"/>
                <w:szCs w:val="28"/>
              </w:rPr>
            </w:pPr>
            <w:r w:rsidRPr="0000056D">
              <w:rPr>
                <w:rFonts w:ascii="標楷體" w:eastAsia="標楷體" w:hAnsi="標楷體" w:hint="eastAsia"/>
                <w:sz w:val="28"/>
                <w:szCs w:val="28"/>
              </w:rPr>
              <w:t>第二十八條之六</w:t>
            </w:r>
          </w:p>
          <w:p w:rsidR="009617E9" w:rsidRDefault="00520D8A" w:rsidP="00520D8A">
            <w:pPr>
              <w:pStyle w:val="a9"/>
              <w:tabs>
                <w:tab w:val="left" w:pos="34"/>
              </w:tabs>
              <w:spacing w:line="520" w:lineRule="exact"/>
              <w:ind w:leftChars="0" w:left="0" w:rightChars="-22" w:right="-53" w:firstLineChars="200" w:firstLine="560"/>
              <w:jc w:val="both"/>
              <w:rPr>
                <w:rFonts w:ascii="標楷體" w:eastAsia="標楷體" w:hAnsi="標楷體"/>
                <w:sz w:val="28"/>
                <w:szCs w:val="28"/>
              </w:rPr>
            </w:pPr>
            <w:r w:rsidRPr="00520D8A">
              <w:rPr>
                <w:rFonts w:ascii="標楷體" w:eastAsia="標楷體" w:hAnsi="標楷體" w:hint="eastAsia"/>
                <w:sz w:val="28"/>
                <w:szCs w:val="28"/>
              </w:rPr>
              <w:t>外國發行人申請時</w:t>
            </w:r>
            <w:r w:rsidR="009617E9" w:rsidRPr="00806584">
              <w:rPr>
                <w:rFonts w:ascii="標楷體" w:eastAsia="標楷體" w:hAnsi="標楷體" w:hint="eastAsia"/>
                <w:sz w:val="28"/>
                <w:szCs w:val="28"/>
              </w:rPr>
              <w:t>屬於母子公司關係之子公司申請其股票上市，除公營事業外，</w:t>
            </w:r>
            <w:proofErr w:type="gramStart"/>
            <w:r w:rsidR="009617E9" w:rsidRPr="00806584">
              <w:rPr>
                <w:rFonts w:ascii="標楷體" w:eastAsia="標楷體" w:hAnsi="標楷體" w:hint="eastAsia"/>
                <w:sz w:val="28"/>
                <w:szCs w:val="28"/>
              </w:rPr>
              <w:t>雖合於</w:t>
            </w:r>
            <w:proofErr w:type="gramEnd"/>
            <w:r w:rsidR="009617E9" w:rsidRPr="00806584">
              <w:rPr>
                <w:rFonts w:ascii="標楷體" w:eastAsia="標楷體" w:hAnsi="標楷體" w:hint="eastAsia"/>
                <w:sz w:val="28"/>
                <w:szCs w:val="28"/>
              </w:rPr>
              <w:t>本準則有關規定，但不能符合下列各款情事者，應不同意其股票上市：</w:t>
            </w:r>
          </w:p>
          <w:p w:rsidR="0004623E" w:rsidRDefault="009617E9" w:rsidP="0004623E">
            <w:pPr>
              <w:pStyle w:val="a9"/>
              <w:numPr>
                <w:ilvl w:val="0"/>
                <w:numId w:val="4"/>
              </w:numPr>
              <w:tabs>
                <w:tab w:val="left" w:pos="592"/>
              </w:tabs>
              <w:spacing w:line="520" w:lineRule="exact"/>
              <w:ind w:leftChars="0" w:left="550" w:rightChars="-22" w:right="-53" w:hanging="550"/>
              <w:jc w:val="both"/>
              <w:rPr>
                <w:rFonts w:ascii="標楷體" w:eastAsia="標楷體" w:hAnsi="標楷體"/>
                <w:sz w:val="28"/>
                <w:szCs w:val="28"/>
              </w:rPr>
            </w:pPr>
            <w:r w:rsidRPr="0000056D">
              <w:rPr>
                <w:rFonts w:ascii="標楷體" w:eastAsia="標楷體" w:hAnsi="標楷體" w:hint="eastAsia"/>
                <w:sz w:val="28"/>
                <w:szCs w:val="28"/>
              </w:rPr>
              <w:t>應</w:t>
            </w:r>
            <w:proofErr w:type="gramStart"/>
            <w:r w:rsidRPr="0000056D">
              <w:rPr>
                <w:rFonts w:ascii="標楷體" w:eastAsia="標楷體" w:hAnsi="標楷體" w:hint="eastAsia"/>
                <w:sz w:val="28"/>
                <w:szCs w:val="28"/>
              </w:rPr>
              <w:t>檢具母公司</w:t>
            </w:r>
            <w:proofErr w:type="gramEnd"/>
            <w:r w:rsidRPr="0000056D">
              <w:rPr>
                <w:rFonts w:ascii="標楷體" w:eastAsia="標楷體" w:hAnsi="標楷體" w:hint="eastAsia"/>
                <w:sz w:val="28"/>
                <w:szCs w:val="28"/>
              </w:rPr>
              <w:t>與其所有子公司編製之合併財務報表，未依主管機關訂頒之各業別財務報告編製準則規定編製者，應揭露重大差異項目及影響金額，</w:t>
            </w:r>
            <w:proofErr w:type="gramStart"/>
            <w:r w:rsidRPr="0000056D">
              <w:rPr>
                <w:rFonts w:ascii="標楷體" w:eastAsia="標楷體" w:hAnsi="標楷體" w:hint="eastAsia"/>
                <w:sz w:val="28"/>
                <w:szCs w:val="28"/>
              </w:rPr>
              <w:t>暨由中華民國</w:t>
            </w:r>
            <w:proofErr w:type="gramEnd"/>
            <w:r w:rsidRPr="0000056D">
              <w:rPr>
                <w:rFonts w:ascii="標楷體" w:eastAsia="標楷體" w:hAnsi="標楷體" w:hint="eastAsia"/>
                <w:sz w:val="28"/>
                <w:szCs w:val="28"/>
              </w:rPr>
              <w:t>會計師對前述項目所表示之意見。</w:t>
            </w:r>
          </w:p>
          <w:p w:rsidR="009617E9" w:rsidRDefault="009617E9" w:rsidP="0004623E">
            <w:pPr>
              <w:pStyle w:val="a9"/>
              <w:numPr>
                <w:ilvl w:val="0"/>
                <w:numId w:val="4"/>
              </w:numPr>
              <w:tabs>
                <w:tab w:val="left" w:pos="592"/>
              </w:tabs>
              <w:spacing w:line="520" w:lineRule="exact"/>
              <w:ind w:leftChars="0" w:left="550" w:rightChars="-22" w:right="-53" w:hanging="550"/>
              <w:jc w:val="both"/>
              <w:rPr>
                <w:rFonts w:ascii="標楷體" w:eastAsia="標楷體" w:hAnsi="標楷體"/>
                <w:sz w:val="28"/>
                <w:szCs w:val="28"/>
              </w:rPr>
            </w:pPr>
            <w:r w:rsidRPr="0004623E">
              <w:rPr>
                <w:rFonts w:ascii="標楷體" w:eastAsia="標楷體" w:hAnsi="標楷體" w:hint="eastAsia"/>
                <w:sz w:val="28"/>
                <w:szCs w:val="28"/>
              </w:rPr>
              <w:t>依</w:t>
            </w:r>
            <w:proofErr w:type="gramStart"/>
            <w:r w:rsidRPr="0004623E">
              <w:rPr>
                <w:rFonts w:ascii="標楷體" w:eastAsia="標楷體" w:hAnsi="標楷體" w:hint="eastAsia"/>
                <w:sz w:val="28"/>
                <w:szCs w:val="28"/>
              </w:rPr>
              <w:t>前款檢送</w:t>
            </w:r>
            <w:proofErr w:type="gramEnd"/>
            <w:r w:rsidRPr="0004623E">
              <w:rPr>
                <w:rFonts w:ascii="標楷體" w:eastAsia="標楷體" w:hAnsi="標楷體" w:hint="eastAsia"/>
                <w:sz w:val="28"/>
                <w:szCs w:val="28"/>
              </w:rPr>
              <w:t>之合併財務報表核計，</w:t>
            </w:r>
            <w:r w:rsidR="0004623E" w:rsidRPr="00A66F9D">
              <w:rPr>
                <w:rFonts w:ascii="標楷體" w:eastAsia="標楷體" w:hAnsi="標楷體" w:hint="eastAsia"/>
                <w:sz w:val="28"/>
                <w:szCs w:val="28"/>
                <w:u w:val="single"/>
              </w:rPr>
              <w:t>其獲利能力應達第二十八條之一第一項第四款規定，但申請公司係依第二十八條之一第</w:t>
            </w:r>
            <w:r w:rsidR="0004623E" w:rsidRPr="00A66F9D">
              <w:rPr>
                <w:rFonts w:ascii="標楷體" w:eastAsia="標楷體" w:hAnsi="標楷體" w:hint="eastAsia"/>
                <w:sz w:val="28"/>
                <w:szCs w:val="28"/>
                <w:u w:val="single"/>
              </w:rPr>
              <w:lastRenderedPageBreak/>
              <w:t>二項規定申請上市，或</w:t>
            </w:r>
            <w:r w:rsidR="0004623E" w:rsidRPr="0004623E">
              <w:rPr>
                <w:rFonts w:ascii="標楷體" w:eastAsia="標楷體" w:hAnsi="標楷體" w:hint="eastAsia"/>
                <w:sz w:val="28"/>
                <w:szCs w:val="28"/>
              </w:rPr>
              <w:t>於申請上</w:t>
            </w:r>
            <w:r w:rsidR="0004623E">
              <w:rPr>
                <w:rFonts w:ascii="標楷體" w:eastAsia="標楷體" w:hAnsi="標楷體" w:hint="eastAsia"/>
                <w:sz w:val="28"/>
                <w:szCs w:val="28"/>
              </w:rPr>
              <w:t>市</w:t>
            </w:r>
            <w:r w:rsidR="0004623E" w:rsidRPr="0004623E">
              <w:rPr>
                <w:rFonts w:ascii="標楷體" w:eastAsia="標楷體" w:hAnsi="標楷體" w:hint="eastAsia"/>
                <w:sz w:val="28"/>
                <w:szCs w:val="28"/>
              </w:rPr>
              <w:t>會計年度及其最近一個會計年度內與母公司間之進銷貨往來金額未達其進</w:t>
            </w:r>
            <w:proofErr w:type="gramStart"/>
            <w:r w:rsidR="0004623E" w:rsidRPr="0004623E">
              <w:rPr>
                <w:rFonts w:ascii="標楷體" w:eastAsia="標楷體" w:hAnsi="標楷體" w:hint="eastAsia"/>
                <w:sz w:val="28"/>
                <w:szCs w:val="28"/>
              </w:rPr>
              <w:t>銷貨總金額</w:t>
            </w:r>
            <w:proofErr w:type="gramEnd"/>
            <w:r w:rsidR="0004623E" w:rsidRPr="0004623E">
              <w:rPr>
                <w:rFonts w:ascii="標楷體" w:eastAsia="標楷體" w:hAnsi="標楷體" w:hint="eastAsia"/>
                <w:sz w:val="28"/>
                <w:szCs w:val="28"/>
              </w:rPr>
              <w:t>百分之十者，</w:t>
            </w:r>
            <w:r w:rsidR="0048108A" w:rsidRPr="0048108A">
              <w:rPr>
                <w:rFonts w:ascii="標楷體" w:eastAsia="標楷體" w:hAnsi="標楷體" w:hint="eastAsia"/>
                <w:sz w:val="28"/>
                <w:szCs w:val="28"/>
              </w:rPr>
              <w:t>得不適用之</w:t>
            </w:r>
            <w:r w:rsidRPr="0000056D">
              <w:rPr>
                <w:rFonts w:ascii="標楷體" w:eastAsia="標楷體" w:hAnsi="標楷體" w:hint="eastAsia"/>
                <w:sz w:val="28"/>
                <w:szCs w:val="28"/>
              </w:rPr>
              <w:t>。</w:t>
            </w:r>
          </w:p>
          <w:p w:rsidR="0004623E" w:rsidRDefault="0004623E" w:rsidP="0004623E">
            <w:pPr>
              <w:pStyle w:val="a9"/>
              <w:tabs>
                <w:tab w:val="left" w:pos="592"/>
              </w:tabs>
              <w:spacing w:line="520" w:lineRule="exact"/>
              <w:ind w:leftChars="0" w:left="550" w:rightChars="-22" w:right="-53"/>
              <w:jc w:val="both"/>
              <w:rPr>
                <w:rFonts w:ascii="標楷體" w:eastAsia="標楷體" w:hAnsi="標楷體"/>
                <w:sz w:val="28"/>
                <w:szCs w:val="28"/>
              </w:rPr>
            </w:pPr>
          </w:p>
          <w:p w:rsidR="000646CD" w:rsidRDefault="000646CD" w:rsidP="0004623E">
            <w:pPr>
              <w:pStyle w:val="a9"/>
              <w:tabs>
                <w:tab w:val="left" w:pos="592"/>
              </w:tabs>
              <w:spacing w:line="520" w:lineRule="exact"/>
              <w:ind w:leftChars="0" w:left="550" w:rightChars="-22" w:right="-53"/>
              <w:jc w:val="both"/>
              <w:rPr>
                <w:rFonts w:ascii="標楷體" w:eastAsia="標楷體" w:hAnsi="標楷體"/>
                <w:sz w:val="28"/>
                <w:szCs w:val="28"/>
              </w:rPr>
            </w:pPr>
          </w:p>
          <w:p w:rsidR="000646CD" w:rsidRDefault="000646CD" w:rsidP="0004623E">
            <w:pPr>
              <w:pStyle w:val="a9"/>
              <w:tabs>
                <w:tab w:val="left" w:pos="592"/>
              </w:tabs>
              <w:spacing w:line="520" w:lineRule="exact"/>
              <w:ind w:leftChars="0" w:left="550" w:rightChars="-22" w:right="-53"/>
              <w:jc w:val="both"/>
              <w:rPr>
                <w:rFonts w:ascii="標楷體" w:eastAsia="標楷體" w:hAnsi="標楷體"/>
                <w:sz w:val="28"/>
                <w:szCs w:val="28"/>
              </w:rPr>
            </w:pPr>
          </w:p>
          <w:p w:rsidR="0004623E" w:rsidRDefault="0004623E" w:rsidP="0004623E">
            <w:pPr>
              <w:pStyle w:val="a9"/>
              <w:numPr>
                <w:ilvl w:val="0"/>
                <w:numId w:val="4"/>
              </w:numPr>
              <w:tabs>
                <w:tab w:val="left" w:pos="592"/>
              </w:tabs>
              <w:spacing w:line="520" w:lineRule="exact"/>
              <w:ind w:leftChars="0" w:left="550" w:rightChars="-22" w:right="-53" w:hanging="550"/>
              <w:jc w:val="both"/>
              <w:rPr>
                <w:rFonts w:ascii="標楷體" w:eastAsia="標楷體" w:hAnsi="標楷體"/>
                <w:sz w:val="28"/>
                <w:szCs w:val="28"/>
              </w:rPr>
            </w:pPr>
            <w:r>
              <w:rPr>
                <w:rFonts w:ascii="標楷體" w:eastAsia="標楷體" w:hAnsi="標楷體" w:hint="eastAsia"/>
                <w:sz w:val="28"/>
                <w:szCs w:val="28"/>
              </w:rPr>
              <w:t>(以下略)</w:t>
            </w:r>
          </w:p>
          <w:p w:rsidR="009617E9" w:rsidRPr="0004623E" w:rsidRDefault="009617E9" w:rsidP="0004623E">
            <w:pPr>
              <w:tabs>
                <w:tab w:val="left" w:pos="592"/>
              </w:tabs>
              <w:spacing w:line="520" w:lineRule="exact"/>
              <w:ind w:rightChars="-22" w:right="-53"/>
              <w:jc w:val="both"/>
              <w:rPr>
                <w:rFonts w:ascii="標楷體" w:eastAsia="標楷體" w:hAnsi="標楷體"/>
                <w:sz w:val="28"/>
                <w:szCs w:val="28"/>
              </w:rPr>
            </w:pPr>
          </w:p>
        </w:tc>
        <w:tc>
          <w:tcPr>
            <w:tcW w:w="3260" w:type="dxa"/>
          </w:tcPr>
          <w:p w:rsidR="009617E9" w:rsidRPr="0000056D" w:rsidRDefault="009617E9" w:rsidP="006D4552">
            <w:pPr>
              <w:tabs>
                <w:tab w:val="left" w:pos="592"/>
              </w:tabs>
              <w:spacing w:line="520" w:lineRule="exact"/>
              <w:ind w:rightChars="-22" w:right="-53"/>
              <w:jc w:val="both"/>
              <w:rPr>
                <w:rFonts w:ascii="標楷體" w:eastAsia="標楷體" w:hAnsi="標楷體"/>
                <w:sz w:val="28"/>
                <w:szCs w:val="28"/>
              </w:rPr>
            </w:pPr>
            <w:r w:rsidRPr="0000056D">
              <w:rPr>
                <w:rFonts w:ascii="標楷體" w:eastAsia="標楷體" w:hAnsi="標楷體" w:hint="eastAsia"/>
                <w:sz w:val="28"/>
                <w:szCs w:val="28"/>
              </w:rPr>
              <w:lastRenderedPageBreak/>
              <w:t>第二十八條之六</w:t>
            </w:r>
          </w:p>
          <w:p w:rsidR="009617E9" w:rsidRDefault="00520D8A" w:rsidP="00520D8A">
            <w:pPr>
              <w:pStyle w:val="a9"/>
              <w:tabs>
                <w:tab w:val="left" w:pos="34"/>
              </w:tabs>
              <w:spacing w:line="520" w:lineRule="exact"/>
              <w:ind w:leftChars="0" w:left="0" w:rightChars="-22" w:right="-53" w:firstLineChars="200" w:firstLine="560"/>
              <w:jc w:val="both"/>
              <w:rPr>
                <w:rFonts w:ascii="標楷體" w:eastAsia="標楷體" w:hAnsi="標楷體"/>
                <w:sz w:val="28"/>
                <w:szCs w:val="28"/>
              </w:rPr>
            </w:pPr>
            <w:r w:rsidRPr="00520D8A">
              <w:rPr>
                <w:rFonts w:ascii="標楷體" w:eastAsia="標楷體" w:hAnsi="標楷體" w:hint="eastAsia"/>
                <w:sz w:val="28"/>
                <w:szCs w:val="28"/>
              </w:rPr>
              <w:t>外國發行人申請時</w:t>
            </w:r>
            <w:r w:rsidR="009617E9" w:rsidRPr="00806584">
              <w:rPr>
                <w:rFonts w:ascii="標楷體" w:eastAsia="標楷體" w:hAnsi="標楷體" w:hint="eastAsia"/>
                <w:sz w:val="28"/>
                <w:szCs w:val="28"/>
              </w:rPr>
              <w:t>屬於母子公司關係之子公司申請其股票上市，除公營事業外，</w:t>
            </w:r>
            <w:proofErr w:type="gramStart"/>
            <w:r w:rsidR="009617E9" w:rsidRPr="00806584">
              <w:rPr>
                <w:rFonts w:ascii="標楷體" w:eastAsia="標楷體" w:hAnsi="標楷體" w:hint="eastAsia"/>
                <w:sz w:val="28"/>
                <w:szCs w:val="28"/>
              </w:rPr>
              <w:t>雖合於</w:t>
            </w:r>
            <w:proofErr w:type="gramEnd"/>
            <w:r w:rsidR="009617E9" w:rsidRPr="00806584">
              <w:rPr>
                <w:rFonts w:ascii="標楷體" w:eastAsia="標楷體" w:hAnsi="標楷體" w:hint="eastAsia"/>
                <w:sz w:val="28"/>
                <w:szCs w:val="28"/>
              </w:rPr>
              <w:t>本準則有關規定，但不能符合下列各款情事者，應不同意其股票上市：</w:t>
            </w:r>
          </w:p>
          <w:p w:rsidR="009617E9" w:rsidRDefault="009617E9" w:rsidP="009617E9">
            <w:pPr>
              <w:pStyle w:val="a9"/>
              <w:numPr>
                <w:ilvl w:val="0"/>
                <w:numId w:val="10"/>
              </w:numPr>
              <w:tabs>
                <w:tab w:val="left" w:pos="536"/>
              </w:tabs>
              <w:spacing w:line="520" w:lineRule="exact"/>
              <w:ind w:leftChars="0" w:left="550" w:rightChars="-22" w:right="-53" w:hanging="644"/>
              <w:jc w:val="both"/>
              <w:rPr>
                <w:rFonts w:ascii="標楷體" w:eastAsia="標楷體" w:hAnsi="標楷體"/>
                <w:sz w:val="28"/>
                <w:szCs w:val="28"/>
              </w:rPr>
            </w:pPr>
            <w:r w:rsidRPr="0000056D">
              <w:rPr>
                <w:rFonts w:ascii="標楷體" w:eastAsia="標楷體" w:hAnsi="標楷體" w:hint="eastAsia"/>
                <w:sz w:val="28"/>
                <w:szCs w:val="28"/>
              </w:rPr>
              <w:t>應</w:t>
            </w:r>
            <w:proofErr w:type="gramStart"/>
            <w:r w:rsidRPr="0000056D">
              <w:rPr>
                <w:rFonts w:ascii="標楷體" w:eastAsia="標楷體" w:hAnsi="標楷體" w:hint="eastAsia"/>
                <w:sz w:val="28"/>
                <w:szCs w:val="28"/>
              </w:rPr>
              <w:t>檢具母公司</w:t>
            </w:r>
            <w:proofErr w:type="gramEnd"/>
            <w:r w:rsidRPr="0000056D">
              <w:rPr>
                <w:rFonts w:ascii="標楷體" w:eastAsia="標楷體" w:hAnsi="標楷體" w:hint="eastAsia"/>
                <w:sz w:val="28"/>
                <w:szCs w:val="28"/>
              </w:rPr>
              <w:t>與其所有子公司編製之合併財務報表，未依主管機關訂頒之各業別財務報告編製準則規定編製者，應揭露重大差異項目及影響金額，</w:t>
            </w:r>
            <w:proofErr w:type="gramStart"/>
            <w:r w:rsidRPr="0000056D">
              <w:rPr>
                <w:rFonts w:ascii="標楷體" w:eastAsia="標楷體" w:hAnsi="標楷體" w:hint="eastAsia"/>
                <w:sz w:val="28"/>
                <w:szCs w:val="28"/>
              </w:rPr>
              <w:t>暨由中華民國</w:t>
            </w:r>
            <w:proofErr w:type="gramEnd"/>
            <w:r w:rsidRPr="0000056D">
              <w:rPr>
                <w:rFonts w:ascii="標楷體" w:eastAsia="標楷體" w:hAnsi="標楷體" w:hint="eastAsia"/>
                <w:sz w:val="28"/>
                <w:szCs w:val="28"/>
              </w:rPr>
              <w:t>會計師對前述項目所表示之意見。</w:t>
            </w:r>
          </w:p>
          <w:p w:rsidR="009617E9" w:rsidRDefault="009617E9" w:rsidP="009617E9">
            <w:pPr>
              <w:pStyle w:val="a9"/>
              <w:numPr>
                <w:ilvl w:val="0"/>
                <w:numId w:val="10"/>
              </w:numPr>
              <w:tabs>
                <w:tab w:val="left" w:pos="536"/>
              </w:tabs>
              <w:spacing w:line="520" w:lineRule="exact"/>
              <w:ind w:leftChars="0" w:left="550" w:rightChars="-22" w:right="-53" w:hanging="644"/>
              <w:jc w:val="both"/>
              <w:rPr>
                <w:rFonts w:ascii="標楷體" w:eastAsia="標楷體" w:hAnsi="標楷體"/>
                <w:sz w:val="28"/>
                <w:szCs w:val="28"/>
              </w:rPr>
            </w:pPr>
            <w:r w:rsidRPr="0000056D">
              <w:rPr>
                <w:rFonts w:ascii="標楷體" w:eastAsia="標楷體" w:hAnsi="標楷體" w:hint="eastAsia"/>
                <w:sz w:val="28"/>
                <w:szCs w:val="28"/>
              </w:rPr>
              <w:t>依</w:t>
            </w:r>
            <w:proofErr w:type="gramStart"/>
            <w:r w:rsidRPr="0000056D">
              <w:rPr>
                <w:rFonts w:ascii="標楷體" w:eastAsia="標楷體" w:hAnsi="標楷體" w:hint="eastAsia"/>
                <w:sz w:val="28"/>
                <w:szCs w:val="28"/>
              </w:rPr>
              <w:t>前款檢送</w:t>
            </w:r>
            <w:proofErr w:type="gramEnd"/>
            <w:r w:rsidRPr="0000056D">
              <w:rPr>
                <w:rFonts w:ascii="標楷體" w:eastAsia="標楷體" w:hAnsi="標楷體" w:hint="eastAsia"/>
                <w:sz w:val="28"/>
                <w:szCs w:val="28"/>
              </w:rPr>
              <w:t>之合併財務報表核計，</w:t>
            </w:r>
            <w:r w:rsidRPr="00A66F9D">
              <w:rPr>
                <w:rFonts w:ascii="標楷體" w:eastAsia="標楷體" w:hAnsi="標楷體" w:hint="eastAsia"/>
                <w:sz w:val="28"/>
                <w:szCs w:val="28"/>
                <w:u w:val="single"/>
              </w:rPr>
              <w:t>最近一個會計年度之淨值總額應達新台幣十億元以上；且最近二個會計年度之稅前淨利占</w:t>
            </w:r>
            <w:r w:rsidRPr="00A66F9D">
              <w:rPr>
                <w:rFonts w:ascii="標楷體" w:eastAsia="標楷體" w:hAnsi="標楷體" w:hint="eastAsia"/>
                <w:sz w:val="28"/>
                <w:szCs w:val="28"/>
                <w:u w:val="single"/>
              </w:rPr>
              <w:lastRenderedPageBreak/>
              <w:t>淨值總額之比率，</w:t>
            </w:r>
            <w:proofErr w:type="gramStart"/>
            <w:r w:rsidRPr="00A66F9D">
              <w:rPr>
                <w:rFonts w:ascii="標楷體" w:eastAsia="標楷體" w:hAnsi="標楷體" w:hint="eastAsia"/>
                <w:sz w:val="28"/>
                <w:szCs w:val="28"/>
                <w:u w:val="single"/>
              </w:rPr>
              <w:t>均應達</w:t>
            </w:r>
            <w:proofErr w:type="gramEnd"/>
            <w:r w:rsidRPr="00A66F9D">
              <w:rPr>
                <w:rFonts w:ascii="標楷體" w:eastAsia="標楷體" w:hAnsi="標楷體" w:hint="eastAsia"/>
                <w:sz w:val="28"/>
                <w:szCs w:val="28"/>
                <w:u w:val="single"/>
              </w:rPr>
              <w:t>百分之三以上，但</w:t>
            </w:r>
            <w:r w:rsidRPr="0000056D">
              <w:rPr>
                <w:rFonts w:ascii="標楷體" w:eastAsia="標楷體" w:hAnsi="標楷體" w:hint="eastAsia"/>
                <w:sz w:val="28"/>
                <w:szCs w:val="28"/>
              </w:rPr>
              <w:t>於申請上市會計年度及其最近一個會計年度內與其母公司間之進銷貨往來金額未達其進</w:t>
            </w:r>
            <w:proofErr w:type="gramStart"/>
            <w:r w:rsidRPr="0000056D">
              <w:rPr>
                <w:rFonts w:ascii="標楷體" w:eastAsia="標楷體" w:hAnsi="標楷體" w:hint="eastAsia"/>
                <w:sz w:val="28"/>
                <w:szCs w:val="28"/>
              </w:rPr>
              <w:t>銷貨總金額</w:t>
            </w:r>
            <w:proofErr w:type="gramEnd"/>
            <w:r w:rsidRPr="0000056D">
              <w:rPr>
                <w:rFonts w:ascii="標楷體" w:eastAsia="標楷體" w:hAnsi="標楷體" w:hint="eastAsia"/>
                <w:sz w:val="28"/>
                <w:szCs w:val="28"/>
              </w:rPr>
              <w:t>百分之十者，</w:t>
            </w:r>
            <w:r w:rsidRPr="00A66F9D">
              <w:rPr>
                <w:rFonts w:ascii="標楷體" w:eastAsia="標楷體" w:hAnsi="標楷體" w:hint="eastAsia"/>
                <w:sz w:val="28"/>
                <w:szCs w:val="28"/>
                <w:u w:val="single"/>
              </w:rPr>
              <w:t>於上開獲利能力之比率得不適用之</w:t>
            </w:r>
            <w:r w:rsidRPr="0000056D">
              <w:rPr>
                <w:rFonts w:ascii="標楷體" w:eastAsia="標楷體" w:hAnsi="標楷體" w:hint="eastAsia"/>
                <w:sz w:val="28"/>
                <w:szCs w:val="28"/>
              </w:rPr>
              <w:t>。</w:t>
            </w:r>
          </w:p>
          <w:p w:rsidR="000646CD" w:rsidRPr="0000056D" w:rsidRDefault="000646CD" w:rsidP="000646CD">
            <w:pPr>
              <w:pStyle w:val="a9"/>
              <w:tabs>
                <w:tab w:val="left" w:pos="536"/>
              </w:tabs>
              <w:spacing w:line="520" w:lineRule="exact"/>
              <w:ind w:leftChars="0" w:left="550" w:rightChars="-22" w:right="-53"/>
              <w:jc w:val="both"/>
              <w:rPr>
                <w:rFonts w:ascii="標楷體" w:eastAsia="標楷體" w:hAnsi="標楷體"/>
                <w:sz w:val="28"/>
                <w:szCs w:val="28"/>
              </w:rPr>
            </w:pPr>
          </w:p>
          <w:p w:rsidR="009617E9" w:rsidRPr="00344DA1" w:rsidRDefault="009617E9" w:rsidP="009617E9">
            <w:pPr>
              <w:pStyle w:val="a9"/>
              <w:numPr>
                <w:ilvl w:val="0"/>
                <w:numId w:val="10"/>
              </w:numPr>
              <w:tabs>
                <w:tab w:val="left" w:pos="536"/>
              </w:tabs>
              <w:spacing w:line="520" w:lineRule="exact"/>
              <w:ind w:leftChars="0" w:left="550" w:rightChars="-22" w:right="-53" w:hanging="644"/>
              <w:jc w:val="both"/>
              <w:rPr>
                <w:rFonts w:ascii="標楷體" w:eastAsia="標楷體" w:hAnsi="標楷體"/>
                <w:sz w:val="28"/>
                <w:szCs w:val="28"/>
              </w:rPr>
            </w:pPr>
            <w:r>
              <w:rPr>
                <w:rFonts w:ascii="標楷體" w:eastAsia="標楷體" w:hAnsi="標楷體" w:hint="eastAsia"/>
                <w:sz w:val="28"/>
                <w:szCs w:val="28"/>
              </w:rPr>
              <w:t>(以下略)</w:t>
            </w:r>
          </w:p>
        </w:tc>
        <w:tc>
          <w:tcPr>
            <w:tcW w:w="3827" w:type="dxa"/>
          </w:tcPr>
          <w:p w:rsidR="00226A86" w:rsidRPr="00526840" w:rsidRDefault="00C65BAE" w:rsidP="000C4B02">
            <w:pPr>
              <w:pStyle w:val="a9"/>
              <w:numPr>
                <w:ilvl w:val="0"/>
                <w:numId w:val="13"/>
              </w:numPr>
              <w:spacing w:line="520" w:lineRule="exact"/>
              <w:ind w:leftChars="0" w:left="459" w:rightChars="-22" w:right="-53" w:hanging="591"/>
              <w:jc w:val="both"/>
              <w:rPr>
                <w:rFonts w:ascii="標楷體" w:eastAsia="標楷體" w:hAnsi="標楷體" w:cstheme="minorBidi"/>
                <w:spacing w:val="-6"/>
                <w:sz w:val="28"/>
                <w:szCs w:val="28"/>
              </w:rPr>
            </w:pPr>
            <w:r>
              <w:rPr>
                <w:rFonts w:ascii="標楷體" w:eastAsia="標楷體" w:hAnsi="標楷體" w:cstheme="minorBidi" w:hint="eastAsia"/>
                <w:spacing w:val="-6"/>
                <w:sz w:val="28"/>
                <w:szCs w:val="28"/>
              </w:rPr>
              <w:lastRenderedPageBreak/>
              <w:t>查第一項第二款</w:t>
            </w:r>
            <w:r w:rsidRPr="00C65BAE">
              <w:rPr>
                <w:rFonts w:ascii="標楷體" w:eastAsia="標楷體" w:hAnsi="標楷體" w:cstheme="minorBidi" w:hint="eastAsia"/>
                <w:spacing w:val="-6"/>
                <w:sz w:val="28"/>
                <w:szCs w:val="28"/>
              </w:rPr>
              <w:t>所訂外國發行人申請第一上市之母子公司上市條件，係為避免申請公司與其母公司有利益輸送之虞，乃參酌同準則所訂本國發行人母子公司上市條件，明訂外國發行人之母公司合併財務報表應符合一定標準</w:t>
            </w:r>
            <w:r w:rsidR="003B2263" w:rsidRPr="00526840">
              <w:rPr>
                <w:rFonts w:ascii="標楷體" w:eastAsia="標楷體" w:hAnsi="標楷體" w:cstheme="minorBidi" w:hint="eastAsia"/>
                <w:spacing w:val="-6"/>
                <w:sz w:val="28"/>
                <w:szCs w:val="28"/>
              </w:rPr>
              <w:t>。</w:t>
            </w:r>
          </w:p>
          <w:p w:rsidR="00C65BAE" w:rsidRDefault="00C65BAE" w:rsidP="00226A86">
            <w:pPr>
              <w:pStyle w:val="a9"/>
              <w:numPr>
                <w:ilvl w:val="0"/>
                <w:numId w:val="13"/>
              </w:numPr>
              <w:spacing w:line="520" w:lineRule="exact"/>
              <w:ind w:leftChars="0" w:left="459" w:rightChars="-22" w:right="-53" w:hanging="591"/>
              <w:jc w:val="both"/>
              <w:rPr>
                <w:rFonts w:ascii="標楷體" w:eastAsia="標楷體" w:hAnsi="標楷體" w:cstheme="minorBidi"/>
                <w:spacing w:val="-6"/>
                <w:sz w:val="28"/>
                <w:szCs w:val="28"/>
              </w:rPr>
            </w:pPr>
            <w:r w:rsidRPr="00C65BAE">
              <w:rPr>
                <w:rFonts w:ascii="標楷體" w:eastAsia="標楷體" w:hAnsi="標楷體" w:cstheme="minorBidi" w:hint="eastAsia"/>
                <w:spacing w:val="-6"/>
                <w:sz w:val="28"/>
                <w:szCs w:val="28"/>
              </w:rPr>
              <w:t>惟現行對外國發行人之獲利能力上市標準，原係參考香港及新加坡交易所相關規定，明訂以稅前淨利金額為依據，與本國發行人係以稅前淨利占股本之百分比規範不同，故對外國發行人之母公司</w:t>
            </w:r>
            <w:r w:rsidR="00A35365">
              <w:rPr>
                <w:rFonts w:ascii="標楷體" w:eastAsia="標楷體" w:hAnsi="標楷體" w:cstheme="minorBidi" w:hint="eastAsia"/>
                <w:spacing w:val="-6"/>
                <w:sz w:val="28"/>
                <w:szCs w:val="28"/>
              </w:rPr>
              <w:t>合併</w:t>
            </w:r>
            <w:r w:rsidR="00C466A5">
              <w:rPr>
                <w:rFonts w:ascii="標楷體" w:eastAsia="標楷體" w:hAnsi="標楷體" w:cstheme="minorBidi" w:hint="eastAsia"/>
                <w:spacing w:val="-6"/>
                <w:sz w:val="28"/>
                <w:szCs w:val="28"/>
              </w:rPr>
              <w:t>財務報表</w:t>
            </w:r>
            <w:r w:rsidRPr="00C65BAE">
              <w:rPr>
                <w:rFonts w:ascii="標楷體" w:eastAsia="標楷體" w:hAnsi="標楷體" w:cstheme="minorBidi" w:hint="eastAsia"/>
                <w:spacing w:val="-6"/>
                <w:sz w:val="28"/>
                <w:szCs w:val="28"/>
              </w:rPr>
              <w:t>獲利能力</w:t>
            </w:r>
            <w:r w:rsidR="00A35365">
              <w:rPr>
                <w:rFonts w:ascii="標楷體" w:eastAsia="標楷體" w:hAnsi="標楷體" w:cstheme="minorBidi" w:hint="eastAsia"/>
                <w:spacing w:val="-6"/>
                <w:sz w:val="28"/>
                <w:szCs w:val="28"/>
              </w:rPr>
              <w:t>之</w:t>
            </w:r>
            <w:r w:rsidRPr="00C65BAE">
              <w:rPr>
                <w:rFonts w:ascii="標楷體" w:eastAsia="標楷體" w:hAnsi="標楷體" w:cstheme="minorBidi" w:hint="eastAsia"/>
                <w:spacing w:val="-6"/>
                <w:sz w:val="28"/>
                <w:szCs w:val="28"/>
              </w:rPr>
              <w:t>要求，自應比照對外國發行人獲利能力之要求，以稅前淨利金額為評估依據方為一致。</w:t>
            </w:r>
          </w:p>
          <w:p w:rsidR="00226A86" w:rsidRPr="00526840" w:rsidRDefault="006378CC" w:rsidP="00226A86">
            <w:pPr>
              <w:pStyle w:val="a9"/>
              <w:numPr>
                <w:ilvl w:val="0"/>
                <w:numId w:val="13"/>
              </w:numPr>
              <w:spacing w:line="520" w:lineRule="exact"/>
              <w:ind w:leftChars="0" w:left="459" w:rightChars="-22" w:right="-53" w:hanging="591"/>
              <w:jc w:val="both"/>
              <w:rPr>
                <w:rFonts w:ascii="標楷體" w:eastAsia="標楷體" w:hAnsi="標楷體" w:cstheme="minorBidi"/>
                <w:spacing w:val="-6"/>
                <w:sz w:val="28"/>
                <w:szCs w:val="28"/>
              </w:rPr>
            </w:pPr>
            <w:r>
              <w:rPr>
                <w:rFonts w:ascii="標楷體" w:eastAsia="標楷體" w:hAnsi="標楷體" w:cstheme="minorBidi" w:hint="eastAsia"/>
                <w:spacing w:val="-6"/>
                <w:sz w:val="28"/>
                <w:szCs w:val="28"/>
              </w:rPr>
              <w:t>復</w:t>
            </w:r>
            <w:r w:rsidR="00C65BAE" w:rsidRPr="00C65BAE">
              <w:rPr>
                <w:rFonts w:ascii="標楷體" w:eastAsia="標楷體" w:hAnsi="標楷體" w:cstheme="minorBidi" w:hint="eastAsia"/>
                <w:spacing w:val="-6"/>
                <w:sz w:val="28"/>
                <w:szCs w:val="28"/>
              </w:rPr>
              <w:t>經參酌中華民國證券櫃檯買賣中心「外國有價證券櫃檯買賣審查準則」第19</w:t>
            </w:r>
            <w:r w:rsidR="00C65BAE" w:rsidRPr="00C65BAE">
              <w:rPr>
                <w:rFonts w:ascii="標楷體" w:eastAsia="標楷體" w:hAnsi="標楷體" w:cstheme="minorBidi" w:hint="eastAsia"/>
                <w:spacing w:val="-6"/>
                <w:sz w:val="28"/>
                <w:szCs w:val="28"/>
              </w:rPr>
              <w:lastRenderedPageBreak/>
              <w:t>條第1項規定，</w:t>
            </w:r>
            <w:r w:rsidR="007318AF">
              <w:rPr>
                <w:rFonts w:ascii="標楷體" w:eastAsia="標楷體" w:hAnsi="標楷體" w:cstheme="minorBidi" w:hint="eastAsia"/>
                <w:spacing w:val="-6"/>
                <w:sz w:val="28"/>
                <w:szCs w:val="28"/>
              </w:rPr>
              <w:t>亦</w:t>
            </w:r>
            <w:r w:rsidR="00C65BAE" w:rsidRPr="00C65BAE">
              <w:rPr>
                <w:rFonts w:ascii="標楷體" w:eastAsia="標楷體" w:hAnsi="標楷體" w:cstheme="minorBidi" w:hint="eastAsia"/>
                <w:spacing w:val="-6"/>
                <w:sz w:val="28"/>
                <w:szCs w:val="28"/>
              </w:rPr>
              <w:t>係要求外國發行人之母公司獲利能力應符合第一上櫃公司申請標準</w:t>
            </w:r>
            <w:r w:rsidR="003B2263" w:rsidRPr="00526840">
              <w:rPr>
                <w:rFonts w:ascii="標楷體" w:eastAsia="標楷體" w:hAnsi="標楷體" w:cstheme="minorBidi" w:hint="eastAsia"/>
                <w:spacing w:val="-6"/>
                <w:sz w:val="28"/>
                <w:szCs w:val="28"/>
              </w:rPr>
              <w:t>。</w:t>
            </w:r>
          </w:p>
          <w:p w:rsidR="009617E9" w:rsidRPr="000C4B02" w:rsidRDefault="001E17B5" w:rsidP="006378CC">
            <w:pPr>
              <w:pStyle w:val="a9"/>
              <w:numPr>
                <w:ilvl w:val="0"/>
                <w:numId w:val="13"/>
              </w:numPr>
              <w:spacing w:line="520" w:lineRule="exact"/>
              <w:ind w:leftChars="0" w:left="459" w:rightChars="-22" w:right="-53" w:hanging="591"/>
              <w:jc w:val="both"/>
              <w:rPr>
                <w:rFonts w:ascii="標楷體" w:eastAsia="標楷體" w:hAnsi="標楷體" w:cstheme="minorBidi"/>
                <w:sz w:val="28"/>
                <w:szCs w:val="28"/>
              </w:rPr>
            </w:pPr>
            <w:r w:rsidRPr="00526840">
              <w:rPr>
                <w:rFonts w:ascii="標楷體" w:eastAsia="標楷體" w:hAnsi="標楷體" w:cstheme="minorBidi" w:hint="eastAsia"/>
                <w:spacing w:val="-6"/>
                <w:sz w:val="28"/>
                <w:szCs w:val="28"/>
              </w:rPr>
              <w:t>綜上，</w:t>
            </w:r>
            <w:proofErr w:type="gramStart"/>
            <w:r w:rsidRPr="00526840">
              <w:rPr>
                <w:rFonts w:ascii="標楷體" w:eastAsia="標楷體" w:hAnsi="標楷體" w:cstheme="minorBidi" w:hint="eastAsia"/>
                <w:spacing w:val="-6"/>
                <w:sz w:val="28"/>
                <w:szCs w:val="28"/>
              </w:rPr>
              <w:t>爰</w:t>
            </w:r>
            <w:proofErr w:type="gramEnd"/>
            <w:r w:rsidR="003B2263" w:rsidRPr="00526840">
              <w:rPr>
                <w:rFonts w:ascii="標楷體" w:eastAsia="標楷體" w:hAnsi="標楷體" w:cstheme="minorBidi" w:hint="eastAsia"/>
                <w:spacing w:val="-6"/>
                <w:sz w:val="28"/>
                <w:szCs w:val="28"/>
              </w:rPr>
              <w:t>修正第1項第2款規定，對外國發行人之母公司合併</w:t>
            </w:r>
            <w:r w:rsidR="006378CC">
              <w:rPr>
                <w:rFonts w:ascii="標楷體" w:eastAsia="標楷體" w:hAnsi="標楷體" w:cstheme="minorBidi" w:hint="eastAsia"/>
                <w:spacing w:val="-6"/>
                <w:sz w:val="28"/>
                <w:szCs w:val="28"/>
              </w:rPr>
              <w:t>財務報表</w:t>
            </w:r>
            <w:r w:rsidR="003B2263" w:rsidRPr="00526840">
              <w:rPr>
                <w:rFonts w:ascii="標楷體" w:eastAsia="標楷體" w:hAnsi="標楷體" w:cstheme="minorBidi" w:hint="eastAsia"/>
                <w:spacing w:val="-6"/>
                <w:sz w:val="28"/>
                <w:szCs w:val="28"/>
              </w:rPr>
              <w:t>，</w:t>
            </w:r>
            <w:r w:rsidR="00C65BAE" w:rsidRPr="00C65BAE">
              <w:rPr>
                <w:rFonts w:ascii="標楷體" w:eastAsia="標楷體" w:hAnsi="標楷體" w:cstheme="minorBidi" w:hint="eastAsia"/>
                <w:spacing w:val="-6"/>
                <w:sz w:val="28"/>
                <w:szCs w:val="28"/>
              </w:rPr>
              <w:t>要求其獲利能力應符合第一上市公司申請上市標準</w:t>
            </w:r>
            <w:r w:rsidR="00C65BAE">
              <w:rPr>
                <w:rFonts w:ascii="標楷體" w:eastAsia="標楷體" w:hAnsi="標楷體" w:cstheme="minorBidi" w:hint="eastAsia"/>
                <w:spacing w:val="-6"/>
                <w:sz w:val="28"/>
                <w:szCs w:val="28"/>
              </w:rPr>
              <w:t>，</w:t>
            </w:r>
            <w:r w:rsidR="00C65BAE" w:rsidRPr="00C65BAE">
              <w:rPr>
                <w:rFonts w:ascii="標楷體" w:eastAsia="標楷體" w:hAnsi="標楷體" w:cstheme="minorBidi" w:hint="eastAsia"/>
                <w:spacing w:val="-6"/>
                <w:sz w:val="28"/>
                <w:szCs w:val="28"/>
              </w:rPr>
              <w:t>以</w:t>
            </w:r>
            <w:proofErr w:type="gramStart"/>
            <w:r w:rsidR="006378CC">
              <w:rPr>
                <w:rFonts w:ascii="標楷體" w:eastAsia="標楷體" w:hAnsi="標楷體" w:cstheme="minorBidi" w:hint="eastAsia"/>
                <w:spacing w:val="-6"/>
                <w:sz w:val="28"/>
                <w:szCs w:val="28"/>
              </w:rPr>
              <w:t>臻</w:t>
            </w:r>
            <w:proofErr w:type="gramEnd"/>
            <w:r w:rsidR="00C65BAE" w:rsidRPr="00C65BAE">
              <w:rPr>
                <w:rFonts w:ascii="標楷體" w:eastAsia="標楷體" w:hAnsi="標楷體" w:cstheme="minorBidi" w:hint="eastAsia"/>
                <w:spacing w:val="-6"/>
                <w:sz w:val="28"/>
                <w:szCs w:val="28"/>
              </w:rPr>
              <w:t>法規之</w:t>
            </w:r>
            <w:r w:rsidR="00D23A5B">
              <w:rPr>
                <w:rFonts w:ascii="標楷體" w:eastAsia="標楷體" w:hAnsi="標楷體" w:cstheme="minorBidi" w:hint="eastAsia"/>
                <w:spacing w:val="-6"/>
                <w:sz w:val="28"/>
                <w:szCs w:val="28"/>
              </w:rPr>
              <w:t>妥適</w:t>
            </w:r>
            <w:r w:rsidR="000C4B02" w:rsidRPr="00526840">
              <w:rPr>
                <w:rFonts w:ascii="標楷體" w:eastAsia="標楷體" w:hAnsi="標楷體" w:cstheme="minorBidi" w:hint="eastAsia"/>
                <w:spacing w:val="-6"/>
                <w:sz w:val="28"/>
                <w:szCs w:val="28"/>
              </w:rPr>
              <w:t>。</w:t>
            </w:r>
          </w:p>
        </w:tc>
      </w:tr>
    </w:tbl>
    <w:p w:rsidR="004569A3" w:rsidRPr="004569A3" w:rsidRDefault="004569A3" w:rsidP="00C01B7C">
      <w:pPr>
        <w:widowControl/>
        <w:rPr>
          <w:rFonts w:ascii="標楷體" w:eastAsia="標楷體" w:hAnsi="標楷體" w:cstheme="minorBidi"/>
          <w:szCs w:val="22"/>
        </w:rPr>
      </w:pPr>
    </w:p>
    <w:sectPr w:rsidR="004569A3" w:rsidRPr="004569A3" w:rsidSect="00A557B1">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FD4" w:rsidRDefault="00F33FD4">
      <w:r>
        <w:separator/>
      </w:r>
    </w:p>
  </w:endnote>
  <w:endnote w:type="continuationSeparator" w:id="0">
    <w:p w:rsidR="00F33FD4" w:rsidRDefault="00F33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3A" w:rsidRDefault="000C6A7C" w:rsidP="003A1FD0">
    <w:pPr>
      <w:pStyle w:val="a5"/>
      <w:framePr w:wrap="around" w:vAnchor="text" w:hAnchor="margin" w:xAlign="right" w:y="1"/>
      <w:rPr>
        <w:rStyle w:val="a6"/>
      </w:rPr>
    </w:pPr>
    <w:r>
      <w:rPr>
        <w:rStyle w:val="a6"/>
      </w:rPr>
      <w:fldChar w:fldCharType="begin"/>
    </w:r>
    <w:r w:rsidR="00E05E3A">
      <w:rPr>
        <w:rStyle w:val="a6"/>
      </w:rPr>
      <w:instrText xml:space="preserve">PAGE  </w:instrText>
    </w:r>
    <w:r>
      <w:rPr>
        <w:rStyle w:val="a6"/>
      </w:rPr>
      <w:fldChar w:fldCharType="end"/>
    </w:r>
  </w:p>
  <w:p w:rsidR="00E05E3A" w:rsidRDefault="00E05E3A" w:rsidP="00997BB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3A" w:rsidRDefault="000C6A7C" w:rsidP="003A1FD0">
    <w:pPr>
      <w:pStyle w:val="a5"/>
      <w:framePr w:wrap="around" w:vAnchor="text" w:hAnchor="margin" w:xAlign="right" w:y="1"/>
      <w:rPr>
        <w:rStyle w:val="a6"/>
      </w:rPr>
    </w:pPr>
    <w:r>
      <w:rPr>
        <w:rStyle w:val="a6"/>
      </w:rPr>
      <w:fldChar w:fldCharType="begin"/>
    </w:r>
    <w:r w:rsidR="00E05E3A">
      <w:rPr>
        <w:rStyle w:val="a6"/>
      </w:rPr>
      <w:instrText xml:space="preserve">PAGE  </w:instrText>
    </w:r>
    <w:r>
      <w:rPr>
        <w:rStyle w:val="a6"/>
      </w:rPr>
      <w:fldChar w:fldCharType="separate"/>
    </w:r>
    <w:r w:rsidR="004401BD">
      <w:rPr>
        <w:rStyle w:val="a6"/>
        <w:noProof/>
      </w:rPr>
      <w:t>1</w:t>
    </w:r>
    <w:r>
      <w:rPr>
        <w:rStyle w:val="a6"/>
      </w:rPr>
      <w:fldChar w:fldCharType="end"/>
    </w:r>
  </w:p>
  <w:p w:rsidR="00E05E3A" w:rsidRDefault="00E05E3A" w:rsidP="00997BB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FD4" w:rsidRDefault="00F33FD4">
      <w:r>
        <w:separator/>
      </w:r>
    </w:p>
  </w:footnote>
  <w:footnote w:type="continuationSeparator" w:id="0">
    <w:p w:rsidR="00F33FD4" w:rsidRDefault="00F33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0A8"/>
    <w:multiLevelType w:val="hybridMultilevel"/>
    <w:tmpl w:val="26141D08"/>
    <w:lvl w:ilvl="0" w:tplc="66CE5A9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1">
    <w:nsid w:val="134A2CB6"/>
    <w:multiLevelType w:val="hybridMultilevel"/>
    <w:tmpl w:val="B792123E"/>
    <w:lvl w:ilvl="0" w:tplc="190A0972">
      <w:start w:val="1"/>
      <w:numFmt w:val="taiwaneseCountingThousand"/>
      <w:lvlText w:val="%1、"/>
      <w:lvlJc w:val="left"/>
      <w:pPr>
        <w:ind w:left="733" w:hanging="504"/>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
    <w:nsid w:val="19B31195"/>
    <w:multiLevelType w:val="hybridMultilevel"/>
    <w:tmpl w:val="6AE44152"/>
    <w:lvl w:ilvl="0" w:tplc="E79CCD7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31142"/>
    <w:multiLevelType w:val="hybridMultilevel"/>
    <w:tmpl w:val="8118075C"/>
    <w:lvl w:ilvl="0" w:tplc="202CB4E0">
      <w:start w:val="1"/>
      <w:numFmt w:val="decimal"/>
      <w:lvlText w:val="%1."/>
      <w:lvlJc w:val="left"/>
      <w:pPr>
        <w:ind w:left="302" w:hanging="360"/>
      </w:pPr>
      <w:rPr>
        <w:rFonts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4">
    <w:nsid w:val="25DD3925"/>
    <w:multiLevelType w:val="hybridMultilevel"/>
    <w:tmpl w:val="B9EC3F08"/>
    <w:lvl w:ilvl="0" w:tplc="88A81AF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860EF8"/>
    <w:multiLevelType w:val="hybridMultilevel"/>
    <w:tmpl w:val="1366702E"/>
    <w:lvl w:ilvl="0" w:tplc="E2243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1C1DC1"/>
    <w:multiLevelType w:val="hybridMultilevel"/>
    <w:tmpl w:val="70EEC8EA"/>
    <w:lvl w:ilvl="0" w:tplc="B9C40B28">
      <w:start w:val="1"/>
      <w:numFmt w:val="taiwaneseCountingThousand"/>
      <w:lvlText w:val="%1、"/>
      <w:lvlJc w:val="left"/>
      <w:pPr>
        <w:ind w:left="788" w:hanging="50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40EC4C6B"/>
    <w:multiLevelType w:val="hybridMultilevel"/>
    <w:tmpl w:val="B6EE4CE6"/>
    <w:lvl w:ilvl="0" w:tplc="D20EDB38">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8">
    <w:nsid w:val="44244E87"/>
    <w:multiLevelType w:val="hybridMultilevel"/>
    <w:tmpl w:val="26141D08"/>
    <w:lvl w:ilvl="0" w:tplc="66CE5A9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9">
    <w:nsid w:val="5DD73F01"/>
    <w:multiLevelType w:val="hybridMultilevel"/>
    <w:tmpl w:val="52D41B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2E1F63"/>
    <w:multiLevelType w:val="hybridMultilevel"/>
    <w:tmpl w:val="BB30AEA4"/>
    <w:lvl w:ilvl="0" w:tplc="0608DCA2">
      <w:start w:val="1"/>
      <w:numFmt w:val="taiwaneseCountingThousand"/>
      <w:lvlText w:val="%1、"/>
      <w:lvlJc w:val="left"/>
      <w:pPr>
        <w:ind w:left="1005" w:hanging="504"/>
      </w:pPr>
      <w:rPr>
        <w:rFonts w:hint="default"/>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abstractNum w:abstractNumId="11">
    <w:nsid w:val="67DE6C94"/>
    <w:multiLevelType w:val="hybridMultilevel"/>
    <w:tmpl w:val="B792123E"/>
    <w:lvl w:ilvl="0" w:tplc="190A0972">
      <w:start w:val="1"/>
      <w:numFmt w:val="taiwaneseCountingThousand"/>
      <w:lvlText w:val="%1、"/>
      <w:lvlJc w:val="left"/>
      <w:pPr>
        <w:ind w:left="1005" w:hanging="504"/>
      </w:pPr>
      <w:rPr>
        <w:rFonts w:hint="default"/>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num w:numId="1">
    <w:abstractNumId w:val="9"/>
  </w:num>
  <w:num w:numId="2">
    <w:abstractNumId w:val="11"/>
  </w:num>
  <w:num w:numId="3">
    <w:abstractNumId w:val="1"/>
  </w:num>
  <w:num w:numId="4">
    <w:abstractNumId w:val="0"/>
  </w:num>
  <w:num w:numId="5">
    <w:abstractNumId w:val="2"/>
  </w:num>
  <w:num w:numId="6">
    <w:abstractNumId w:val="3"/>
  </w:num>
  <w:num w:numId="7">
    <w:abstractNumId w:val="10"/>
  </w:num>
  <w:num w:numId="8">
    <w:abstractNumId w:val="5"/>
  </w:num>
  <w:num w:numId="9">
    <w:abstractNumId w:val="6"/>
  </w:num>
  <w:num w:numId="10">
    <w:abstractNumId w:val="7"/>
  </w:num>
  <w:num w:numId="11">
    <w:abstractNumId w:val="8"/>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187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019"/>
    <w:rsid w:val="0001263F"/>
    <w:rsid w:val="00012DDC"/>
    <w:rsid w:val="00017EA5"/>
    <w:rsid w:val="00021E57"/>
    <w:rsid w:val="000310D3"/>
    <w:rsid w:val="000335EB"/>
    <w:rsid w:val="00042ACB"/>
    <w:rsid w:val="0004623E"/>
    <w:rsid w:val="000477F3"/>
    <w:rsid w:val="000646CD"/>
    <w:rsid w:val="0008232B"/>
    <w:rsid w:val="00085ACF"/>
    <w:rsid w:val="000904C6"/>
    <w:rsid w:val="000959DA"/>
    <w:rsid w:val="000A1FAE"/>
    <w:rsid w:val="000C4B02"/>
    <w:rsid w:val="000C6A7C"/>
    <w:rsid w:val="000D3019"/>
    <w:rsid w:val="000D33E5"/>
    <w:rsid w:val="000E24FB"/>
    <w:rsid w:val="00101B91"/>
    <w:rsid w:val="0011447D"/>
    <w:rsid w:val="00131AE7"/>
    <w:rsid w:val="00132A4F"/>
    <w:rsid w:val="00141B82"/>
    <w:rsid w:val="0014754D"/>
    <w:rsid w:val="00171588"/>
    <w:rsid w:val="0018661B"/>
    <w:rsid w:val="00186784"/>
    <w:rsid w:val="00187DBF"/>
    <w:rsid w:val="001932CE"/>
    <w:rsid w:val="001B0911"/>
    <w:rsid w:val="001C634E"/>
    <w:rsid w:val="001D68D8"/>
    <w:rsid w:val="001E17B5"/>
    <w:rsid w:val="001F47E5"/>
    <w:rsid w:val="00203FC5"/>
    <w:rsid w:val="00216A05"/>
    <w:rsid w:val="00223DF7"/>
    <w:rsid w:val="00226A86"/>
    <w:rsid w:val="0026656F"/>
    <w:rsid w:val="0026727D"/>
    <w:rsid w:val="002937B4"/>
    <w:rsid w:val="002B5717"/>
    <w:rsid w:val="002C5790"/>
    <w:rsid w:val="002C6076"/>
    <w:rsid w:val="002D0B21"/>
    <w:rsid w:val="002E537A"/>
    <w:rsid w:val="002F0146"/>
    <w:rsid w:val="002F7389"/>
    <w:rsid w:val="003002AA"/>
    <w:rsid w:val="00300A12"/>
    <w:rsid w:val="00310A1F"/>
    <w:rsid w:val="003156AF"/>
    <w:rsid w:val="003541E4"/>
    <w:rsid w:val="00360F91"/>
    <w:rsid w:val="0036302F"/>
    <w:rsid w:val="003674D8"/>
    <w:rsid w:val="0037512E"/>
    <w:rsid w:val="0038388B"/>
    <w:rsid w:val="0038535F"/>
    <w:rsid w:val="003A1FD0"/>
    <w:rsid w:val="003A35FC"/>
    <w:rsid w:val="003B2263"/>
    <w:rsid w:val="003B3806"/>
    <w:rsid w:val="003B74B1"/>
    <w:rsid w:val="003C45C8"/>
    <w:rsid w:val="003D4E56"/>
    <w:rsid w:val="003E5C80"/>
    <w:rsid w:val="00415F4B"/>
    <w:rsid w:val="004401BD"/>
    <w:rsid w:val="00455E76"/>
    <w:rsid w:val="004569A3"/>
    <w:rsid w:val="00471347"/>
    <w:rsid w:val="00476B5C"/>
    <w:rsid w:val="0048108A"/>
    <w:rsid w:val="0048315A"/>
    <w:rsid w:val="004920A1"/>
    <w:rsid w:val="004C47A5"/>
    <w:rsid w:val="004E4DFC"/>
    <w:rsid w:val="00506483"/>
    <w:rsid w:val="0051234D"/>
    <w:rsid w:val="00520D8A"/>
    <w:rsid w:val="0052575C"/>
    <w:rsid w:val="00526840"/>
    <w:rsid w:val="0053101E"/>
    <w:rsid w:val="00556837"/>
    <w:rsid w:val="00557666"/>
    <w:rsid w:val="00564B7E"/>
    <w:rsid w:val="00574EFA"/>
    <w:rsid w:val="005828EA"/>
    <w:rsid w:val="00583470"/>
    <w:rsid w:val="005862E4"/>
    <w:rsid w:val="005877ED"/>
    <w:rsid w:val="00597A03"/>
    <w:rsid w:val="005A0091"/>
    <w:rsid w:val="005A1C98"/>
    <w:rsid w:val="005B0988"/>
    <w:rsid w:val="005D72F8"/>
    <w:rsid w:val="005E2FCB"/>
    <w:rsid w:val="006049B8"/>
    <w:rsid w:val="006069C3"/>
    <w:rsid w:val="006378CC"/>
    <w:rsid w:val="0064287A"/>
    <w:rsid w:val="00652518"/>
    <w:rsid w:val="0066311A"/>
    <w:rsid w:val="00677C46"/>
    <w:rsid w:val="00692186"/>
    <w:rsid w:val="00694DDD"/>
    <w:rsid w:val="006A0BA4"/>
    <w:rsid w:val="006B1AC7"/>
    <w:rsid w:val="006B568F"/>
    <w:rsid w:val="006E3538"/>
    <w:rsid w:val="006E7892"/>
    <w:rsid w:val="007011B4"/>
    <w:rsid w:val="00723786"/>
    <w:rsid w:val="007312E1"/>
    <w:rsid w:val="007318AF"/>
    <w:rsid w:val="00757C59"/>
    <w:rsid w:val="00757E86"/>
    <w:rsid w:val="00774D97"/>
    <w:rsid w:val="007752CD"/>
    <w:rsid w:val="00775D7A"/>
    <w:rsid w:val="00793715"/>
    <w:rsid w:val="00793975"/>
    <w:rsid w:val="007B50E5"/>
    <w:rsid w:val="007B641B"/>
    <w:rsid w:val="007D40F0"/>
    <w:rsid w:val="007D4562"/>
    <w:rsid w:val="007F0396"/>
    <w:rsid w:val="00802DF6"/>
    <w:rsid w:val="008033BE"/>
    <w:rsid w:val="00805228"/>
    <w:rsid w:val="0081312A"/>
    <w:rsid w:val="0081388F"/>
    <w:rsid w:val="008206A0"/>
    <w:rsid w:val="00834F10"/>
    <w:rsid w:val="00836D13"/>
    <w:rsid w:val="00837FB0"/>
    <w:rsid w:val="00853FAD"/>
    <w:rsid w:val="008A0300"/>
    <w:rsid w:val="008B67C4"/>
    <w:rsid w:val="008B7CF7"/>
    <w:rsid w:val="008C157A"/>
    <w:rsid w:val="008E0D9E"/>
    <w:rsid w:val="008E7BF7"/>
    <w:rsid w:val="00904ABA"/>
    <w:rsid w:val="009148F7"/>
    <w:rsid w:val="00923A7D"/>
    <w:rsid w:val="00930E05"/>
    <w:rsid w:val="00934AA6"/>
    <w:rsid w:val="009446C4"/>
    <w:rsid w:val="00947C0F"/>
    <w:rsid w:val="0096178C"/>
    <w:rsid w:val="009617E9"/>
    <w:rsid w:val="00963CBC"/>
    <w:rsid w:val="00963F78"/>
    <w:rsid w:val="00966436"/>
    <w:rsid w:val="00966905"/>
    <w:rsid w:val="00974CF1"/>
    <w:rsid w:val="00983465"/>
    <w:rsid w:val="009924DF"/>
    <w:rsid w:val="00992935"/>
    <w:rsid w:val="00997BBA"/>
    <w:rsid w:val="009C7F84"/>
    <w:rsid w:val="009D7ED1"/>
    <w:rsid w:val="00A24137"/>
    <w:rsid w:val="00A35365"/>
    <w:rsid w:val="00A36128"/>
    <w:rsid w:val="00A41360"/>
    <w:rsid w:val="00A455F2"/>
    <w:rsid w:val="00A557B1"/>
    <w:rsid w:val="00A56055"/>
    <w:rsid w:val="00A66F9D"/>
    <w:rsid w:val="00A82EC2"/>
    <w:rsid w:val="00A86A2C"/>
    <w:rsid w:val="00A8706D"/>
    <w:rsid w:val="00A93EA6"/>
    <w:rsid w:val="00AA331F"/>
    <w:rsid w:val="00AF30FD"/>
    <w:rsid w:val="00AF7181"/>
    <w:rsid w:val="00AF7BEF"/>
    <w:rsid w:val="00B01E5B"/>
    <w:rsid w:val="00B033DC"/>
    <w:rsid w:val="00B04E70"/>
    <w:rsid w:val="00B061D7"/>
    <w:rsid w:val="00B11D77"/>
    <w:rsid w:val="00B1524C"/>
    <w:rsid w:val="00B16CA8"/>
    <w:rsid w:val="00B219F1"/>
    <w:rsid w:val="00B24124"/>
    <w:rsid w:val="00B24EBF"/>
    <w:rsid w:val="00B33347"/>
    <w:rsid w:val="00B44136"/>
    <w:rsid w:val="00B45C99"/>
    <w:rsid w:val="00B55B70"/>
    <w:rsid w:val="00B822B9"/>
    <w:rsid w:val="00BC046B"/>
    <w:rsid w:val="00BC34BE"/>
    <w:rsid w:val="00BC511C"/>
    <w:rsid w:val="00BD0438"/>
    <w:rsid w:val="00BD3082"/>
    <w:rsid w:val="00BD3B1B"/>
    <w:rsid w:val="00BE0019"/>
    <w:rsid w:val="00BE5BFD"/>
    <w:rsid w:val="00BF39C6"/>
    <w:rsid w:val="00BF55A2"/>
    <w:rsid w:val="00C01B7C"/>
    <w:rsid w:val="00C022D4"/>
    <w:rsid w:val="00C0587A"/>
    <w:rsid w:val="00C413FF"/>
    <w:rsid w:val="00C448DA"/>
    <w:rsid w:val="00C466A5"/>
    <w:rsid w:val="00C603C6"/>
    <w:rsid w:val="00C62C4D"/>
    <w:rsid w:val="00C64794"/>
    <w:rsid w:val="00C65BAE"/>
    <w:rsid w:val="00C75515"/>
    <w:rsid w:val="00C935AA"/>
    <w:rsid w:val="00C94F21"/>
    <w:rsid w:val="00C97E29"/>
    <w:rsid w:val="00CA4C24"/>
    <w:rsid w:val="00CA6BD6"/>
    <w:rsid w:val="00CA7D79"/>
    <w:rsid w:val="00CA7F49"/>
    <w:rsid w:val="00CC4D27"/>
    <w:rsid w:val="00CF047E"/>
    <w:rsid w:val="00CF4652"/>
    <w:rsid w:val="00D005DA"/>
    <w:rsid w:val="00D075C1"/>
    <w:rsid w:val="00D21F37"/>
    <w:rsid w:val="00D23A5B"/>
    <w:rsid w:val="00D3036F"/>
    <w:rsid w:val="00D44B18"/>
    <w:rsid w:val="00D5778F"/>
    <w:rsid w:val="00D96433"/>
    <w:rsid w:val="00DA02E7"/>
    <w:rsid w:val="00DB1B88"/>
    <w:rsid w:val="00DB4408"/>
    <w:rsid w:val="00DB535A"/>
    <w:rsid w:val="00DD2417"/>
    <w:rsid w:val="00DD5EEE"/>
    <w:rsid w:val="00DF00A0"/>
    <w:rsid w:val="00E05E3A"/>
    <w:rsid w:val="00E07870"/>
    <w:rsid w:val="00E344FE"/>
    <w:rsid w:val="00E3520E"/>
    <w:rsid w:val="00E35EFC"/>
    <w:rsid w:val="00E43EE2"/>
    <w:rsid w:val="00E46F79"/>
    <w:rsid w:val="00E7779B"/>
    <w:rsid w:val="00E8570A"/>
    <w:rsid w:val="00E95977"/>
    <w:rsid w:val="00E95A6D"/>
    <w:rsid w:val="00E97089"/>
    <w:rsid w:val="00EB551B"/>
    <w:rsid w:val="00EE21EB"/>
    <w:rsid w:val="00EE7D5E"/>
    <w:rsid w:val="00EF60FF"/>
    <w:rsid w:val="00F07B9C"/>
    <w:rsid w:val="00F33FD4"/>
    <w:rsid w:val="00F44AB4"/>
    <w:rsid w:val="00F44AE4"/>
    <w:rsid w:val="00F54D6C"/>
    <w:rsid w:val="00F62528"/>
    <w:rsid w:val="00F6687F"/>
    <w:rsid w:val="00F82173"/>
    <w:rsid w:val="00FB49C4"/>
    <w:rsid w:val="00FB5E8F"/>
    <w:rsid w:val="00FE796F"/>
    <w:rsid w:val="00FF1F43"/>
    <w:rsid w:val="00FF49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7B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0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D3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4">
    <w:name w:val="Plain Text"/>
    <w:basedOn w:val="a"/>
    <w:rsid w:val="001B0911"/>
    <w:rPr>
      <w:rFonts w:ascii="細明體" w:eastAsia="細明體" w:hAnsi="Courier New"/>
      <w:szCs w:val="20"/>
    </w:rPr>
  </w:style>
  <w:style w:type="paragraph" w:styleId="a5">
    <w:name w:val="footer"/>
    <w:basedOn w:val="a"/>
    <w:rsid w:val="00997BBA"/>
    <w:pPr>
      <w:tabs>
        <w:tab w:val="center" w:pos="4153"/>
        <w:tab w:val="right" w:pos="8306"/>
      </w:tabs>
      <w:snapToGrid w:val="0"/>
    </w:pPr>
    <w:rPr>
      <w:sz w:val="20"/>
      <w:szCs w:val="20"/>
    </w:rPr>
  </w:style>
  <w:style w:type="character" w:styleId="a6">
    <w:name w:val="page number"/>
    <w:basedOn w:val="a0"/>
    <w:rsid w:val="00997BBA"/>
  </w:style>
  <w:style w:type="paragraph" w:styleId="a7">
    <w:name w:val="header"/>
    <w:basedOn w:val="a"/>
    <w:link w:val="a8"/>
    <w:rsid w:val="00774D97"/>
    <w:pPr>
      <w:tabs>
        <w:tab w:val="center" w:pos="4153"/>
        <w:tab w:val="right" w:pos="8306"/>
      </w:tabs>
      <w:snapToGrid w:val="0"/>
    </w:pPr>
    <w:rPr>
      <w:sz w:val="20"/>
      <w:szCs w:val="20"/>
    </w:rPr>
  </w:style>
  <w:style w:type="character" w:customStyle="1" w:styleId="a8">
    <w:name w:val="頁首 字元"/>
    <w:basedOn w:val="a0"/>
    <w:link w:val="a7"/>
    <w:rsid w:val="00774D97"/>
    <w:rPr>
      <w:kern w:val="2"/>
    </w:rPr>
  </w:style>
  <w:style w:type="character" w:customStyle="1" w:styleId="HTML0">
    <w:name w:val="HTML 預設格式 字元"/>
    <w:basedOn w:val="a0"/>
    <w:link w:val="HTML"/>
    <w:uiPriority w:val="99"/>
    <w:rsid w:val="00017EA5"/>
    <w:rPr>
      <w:rFonts w:ascii="細明體" w:eastAsia="細明體" w:hAnsi="細明體" w:cs="細明體"/>
      <w:color w:val="333333"/>
      <w:sz w:val="24"/>
      <w:szCs w:val="24"/>
    </w:rPr>
  </w:style>
  <w:style w:type="paragraph" w:styleId="a9">
    <w:name w:val="List Paragraph"/>
    <w:basedOn w:val="a"/>
    <w:uiPriority w:val="34"/>
    <w:qFormat/>
    <w:rsid w:val="00DD5EEE"/>
    <w:pPr>
      <w:ind w:leftChars="200" w:left="480"/>
    </w:pPr>
  </w:style>
  <w:style w:type="paragraph" w:styleId="aa">
    <w:name w:val="Balloon Text"/>
    <w:basedOn w:val="a"/>
    <w:link w:val="ab"/>
    <w:rsid w:val="0011447D"/>
    <w:rPr>
      <w:rFonts w:asciiTheme="majorHAnsi" w:eastAsiaTheme="majorEastAsia" w:hAnsiTheme="majorHAnsi" w:cstheme="majorBidi"/>
      <w:sz w:val="18"/>
      <w:szCs w:val="18"/>
    </w:rPr>
  </w:style>
  <w:style w:type="character" w:customStyle="1" w:styleId="ab">
    <w:name w:val="註解方塊文字 字元"/>
    <w:basedOn w:val="a0"/>
    <w:link w:val="aa"/>
    <w:rsid w:val="0011447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5808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439C5-CA9B-4137-A067-47963FEE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875</Characters>
  <Application>Microsoft Office Word</Application>
  <DocSecurity>0</DocSecurity>
  <Lines>7</Lines>
  <Paragraphs>2</Paragraphs>
  <ScaleCrop>false</ScaleCrop>
  <Company>moeasmea</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臺灣證券交易新股份有限公司有價證券上市審查準則第二十三條修正條文草案對照表</dc:title>
  <dc:creator>TSEC</dc:creator>
  <cp:lastModifiedBy>00</cp:lastModifiedBy>
  <cp:revision>3</cp:revision>
  <cp:lastPrinted>2016-08-01T03:07:00Z</cp:lastPrinted>
  <dcterms:created xsi:type="dcterms:W3CDTF">2016-10-11T03:51:00Z</dcterms:created>
  <dcterms:modified xsi:type="dcterms:W3CDTF">2016-10-11T03:51:00Z</dcterms:modified>
</cp:coreProperties>
</file>